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auto"/>
        <w:jc w:val="center"/>
        <w:rPr>
          <w:rFonts w:eastAsia="黑体"/>
          <w:b/>
          <w:bCs/>
          <w:color w:val="000000" w:themeColor="text1"/>
          <w:sz w:val="48"/>
          <w:szCs w:val="48"/>
          <w14:textFill>
            <w14:solidFill>
              <w14:schemeClr w14:val="tx1"/>
            </w14:solidFill>
          </w14:textFill>
        </w:rPr>
      </w:pPr>
      <w:r>
        <w:rPr>
          <w:rFonts w:hint="eastAsia" w:eastAsia="黑体"/>
          <w:b/>
          <w:bCs/>
          <w:color w:val="000000" w:themeColor="text1"/>
          <w:sz w:val="48"/>
          <w:szCs w:val="48"/>
          <w:lang w:val="en-US" w:eastAsia="zh-CN"/>
          <w14:textFill>
            <w14:solidFill>
              <w14:schemeClr w14:val="tx1"/>
            </w14:solidFill>
          </w14:textFill>
        </w:rPr>
        <w:t>南宁市金盾道路清障有限责任公司2024年常年</w:t>
      </w:r>
      <w:r>
        <w:rPr>
          <w:rFonts w:hint="eastAsia" w:eastAsia="黑体"/>
          <w:b/>
          <w:bCs/>
          <w:color w:val="000000" w:themeColor="text1"/>
          <w:sz w:val="48"/>
          <w:szCs w:val="48"/>
          <w14:textFill>
            <w14:solidFill>
              <w14:schemeClr w14:val="tx1"/>
            </w14:solidFill>
          </w14:textFill>
        </w:rPr>
        <w:t>法律顾问项目</w:t>
      </w:r>
    </w:p>
    <w:p>
      <w:pPr>
        <w:spacing w:line="480" w:lineRule="auto"/>
        <w:jc w:val="center"/>
        <w:rPr>
          <w:rFonts w:eastAsia="黑体"/>
          <w:b/>
          <w:bCs/>
          <w:color w:val="000000" w:themeColor="text1"/>
          <w:sz w:val="28"/>
          <w:szCs w:val="28"/>
          <w14:textFill>
            <w14:solidFill>
              <w14:schemeClr w14:val="tx1"/>
            </w14:solidFill>
          </w14:textFill>
        </w:rPr>
      </w:pPr>
    </w:p>
    <w:p>
      <w:pPr>
        <w:spacing w:line="480" w:lineRule="auto"/>
        <w:jc w:val="center"/>
        <w:rPr>
          <w:rFonts w:eastAsia="黑体"/>
          <w:b/>
          <w:bCs/>
          <w:color w:val="000000" w:themeColor="text1"/>
          <w:sz w:val="28"/>
          <w:szCs w:val="28"/>
          <w14:textFill>
            <w14:solidFill>
              <w14:schemeClr w14:val="tx1"/>
            </w14:solidFill>
          </w14:textFill>
        </w:rPr>
      </w:pPr>
    </w:p>
    <w:p>
      <w:pPr>
        <w:spacing w:line="480" w:lineRule="auto"/>
        <w:jc w:val="center"/>
        <w:rPr>
          <w:rFonts w:eastAsia="黑体"/>
          <w:b/>
          <w:bCs/>
          <w:color w:val="000000" w:themeColor="text1"/>
          <w:sz w:val="44"/>
          <w:szCs w:val="44"/>
          <w14:textFill>
            <w14:solidFill>
              <w14:schemeClr w14:val="tx1"/>
            </w14:solidFill>
          </w14:textFill>
        </w:rPr>
      </w:pPr>
    </w:p>
    <w:p>
      <w:pPr>
        <w:spacing w:line="480" w:lineRule="auto"/>
        <w:jc w:val="center"/>
        <w:rPr>
          <w:rFonts w:eastAsia="黑体"/>
          <w:b/>
          <w:bCs/>
          <w:color w:val="000000" w:themeColor="text1"/>
          <w:sz w:val="44"/>
          <w:szCs w:val="44"/>
          <w14:textFill>
            <w14:solidFill>
              <w14:schemeClr w14:val="tx1"/>
            </w14:solidFill>
          </w14:textFill>
        </w:rPr>
      </w:pPr>
      <w:r>
        <w:rPr>
          <w:rFonts w:hint="eastAsia" w:eastAsia="黑体"/>
          <w:b/>
          <w:bCs/>
          <w:color w:val="000000" w:themeColor="text1"/>
          <w:sz w:val="44"/>
          <w:szCs w:val="44"/>
          <w14:textFill>
            <w14:solidFill>
              <w14:schemeClr w14:val="tx1"/>
            </w14:solidFill>
          </w14:textFill>
        </w:rPr>
        <w:t>比</w:t>
      </w:r>
    </w:p>
    <w:p>
      <w:pPr>
        <w:spacing w:line="480" w:lineRule="auto"/>
        <w:rPr>
          <w:rFonts w:eastAsia="黑体"/>
          <w:b/>
          <w:bCs/>
          <w:color w:val="000000" w:themeColor="text1"/>
          <w:sz w:val="44"/>
          <w:szCs w:val="44"/>
          <w14:textFill>
            <w14:solidFill>
              <w14:schemeClr w14:val="tx1"/>
            </w14:solidFill>
          </w14:textFill>
        </w:rPr>
      </w:pPr>
    </w:p>
    <w:p>
      <w:pPr>
        <w:spacing w:line="480" w:lineRule="auto"/>
        <w:jc w:val="center"/>
        <w:rPr>
          <w:rFonts w:eastAsia="黑体"/>
          <w:b/>
          <w:bCs/>
          <w:color w:val="000000" w:themeColor="text1"/>
          <w:sz w:val="44"/>
          <w:szCs w:val="44"/>
          <w14:textFill>
            <w14:solidFill>
              <w14:schemeClr w14:val="tx1"/>
            </w14:solidFill>
          </w14:textFill>
        </w:rPr>
      </w:pPr>
    </w:p>
    <w:p>
      <w:pPr>
        <w:spacing w:line="480" w:lineRule="auto"/>
        <w:jc w:val="center"/>
        <w:rPr>
          <w:rFonts w:eastAsia="黑体"/>
          <w:b/>
          <w:bCs/>
          <w:color w:val="000000" w:themeColor="text1"/>
          <w:sz w:val="44"/>
          <w:szCs w:val="44"/>
          <w14:textFill>
            <w14:solidFill>
              <w14:schemeClr w14:val="tx1"/>
            </w14:solidFill>
          </w14:textFill>
        </w:rPr>
      </w:pPr>
      <w:r>
        <w:rPr>
          <w:rFonts w:hint="eastAsia" w:eastAsia="黑体"/>
          <w:b/>
          <w:bCs/>
          <w:color w:val="000000" w:themeColor="text1"/>
          <w:sz w:val="44"/>
          <w:szCs w:val="44"/>
          <w14:textFill>
            <w14:solidFill>
              <w14:schemeClr w14:val="tx1"/>
            </w14:solidFill>
          </w14:textFill>
        </w:rPr>
        <w:t>选</w:t>
      </w:r>
    </w:p>
    <w:p>
      <w:pPr>
        <w:spacing w:line="480" w:lineRule="auto"/>
        <w:jc w:val="center"/>
        <w:rPr>
          <w:rFonts w:eastAsia="黑体"/>
          <w:b/>
          <w:bCs/>
          <w:color w:val="000000" w:themeColor="text1"/>
          <w:sz w:val="44"/>
          <w:szCs w:val="44"/>
          <w14:textFill>
            <w14:solidFill>
              <w14:schemeClr w14:val="tx1"/>
            </w14:solidFill>
          </w14:textFill>
        </w:rPr>
      </w:pPr>
    </w:p>
    <w:p>
      <w:pPr>
        <w:spacing w:line="480" w:lineRule="auto"/>
        <w:jc w:val="center"/>
        <w:rPr>
          <w:rFonts w:eastAsia="黑体"/>
          <w:b/>
          <w:bCs/>
          <w:color w:val="000000" w:themeColor="text1"/>
          <w:sz w:val="44"/>
          <w:szCs w:val="44"/>
          <w14:textFill>
            <w14:solidFill>
              <w14:schemeClr w14:val="tx1"/>
            </w14:solidFill>
          </w14:textFill>
        </w:rPr>
      </w:pPr>
    </w:p>
    <w:p>
      <w:pPr>
        <w:spacing w:line="480" w:lineRule="auto"/>
        <w:jc w:val="center"/>
        <w:rPr>
          <w:rFonts w:eastAsia="黑体"/>
          <w:b/>
          <w:bCs/>
          <w:color w:val="000000" w:themeColor="text1"/>
          <w:sz w:val="44"/>
          <w:szCs w:val="44"/>
          <w14:textFill>
            <w14:solidFill>
              <w14:schemeClr w14:val="tx1"/>
            </w14:solidFill>
          </w14:textFill>
        </w:rPr>
      </w:pPr>
      <w:r>
        <w:rPr>
          <w:rFonts w:hint="eastAsia" w:eastAsia="黑体"/>
          <w:b/>
          <w:bCs/>
          <w:color w:val="000000" w:themeColor="text1"/>
          <w:sz w:val="44"/>
          <w:szCs w:val="44"/>
          <w14:textFill>
            <w14:solidFill>
              <w14:schemeClr w14:val="tx1"/>
            </w14:solidFill>
          </w14:textFill>
        </w:rPr>
        <w:t>文</w:t>
      </w:r>
    </w:p>
    <w:p>
      <w:pPr>
        <w:jc w:val="center"/>
        <w:rPr>
          <w:rFonts w:eastAsia="黑体"/>
          <w:b/>
          <w:bCs/>
          <w:color w:val="000000" w:themeColor="text1"/>
          <w:sz w:val="44"/>
          <w:szCs w:val="44"/>
          <w14:textFill>
            <w14:solidFill>
              <w14:schemeClr w14:val="tx1"/>
            </w14:solidFill>
          </w14:textFill>
        </w:rPr>
      </w:pPr>
    </w:p>
    <w:p>
      <w:pPr>
        <w:jc w:val="center"/>
        <w:rPr>
          <w:rFonts w:eastAsia="黑体"/>
          <w:b/>
          <w:bCs/>
          <w:color w:val="000000" w:themeColor="text1"/>
          <w:sz w:val="44"/>
          <w:szCs w:val="44"/>
          <w14:textFill>
            <w14:solidFill>
              <w14:schemeClr w14:val="tx1"/>
            </w14:solidFill>
          </w14:textFill>
        </w:rPr>
      </w:pPr>
    </w:p>
    <w:p>
      <w:pPr>
        <w:jc w:val="center"/>
        <w:rPr>
          <w:rFonts w:eastAsia="黑体"/>
          <w:b/>
          <w:bCs/>
          <w:color w:val="000000" w:themeColor="text1"/>
          <w:sz w:val="44"/>
          <w:szCs w:val="44"/>
          <w14:textFill>
            <w14:solidFill>
              <w14:schemeClr w14:val="tx1"/>
            </w14:solidFill>
          </w14:textFill>
        </w:rPr>
      </w:pPr>
      <w:r>
        <w:rPr>
          <w:rFonts w:hint="eastAsia" w:eastAsia="黑体"/>
          <w:b/>
          <w:bCs/>
          <w:color w:val="000000" w:themeColor="text1"/>
          <w:sz w:val="44"/>
          <w:szCs w:val="44"/>
          <w14:textFill>
            <w14:solidFill>
              <w14:schemeClr w14:val="tx1"/>
            </w14:solidFill>
          </w14:textFill>
        </w:rPr>
        <w:t>件</w:t>
      </w:r>
    </w:p>
    <w:p>
      <w:pPr>
        <w:spacing w:line="360" w:lineRule="auto"/>
        <w:rPr>
          <w:b/>
          <w:bCs/>
          <w:color w:val="000000" w:themeColor="text1"/>
          <w:sz w:val="36"/>
          <w:szCs w:val="36"/>
          <w14:textFill>
            <w14:solidFill>
              <w14:schemeClr w14:val="tx1"/>
            </w14:solidFill>
          </w14:textFill>
        </w:rPr>
      </w:pPr>
    </w:p>
    <w:p>
      <w:pPr>
        <w:spacing w:line="360" w:lineRule="auto"/>
        <w:ind w:firstLine="1792" w:firstLineChars="498"/>
        <w:rPr>
          <w:b/>
          <w:bCs/>
          <w:color w:val="000000" w:themeColor="text1"/>
          <w:sz w:val="36"/>
          <w:szCs w:val="36"/>
          <w14:textFill>
            <w14:solidFill>
              <w14:schemeClr w14:val="tx1"/>
            </w14:solidFill>
          </w14:textFill>
        </w:rPr>
      </w:pPr>
    </w:p>
    <w:p>
      <w:pPr>
        <w:spacing w:line="360" w:lineRule="auto"/>
        <w:ind w:firstLine="1792" w:firstLineChars="498"/>
        <w:rPr>
          <w:b/>
          <w:bCs/>
          <w:color w:val="000000" w:themeColor="text1"/>
          <w:sz w:val="36"/>
          <w:szCs w:val="36"/>
          <w14:textFill>
            <w14:solidFill>
              <w14:schemeClr w14:val="tx1"/>
            </w14:solidFill>
          </w14:textFill>
        </w:rPr>
      </w:pPr>
    </w:p>
    <w:p>
      <w:pPr>
        <w:spacing w:line="360" w:lineRule="auto"/>
        <w:ind w:firstLine="1792" w:firstLineChars="498"/>
        <w:rPr>
          <w:b/>
          <w:bCs/>
          <w:color w:val="000000" w:themeColor="text1"/>
          <w:sz w:val="36"/>
          <w:szCs w:val="36"/>
          <w14:textFill>
            <w14:solidFill>
              <w14:schemeClr w14:val="tx1"/>
            </w14:solidFill>
          </w14:textFill>
        </w:rPr>
      </w:pPr>
    </w:p>
    <w:p>
      <w:pPr>
        <w:spacing w:line="360" w:lineRule="auto"/>
        <w:jc w:val="center"/>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比选发起人：</w:t>
      </w:r>
      <w:r>
        <w:rPr>
          <w:rFonts w:hint="eastAsia"/>
          <w:b/>
          <w:bCs/>
          <w:color w:val="000000" w:themeColor="text1"/>
          <w:sz w:val="32"/>
          <w:szCs w:val="32"/>
          <w:lang w:eastAsia="zh-CN"/>
          <w14:textFill>
            <w14:solidFill>
              <w14:schemeClr w14:val="tx1"/>
            </w14:solidFill>
          </w14:textFill>
        </w:rPr>
        <w:t>南宁市金盾道路清障有限责任公司</w:t>
      </w:r>
    </w:p>
    <w:p>
      <w:pPr>
        <w:jc w:val="center"/>
        <w:rPr>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t>二〇二</w:t>
      </w:r>
      <w:r>
        <w:rPr>
          <w:rFonts w:hint="eastAsia"/>
          <w:b/>
          <w:bCs/>
          <w:color w:val="000000" w:themeColor="text1"/>
          <w:sz w:val="36"/>
          <w:szCs w:val="36"/>
          <w:lang w:val="en-US" w:eastAsia="zh-CN"/>
          <w14:textFill>
            <w14:solidFill>
              <w14:schemeClr w14:val="tx1"/>
            </w14:solidFill>
          </w14:textFill>
        </w:rPr>
        <w:t>四</w:t>
      </w:r>
      <w:r>
        <w:rPr>
          <w:rFonts w:hint="eastAsia"/>
          <w:b/>
          <w:bCs/>
          <w:color w:val="000000" w:themeColor="text1"/>
          <w:sz w:val="36"/>
          <w:szCs w:val="36"/>
          <w14:textFill>
            <w14:solidFill>
              <w14:schemeClr w14:val="tx1"/>
            </w14:solidFill>
          </w14:textFill>
        </w:rPr>
        <w:t>年</w:t>
      </w:r>
      <w:r>
        <w:rPr>
          <w:rFonts w:hint="eastAsia"/>
          <w:b/>
          <w:bCs/>
          <w:color w:val="000000" w:themeColor="text1"/>
          <w:sz w:val="36"/>
          <w:szCs w:val="36"/>
          <w:lang w:val="en-US" w:eastAsia="zh-CN"/>
          <w14:textFill>
            <w14:solidFill>
              <w14:schemeClr w14:val="tx1"/>
            </w14:solidFill>
          </w14:textFill>
        </w:rPr>
        <w:t>四</w:t>
      </w:r>
      <w:r>
        <w:rPr>
          <w:rFonts w:hint="eastAsia"/>
          <w:b/>
          <w:bCs/>
          <w:color w:val="000000" w:themeColor="text1"/>
          <w:sz w:val="36"/>
          <w:szCs w:val="36"/>
          <w14:textFill>
            <w14:solidFill>
              <w14:schemeClr w14:val="tx1"/>
            </w14:solidFill>
          </w14:textFill>
        </w:rPr>
        <w:t>月</w:t>
      </w:r>
    </w:p>
    <w:p>
      <w:pPr>
        <w:pStyle w:val="2"/>
        <w:tabs>
          <w:tab w:val="right" w:leader="dot" w:pos="9219"/>
        </w:tabs>
        <w:rPr>
          <w:b w:val="0"/>
          <w:color w:val="000000" w:themeColor="text1"/>
          <w14:textFill>
            <w14:solidFill>
              <w14:schemeClr w14:val="tx1"/>
            </w14:solidFill>
          </w14:textFill>
        </w:rPr>
      </w:pPr>
      <w:bookmarkStart w:id="0" w:name="_Toc12363"/>
      <w:bookmarkStart w:id="1" w:name="_Toc23188"/>
      <w:bookmarkStart w:id="2" w:name="_Toc471482358"/>
      <w:bookmarkStart w:id="3" w:name="_Toc21106"/>
      <w:bookmarkStart w:id="4" w:name="_Toc32122"/>
      <w:bookmarkStart w:id="5" w:name="_Toc461525293"/>
      <w:bookmarkStart w:id="6" w:name="_Toc9980"/>
      <w:bookmarkStart w:id="7" w:name="_Toc4954"/>
      <w:bookmarkStart w:id="8" w:name="_Toc18159"/>
      <w:bookmarkStart w:id="9" w:name="_Toc14943"/>
      <w:bookmarkStart w:id="10" w:name="_Toc27692"/>
      <w:bookmarkStart w:id="11" w:name="_Toc25905"/>
      <w:r>
        <w:rPr>
          <w:rFonts w:hint="eastAsia"/>
          <w:b w:val="0"/>
          <w:color w:val="000000" w:themeColor="text1"/>
          <w14:textFill>
            <w14:solidFill>
              <w14:schemeClr w14:val="tx1"/>
            </w14:solidFill>
          </w14:textFill>
        </w:rPr>
        <w:t>目录</w:t>
      </w:r>
      <w:bookmarkEnd w:id="0"/>
      <w:bookmarkEnd w:id="1"/>
      <w:bookmarkEnd w:id="2"/>
      <w:bookmarkEnd w:id="3"/>
      <w:bookmarkEnd w:id="4"/>
      <w:bookmarkEnd w:id="5"/>
      <w:bookmarkEnd w:id="6"/>
      <w:bookmarkEnd w:id="7"/>
      <w:bookmarkEnd w:id="8"/>
      <w:bookmarkEnd w:id="9"/>
      <w:bookmarkEnd w:id="10"/>
      <w:bookmarkEnd w:id="11"/>
    </w:p>
    <w:p>
      <w:pPr>
        <w:pStyle w:val="19"/>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rPr>
          <w:rFonts w:ascii="宋体" w:hAnsi="宋体" w:cs="宋体"/>
          <w:color w:val="000000" w:themeColor="text1"/>
          <w:szCs w:val="28"/>
          <w14:textFill>
            <w14:solidFill>
              <w14:schemeClr w14:val="tx1"/>
            </w14:solidFill>
          </w14:textFill>
        </w:rPr>
        <w:fldChar w:fldCharType="begin"/>
      </w:r>
      <w:r>
        <w:rPr>
          <w:rFonts w:ascii="宋体" w:hAnsi="宋体" w:cs="宋体"/>
          <w:color w:val="000000" w:themeColor="text1"/>
          <w:szCs w:val="28"/>
          <w14:textFill>
            <w14:solidFill>
              <w14:schemeClr w14:val="tx1"/>
            </w14:solidFill>
          </w14:textFill>
        </w:rPr>
        <w:instrText xml:space="preserve"> TOC \o "1-2" \h \z \u </w:instrText>
      </w:r>
      <w:r>
        <w:rPr>
          <w:rFonts w:ascii="宋体" w:hAnsi="宋体" w:cs="宋体"/>
          <w:color w:val="000000" w:themeColor="text1"/>
          <w:szCs w:val="28"/>
          <w14:textFill>
            <w14:solidFill>
              <w14:schemeClr w14:val="tx1"/>
            </w14:solidFill>
          </w14:textFill>
        </w:rPr>
        <w:fldChar w:fldCharType="separate"/>
      </w:r>
      <w:r>
        <w:fldChar w:fldCharType="begin"/>
      </w:r>
      <w:r>
        <w:instrText xml:space="preserve"> HYPERLINK \l "_Toc471482359" </w:instrText>
      </w:r>
      <w:r>
        <w:fldChar w:fldCharType="separate"/>
      </w:r>
      <w:r>
        <w:rPr>
          <w:rStyle w:val="30"/>
          <w:rFonts w:hint="eastAsia" w:ascii="宋体" w:hAnsi="宋体" w:cs="宋体"/>
          <w:color w:val="000000" w:themeColor="text1"/>
          <w14:textFill>
            <w14:solidFill>
              <w14:schemeClr w14:val="tx1"/>
            </w14:solidFill>
          </w14:textFill>
        </w:rPr>
        <w:t>第一章比选须知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_Toc471482359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"_Toc471482360" </w:instrText>
      </w:r>
      <w:r>
        <w:fldChar w:fldCharType="separate"/>
      </w:r>
      <w:r>
        <w:rPr>
          <w:rStyle w:val="30"/>
          <w:rFonts w:hint="eastAsia"/>
          <w:color w:val="000000" w:themeColor="text1"/>
          <w14:textFill>
            <w14:solidFill>
              <w14:schemeClr w14:val="tx1"/>
            </w14:solidFill>
          </w14:textFill>
        </w:rPr>
        <w:t>前附表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_Toc471482360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"_Toc471482361" </w:instrText>
      </w:r>
      <w:r>
        <w:fldChar w:fldCharType="separate"/>
      </w:r>
      <w:r>
        <w:rPr>
          <w:rStyle w:val="30"/>
          <w:rFonts w:hint="eastAsia"/>
          <w:color w:val="000000" w:themeColor="text1"/>
          <w14:textFill>
            <w14:solidFill>
              <w14:schemeClr w14:val="tx1"/>
            </w14:solidFill>
          </w14:textFill>
        </w:rPr>
        <w:t>一、总则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_Toc471482361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"_Toc471482362" </w:instrText>
      </w:r>
      <w:r>
        <w:fldChar w:fldCharType="separate"/>
      </w:r>
      <w:r>
        <w:rPr>
          <w:rStyle w:val="30"/>
          <w:rFonts w:hint="eastAsia"/>
          <w:color w:val="000000" w:themeColor="text1"/>
          <w14:textFill>
            <w14:solidFill>
              <w14:schemeClr w14:val="tx1"/>
            </w14:solidFill>
          </w14:textFill>
        </w:rPr>
        <w:t>二、比选文件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_Toc471482362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"_Toc471482363" </w:instrText>
      </w:r>
      <w:r>
        <w:fldChar w:fldCharType="separate"/>
      </w:r>
      <w:r>
        <w:rPr>
          <w:rStyle w:val="30"/>
          <w:rFonts w:hint="eastAsia"/>
          <w:color w:val="000000" w:themeColor="text1"/>
          <w14:textFill>
            <w14:solidFill>
              <w14:schemeClr w14:val="tx1"/>
            </w14:solidFill>
          </w14:textFill>
        </w:rPr>
        <w:t>三、申请比选报价说明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_Toc471482363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"_Toc471482364" </w:instrText>
      </w:r>
      <w:r>
        <w:fldChar w:fldCharType="separate"/>
      </w:r>
      <w:r>
        <w:rPr>
          <w:rStyle w:val="30"/>
          <w:rFonts w:hint="eastAsia"/>
          <w:color w:val="000000" w:themeColor="text1"/>
          <w14:textFill>
            <w14:solidFill>
              <w14:schemeClr w14:val="tx1"/>
            </w14:solidFill>
          </w14:textFill>
        </w:rPr>
        <w:t>四、比选申请文件的编制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_Toc471482364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"_Toc471482365" </w:instrText>
      </w:r>
      <w:r>
        <w:fldChar w:fldCharType="separate"/>
      </w:r>
      <w:r>
        <w:rPr>
          <w:rStyle w:val="30"/>
          <w:rFonts w:hint="eastAsia"/>
          <w:color w:val="000000" w:themeColor="text1"/>
          <w14:textFill>
            <w14:solidFill>
              <w14:schemeClr w14:val="tx1"/>
            </w14:solidFill>
          </w14:textFill>
        </w:rPr>
        <w:t>五、比选申请文件的递交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_Toc471482365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"_Toc471482366" </w:instrText>
      </w:r>
      <w:r>
        <w:fldChar w:fldCharType="separate"/>
      </w:r>
      <w:r>
        <w:rPr>
          <w:rStyle w:val="30"/>
          <w:rFonts w:hint="eastAsia"/>
          <w:color w:val="000000" w:themeColor="text1"/>
          <w14:textFill>
            <w14:solidFill>
              <w14:schemeClr w14:val="tx1"/>
            </w14:solidFill>
          </w14:textFill>
        </w:rPr>
        <w:t>六、评比</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_Toc471482366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"_Toc471482367" </w:instrText>
      </w:r>
      <w:r>
        <w:fldChar w:fldCharType="separate"/>
      </w:r>
      <w:r>
        <w:rPr>
          <w:rStyle w:val="30"/>
          <w:rFonts w:hint="eastAsia"/>
          <w:color w:val="000000" w:themeColor="text1"/>
          <w14:textFill>
            <w14:solidFill>
              <w14:schemeClr w14:val="tx1"/>
            </w14:solidFill>
          </w14:textFill>
        </w:rPr>
        <w:t>七、授予合同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_Toc471482367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9"/>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"_Toc471482368" </w:instrText>
      </w:r>
      <w:r>
        <w:fldChar w:fldCharType="separate"/>
      </w:r>
      <w:r>
        <w:rPr>
          <w:rStyle w:val="30"/>
          <w:rFonts w:hint="eastAsia"/>
          <w:color w:val="000000" w:themeColor="text1"/>
          <w14:textFill>
            <w14:solidFill>
              <w14:schemeClr w14:val="tx1"/>
            </w14:solidFill>
          </w14:textFill>
        </w:rPr>
        <w:t>第二章合同条款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_Toc471482368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9"/>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"_Toc471482369" </w:instrText>
      </w:r>
      <w:r>
        <w:fldChar w:fldCharType="separate"/>
      </w:r>
      <w:r>
        <w:rPr>
          <w:rStyle w:val="30"/>
          <w:rFonts w:hint="eastAsia" w:ascii="宋体" w:hAnsi="宋体" w:cs="宋体"/>
          <w:color w:val="000000" w:themeColor="text1"/>
          <w14:textFill>
            <w14:solidFill>
              <w14:schemeClr w14:val="tx1"/>
            </w14:solidFill>
          </w14:textFill>
        </w:rPr>
        <w:t>第三章比选申请文件（格式）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"_Toc471482370" </w:instrText>
      </w:r>
      <w:r>
        <w:fldChar w:fldCharType="separate"/>
      </w:r>
      <w:r>
        <w:rPr>
          <w:rStyle w:val="30"/>
          <w:rFonts w:hint="eastAsia"/>
          <w:color w:val="000000" w:themeColor="text1"/>
          <w14:textFill>
            <w14:solidFill>
              <w14:schemeClr w14:val="tx1"/>
            </w14:solidFill>
          </w14:textFill>
        </w:rPr>
        <w:t>一、资格审查文件目录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_Toc471482370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"_Toc471482371" </w:instrText>
      </w:r>
      <w:r>
        <w:fldChar w:fldCharType="separate"/>
      </w:r>
      <w:r>
        <w:rPr>
          <w:rStyle w:val="30"/>
          <w:rFonts w:hint="eastAsia"/>
          <w:color w:val="000000" w:themeColor="text1"/>
          <w14:textFill>
            <w14:solidFill>
              <w14:schemeClr w14:val="tx1"/>
            </w14:solidFill>
          </w14:textFill>
        </w:rPr>
        <w:t>二、技术部分材料目录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_Toc471482371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"_Toc471482372" </w:instrText>
      </w:r>
      <w:r>
        <w:fldChar w:fldCharType="separate"/>
      </w:r>
      <w:r>
        <w:rPr>
          <w:rStyle w:val="30"/>
          <w:rFonts w:hint="eastAsia"/>
          <w:color w:val="000000" w:themeColor="text1"/>
          <w14:textFill>
            <w14:solidFill>
              <w14:schemeClr w14:val="tx1"/>
            </w14:solidFill>
          </w14:textFill>
        </w:rPr>
        <w:t>三、商务部分材料目录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_Toc471482372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9"/>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"_Toc471482373" </w:instrText>
      </w:r>
      <w:r>
        <w:fldChar w:fldCharType="separate"/>
      </w:r>
      <w:r>
        <w:rPr>
          <w:rStyle w:val="30"/>
          <w:rFonts w:hint="eastAsia"/>
          <w:color w:val="000000" w:themeColor="text1"/>
          <w14:textFill>
            <w14:solidFill>
              <w14:schemeClr w14:val="tx1"/>
            </w14:solidFill>
          </w14:textFill>
        </w:rPr>
        <w:t>第四章评比办法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_Toc471482373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"_Toc471482374" </w:instrText>
      </w:r>
      <w:r>
        <w:fldChar w:fldCharType="separate"/>
      </w:r>
      <w:r>
        <w:rPr>
          <w:rStyle w:val="30"/>
          <w:rFonts w:hint="eastAsia"/>
          <w:color w:val="000000" w:themeColor="text1"/>
          <w14:textFill>
            <w14:solidFill>
              <w14:schemeClr w14:val="tx1"/>
            </w14:solidFill>
          </w14:textFill>
        </w:rPr>
        <w:t>一、综合评分办法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_Toc471482374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"_Toc471482375" </w:instrText>
      </w:r>
      <w:r>
        <w:fldChar w:fldCharType="separate"/>
      </w:r>
      <w:r>
        <w:rPr>
          <w:rStyle w:val="30"/>
          <w:rFonts w:hint="eastAsia"/>
          <w:color w:val="000000" w:themeColor="text1"/>
          <w14:textFill>
            <w14:solidFill>
              <w14:schemeClr w14:val="tx1"/>
            </w14:solidFill>
          </w14:textFill>
        </w:rPr>
        <w:t>二、总分计算公式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_Toc471482375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"_Toc471482376" </w:instrText>
      </w:r>
      <w:r>
        <w:fldChar w:fldCharType="separate"/>
      </w:r>
      <w:r>
        <w:rPr>
          <w:rStyle w:val="30"/>
          <w:rFonts w:hint="eastAsia"/>
          <w:color w:val="000000" w:themeColor="text1"/>
          <w14:textFill>
            <w14:solidFill>
              <w14:schemeClr w14:val="tx1"/>
            </w14:solidFill>
          </w14:textFill>
        </w:rPr>
        <w:t>三、评分细则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_Toc471482376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3"/>
        <w:tabs>
          <w:tab w:val="right" w:leader="dot" w:pos="9209"/>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"_Toc471482377" </w:instrText>
      </w:r>
      <w:r>
        <w:fldChar w:fldCharType="separate"/>
      </w:r>
      <w:r>
        <w:rPr>
          <w:rStyle w:val="30"/>
          <w:rFonts w:hint="eastAsia"/>
          <w:color w:val="000000" w:themeColor="text1"/>
          <w14:textFill>
            <w14:solidFill>
              <w14:schemeClr w14:val="tx1"/>
            </w14:solidFill>
          </w14:textFill>
        </w:rPr>
        <w:t>四、中选标准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_Toc471482377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tabs>
          <w:tab w:val="right" w:leader="dot" w:pos="9219"/>
        </w:tabs>
        <w:jc w:val="left"/>
        <w:outlineLvl w:val="2"/>
        <w:rPr>
          <w:rFonts w:ascii="宋体" w:hAnsi="宋体" w:cs="宋体"/>
          <w:color w:val="000000" w:themeColor="text1"/>
          <w:szCs w:val="28"/>
          <w14:textFill>
            <w14:solidFill>
              <w14:schemeClr w14:val="tx1"/>
            </w14:solidFill>
          </w14:textFill>
        </w:rPr>
      </w:pPr>
      <w:r>
        <w:rPr>
          <w:rFonts w:ascii="宋体" w:hAnsi="宋体" w:cs="宋体"/>
          <w:color w:val="000000" w:themeColor="text1"/>
          <w:szCs w:val="28"/>
          <w14:textFill>
            <w14:solidFill>
              <w14:schemeClr w14:val="tx1"/>
            </w14:solidFill>
          </w14:textFill>
        </w:rPr>
        <w:fldChar w:fldCharType="end"/>
      </w:r>
    </w:p>
    <w:p>
      <w:pPr>
        <w:jc w:val="left"/>
        <w:rPr>
          <w:rFonts w:ascii="宋体" w:hAnsi="宋体" w:cs="宋体"/>
          <w:color w:val="000000" w:themeColor="text1"/>
          <w:szCs w:val="28"/>
          <w14:textFill>
            <w14:solidFill>
              <w14:schemeClr w14:val="tx1"/>
            </w14:solidFill>
          </w14:textFill>
        </w:rPr>
      </w:pPr>
    </w:p>
    <w:p>
      <w:pPr>
        <w:jc w:val="left"/>
        <w:rPr>
          <w:rFonts w:ascii="宋体" w:hAnsi="宋体" w:cs="宋体"/>
          <w:color w:val="000000" w:themeColor="text1"/>
          <w:szCs w:val="28"/>
          <w14:textFill>
            <w14:solidFill>
              <w14:schemeClr w14:val="tx1"/>
            </w14:solidFill>
          </w14:textFill>
        </w:rPr>
      </w:pPr>
    </w:p>
    <w:p>
      <w:pPr>
        <w:jc w:val="center"/>
        <w:rPr>
          <w:rFonts w:ascii="宋体" w:hAnsi="宋体" w:cs="宋体"/>
          <w:color w:val="000000" w:themeColor="text1"/>
          <w:szCs w:val="28"/>
          <w14:textFill>
            <w14:solidFill>
              <w14:schemeClr w14:val="tx1"/>
            </w14:solidFill>
          </w14:textFill>
        </w:rPr>
      </w:pPr>
    </w:p>
    <w:p>
      <w:pPr>
        <w:jc w:val="left"/>
        <w:rPr>
          <w:rFonts w:ascii="宋体" w:hAnsi="宋体" w:cs="宋体"/>
          <w:color w:val="000000" w:themeColor="text1"/>
          <w:szCs w:val="28"/>
          <w14:textFill>
            <w14:solidFill>
              <w14:schemeClr w14:val="tx1"/>
            </w14:solidFill>
          </w14:textFill>
        </w:rPr>
      </w:pPr>
    </w:p>
    <w:p>
      <w:pPr>
        <w:jc w:val="left"/>
        <w:rPr>
          <w:rFonts w:ascii="宋体" w:hAnsi="宋体" w:cs="宋体"/>
          <w:color w:val="000000" w:themeColor="text1"/>
          <w:szCs w:val="28"/>
          <w14:textFill>
            <w14:solidFill>
              <w14:schemeClr w14:val="tx1"/>
            </w14:solidFill>
          </w14:textFill>
        </w:rPr>
      </w:pPr>
    </w:p>
    <w:p>
      <w:pPr>
        <w:jc w:val="left"/>
        <w:rPr>
          <w:rFonts w:ascii="宋体" w:hAnsi="宋体" w:cs="宋体"/>
          <w:color w:val="000000" w:themeColor="text1"/>
          <w:szCs w:val="28"/>
          <w14:textFill>
            <w14:solidFill>
              <w14:schemeClr w14:val="tx1"/>
            </w14:solidFill>
          </w14:textFill>
        </w:rPr>
      </w:pPr>
    </w:p>
    <w:p>
      <w:pPr>
        <w:jc w:val="left"/>
        <w:rPr>
          <w:rFonts w:ascii="宋体" w:hAnsi="宋体" w:cs="宋体"/>
          <w:color w:val="000000" w:themeColor="text1"/>
          <w:szCs w:val="28"/>
          <w14:textFill>
            <w14:solidFill>
              <w14:schemeClr w14:val="tx1"/>
            </w14:solidFill>
          </w14:textFill>
        </w:rPr>
      </w:pPr>
    </w:p>
    <w:p>
      <w:pPr>
        <w:jc w:val="left"/>
        <w:rPr>
          <w:rFonts w:ascii="宋体" w:hAnsi="宋体" w:cs="宋体"/>
          <w:color w:val="000000" w:themeColor="text1"/>
          <w:szCs w:val="28"/>
          <w14:textFill>
            <w14:solidFill>
              <w14:schemeClr w14:val="tx1"/>
            </w14:solidFill>
          </w14:textFill>
        </w:rPr>
      </w:pPr>
    </w:p>
    <w:p>
      <w:pPr>
        <w:jc w:val="left"/>
        <w:rPr>
          <w:rFonts w:ascii="宋体" w:hAnsi="宋体" w:cs="宋体"/>
          <w:color w:val="000000" w:themeColor="text1"/>
          <w:szCs w:val="28"/>
          <w14:textFill>
            <w14:solidFill>
              <w14:schemeClr w14:val="tx1"/>
            </w14:solidFill>
          </w14:textFill>
        </w:rPr>
      </w:pPr>
    </w:p>
    <w:p>
      <w:pPr>
        <w:jc w:val="left"/>
        <w:rPr>
          <w:rFonts w:ascii="宋体" w:hAnsi="宋体" w:cs="宋体"/>
          <w:color w:val="000000" w:themeColor="text1"/>
          <w:szCs w:val="28"/>
          <w14:textFill>
            <w14:solidFill>
              <w14:schemeClr w14:val="tx1"/>
            </w14:solidFill>
          </w14:textFill>
        </w:rPr>
      </w:pPr>
    </w:p>
    <w:p>
      <w:pPr>
        <w:jc w:val="left"/>
        <w:rPr>
          <w:rFonts w:ascii="宋体" w:hAnsi="宋体" w:cs="宋体"/>
          <w:color w:val="000000" w:themeColor="text1"/>
          <w:szCs w:val="28"/>
          <w14:textFill>
            <w14:solidFill>
              <w14:schemeClr w14:val="tx1"/>
            </w14:solidFill>
          </w14:textFill>
        </w:rPr>
      </w:pPr>
    </w:p>
    <w:p>
      <w:pPr>
        <w:jc w:val="left"/>
        <w:rPr>
          <w:rFonts w:ascii="宋体" w:hAnsi="宋体" w:cs="宋体"/>
          <w:color w:val="000000" w:themeColor="text1"/>
          <w:szCs w:val="28"/>
          <w14:textFill>
            <w14:solidFill>
              <w14:schemeClr w14:val="tx1"/>
            </w14:solidFill>
          </w14:textFill>
        </w:rPr>
      </w:pPr>
    </w:p>
    <w:p>
      <w:pPr>
        <w:pStyle w:val="2"/>
        <w:rPr>
          <w:rFonts w:ascii="宋体" w:hAnsi="宋体" w:cs="宋体"/>
          <w:color w:val="000000" w:themeColor="text1"/>
          <w:szCs w:val="28"/>
          <w14:textFill>
            <w14:solidFill>
              <w14:schemeClr w14:val="tx1"/>
            </w14:solidFill>
          </w14:textFill>
        </w:rPr>
      </w:pPr>
      <w:bookmarkStart w:id="12" w:name="_Toc30578"/>
      <w:bookmarkStart w:id="13" w:name="_Toc27762"/>
      <w:bookmarkStart w:id="14" w:name="_Toc461525294"/>
      <w:bookmarkStart w:id="15" w:name="_Toc9092"/>
      <w:bookmarkStart w:id="16" w:name="_Toc12557"/>
      <w:bookmarkStart w:id="17" w:name="_Toc20342"/>
      <w:bookmarkStart w:id="18" w:name="_Toc14897"/>
      <w:bookmarkStart w:id="19" w:name="_Toc32556"/>
      <w:bookmarkStart w:id="20" w:name="_Toc24235"/>
      <w:bookmarkStart w:id="21" w:name="_Toc24752"/>
      <w:bookmarkStart w:id="22" w:name="_Toc32719"/>
      <w:bookmarkStart w:id="23" w:name="_Toc471482359"/>
      <w:bookmarkStart w:id="24" w:name="_Toc11052"/>
      <w:bookmarkStart w:id="25" w:name="_Toc14177"/>
      <w:r>
        <w:rPr>
          <w:rFonts w:hint="eastAsia" w:ascii="宋体" w:hAnsi="宋体" w:cs="宋体"/>
          <w:color w:val="000000" w:themeColor="text1"/>
          <w:szCs w:val="28"/>
          <w14:textFill>
            <w14:solidFill>
              <w14:schemeClr w14:val="tx1"/>
            </w14:solidFill>
          </w14:textFill>
        </w:rPr>
        <w:t>第一章比选须知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4"/>
        <w:jc w:val="left"/>
        <w:rPr>
          <w:color w:val="000000" w:themeColor="text1"/>
          <w:sz w:val="24"/>
          <w:szCs w:val="24"/>
          <w14:textFill>
            <w14:solidFill>
              <w14:schemeClr w14:val="tx1"/>
            </w14:solidFill>
          </w14:textFill>
        </w:rPr>
      </w:pPr>
      <w:bookmarkStart w:id="26" w:name="_Toc24239"/>
      <w:bookmarkStart w:id="27" w:name="_Toc11337"/>
      <w:bookmarkStart w:id="28" w:name="_Toc17641"/>
      <w:bookmarkStart w:id="29" w:name="_Toc11329"/>
      <w:bookmarkStart w:id="30" w:name="_Toc2162"/>
      <w:bookmarkStart w:id="31" w:name="_Toc471482360"/>
      <w:bookmarkStart w:id="32" w:name="_Toc18263"/>
      <w:bookmarkStart w:id="33" w:name="_Toc2242"/>
      <w:bookmarkStart w:id="34" w:name="_Toc31166"/>
      <w:bookmarkStart w:id="35" w:name="_Toc21327"/>
      <w:bookmarkStart w:id="36" w:name="_Toc17254"/>
      <w:bookmarkStart w:id="37" w:name="_Toc32591"/>
      <w:bookmarkStart w:id="38" w:name="_Toc14510"/>
      <w:bookmarkStart w:id="39" w:name="_Toc461525295"/>
      <w:r>
        <w:rPr>
          <w:color w:val="000000" w:themeColor="text1"/>
          <w:sz w:val="24"/>
          <w:szCs w:val="24"/>
          <w14:textFill>
            <w14:solidFill>
              <w14:schemeClr w14:val="tx1"/>
            </w14:solidFill>
          </w14:textFill>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Style w:val="27"/>
        <w:tblW w:w="9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750"/>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0" w:type="dxa"/>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序号</w:t>
            </w:r>
          </w:p>
        </w:tc>
        <w:tc>
          <w:tcPr>
            <w:tcW w:w="1750" w:type="dxa"/>
            <w:vAlign w:val="center"/>
          </w:tcPr>
          <w:p>
            <w:pPr>
              <w:keepNext/>
              <w:keepLines/>
              <w:spacing w:before="340" w:after="330" w:line="576" w:lineRule="auto"/>
              <w:jc w:val="center"/>
              <w:outlineLvl w:val="0"/>
              <w:rPr>
                <w:rFonts w:ascii="宋体" w:hAnsi="宋体" w:cs="宋体"/>
                <w:color w:val="000000" w:themeColor="text1"/>
                <w:sz w:val="28"/>
                <w:szCs w:val="28"/>
                <w14:textFill>
                  <w14:solidFill>
                    <w14:schemeClr w14:val="tx1"/>
                  </w14:solidFill>
                </w14:textFill>
              </w:rPr>
            </w:pPr>
          </w:p>
        </w:tc>
        <w:tc>
          <w:tcPr>
            <w:tcW w:w="6804" w:type="dxa"/>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8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75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p>
        </w:tc>
        <w:tc>
          <w:tcPr>
            <w:tcW w:w="6804" w:type="dxa"/>
            <w:vAlign w:val="center"/>
          </w:tcPr>
          <w:p>
            <w:pPr>
              <w:spacing w:line="480" w:lineRule="auto"/>
              <w:jc w:val="both"/>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南宁市金盾道路清障有限责任公司</w:t>
            </w:r>
            <w:r>
              <w:rPr>
                <w:rFonts w:hint="eastAsia" w:ascii="宋体" w:hAnsi="宋体" w:cs="宋体"/>
                <w:color w:val="000000" w:themeColor="text1"/>
                <w:szCs w:val="21"/>
                <w:lang w:val="en-US" w:eastAsia="zh-CN"/>
                <w14:textFill>
                  <w14:solidFill>
                    <w14:schemeClr w14:val="tx1"/>
                  </w14:solidFill>
                </w14:textFill>
              </w:rPr>
              <w:t>2024年</w:t>
            </w:r>
            <w:r>
              <w:rPr>
                <w:rFonts w:hint="eastAsia" w:ascii="宋体" w:hAnsi="宋体" w:cs="宋体"/>
                <w:color w:val="000000" w:themeColor="text1"/>
                <w:szCs w:val="21"/>
                <w14:textFill>
                  <w14:solidFill>
                    <w14:schemeClr w14:val="tx1"/>
                  </w14:solidFill>
                </w14:textFill>
              </w:rPr>
              <w:t>常年法律顾问项目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8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75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项目范围</w:t>
            </w:r>
          </w:p>
        </w:tc>
        <w:tc>
          <w:tcPr>
            <w:tcW w:w="6804"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为</w:t>
            </w:r>
            <w:r>
              <w:rPr>
                <w:rFonts w:hint="eastAsia" w:ascii="宋体" w:hAnsi="宋体" w:cs="宋体"/>
                <w:color w:val="000000" w:themeColor="text1"/>
                <w:szCs w:val="21"/>
                <w:lang w:eastAsia="zh-CN"/>
                <w14:textFill>
                  <w14:solidFill>
                    <w14:schemeClr w14:val="tx1"/>
                  </w14:solidFill>
                </w14:textFill>
              </w:rPr>
              <w:t>南宁市金盾道路清障有限责任公司</w:t>
            </w:r>
            <w:r>
              <w:rPr>
                <w:rFonts w:hint="eastAsia" w:ascii="宋体" w:hAnsi="宋体" w:cs="宋体"/>
                <w:color w:val="000000" w:themeColor="text1"/>
                <w:szCs w:val="21"/>
                <w14:textFill>
                  <w14:solidFill>
                    <w14:schemeClr w14:val="tx1"/>
                  </w14:solidFill>
                </w14:textFill>
              </w:rPr>
              <w:t>事务提供日常法律顾问服务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175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项目内容</w:t>
            </w:r>
          </w:p>
        </w:tc>
        <w:tc>
          <w:tcPr>
            <w:tcW w:w="6804" w:type="dxa"/>
            <w:vAlign w:val="center"/>
          </w:tcPr>
          <w:p>
            <w:pPr>
              <w:spacing w:line="24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服务内容包括：公司日常法律咨询服务、规章制度、招投标文件、合同等文件的审查，对重大法律纠纷提供法律意见以及普法宣传活动、公司治理等事务。</w:t>
            </w:r>
          </w:p>
          <w:p>
            <w:pPr>
              <w:spacing w:line="24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（具体服务内容详见比选文件中合同条款）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80" w:type="dxa"/>
            <w:shd w:val="clear" w:color="auto" w:fill="FFFFFF" w:themeFill="background1"/>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1750" w:type="dxa"/>
            <w:shd w:val="clear" w:color="auto" w:fill="FFFFFF" w:themeFill="background1"/>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资金来源</w:t>
            </w:r>
          </w:p>
        </w:tc>
        <w:tc>
          <w:tcPr>
            <w:tcW w:w="6804" w:type="dxa"/>
            <w:shd w:val="clear" w:color="auto" w:fill="FFFFFF" w:themeFill="background1"/>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8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175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计费方式</w:t>
            </w:r>
          </w:p>
        </w:tc>
        <w:tc>
          <w:tcPr>
            <w:tcW w:w="6804"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法律顾问服务费采用总价包干，费用不予调整。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175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上限控制价</w:t>
            </w:r>
          </w:p>
        </w:tc>
        <w:tc>
          <w:tcPr>
            <w:tcW w:w="6804" w:type="dxa"/>
            <w:vAlign w:val="center"/>
          </w:tcPr>
          <w:p>
            <w:pPr>
              <w:spacing w:line="360" w:lineRule="auto"/>
              <w:ind w:firstLine="0" w:firstLineChars="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项目本次项目含税上限控制价为：</w:t>
            </w:r>
            <w:r>
              <w:rPr>
                <w:rFonts w:hint="eastAsia" w:ascii="宋体" w:hAnsi="宋体" w:cs="宋体"/>
                <w:color w:val="000000" w:themeColor="text1"/>
                <w:szCs w:val="21"/>
                <w:lang w:val="en-US" w:eastAsia="zh-CN"/>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万元</w:t>
            </w:r>
            <w:r>
              <w:rPr>
                <w:rFonts w:hint="eastAsia" w:ascii="宋体" w:hAnsi="宋体" w:cs="宋体"/>
                <w:color w:val="000000" w:themeColor="text1"/>
                <w:szCs w:val="21"/>
                <w:lang w:val="en-US" w:eastAsia="zh-CN"/>
                <w14:textFill>
                  <w14:solidFill>
                    <w14:schemeClr w14:val="tx1"/>
                  </w14:solidFill>
                </w14:textFill>
              </w:rPr>
              <w:t>/年</w:t>
            </w: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8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175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报价方式</w:t>
            </w:r>
          </w:p>
        </w:tc>
        <w:tc>
          <w:tcPr>
            <w:tcW w:w="6804"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8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175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合同期限</w:t>
            </w:r>
          </w:p>
        </w:tc>
        <w:tc>
          <w:tcPr>
            <w:tcW w:w="6804" w:type="dxa"/>
            <w:vAlign w:val="center"/>
          </w:tcPr>
          <w:p>
            <w:pPr>
              <w:spacing w:line="240" w:lineRule="auto"/>
              <w:ind w:firstLine="0" w:firstLineChars="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年（</w:t>
            </w:r>
            <w:r>
              <w:rPr>
                <w:rFonts w:ascii="宋体" w:hAnsi="宋体" w:cs="宋体"/>
                <w:color w:val="000000" w:themeColor="text1"/>
                <w:szCs w:val="21"/>
                <w14:textFill>
                  <w14:solidFill>
                    <w14:schemeClr w14:val="tx1"/>
                  </w14:solidFill>
                </w14:textFill>
              </w:rPr>
              <w:t>202</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月</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日至</w:t>
            </w:r>
            <w:r>
              <w:rPr>
                <w:rFonts w:ascii="宋体" w:hAnsi="宋体" w:cs="宋体"/>
                <w:color w:val="000000" w:themeColor="text1"/>
                <w:szCs w:val="21"/>
                <w14:textFill>
                  <w14:solidFill>
                    <w14:schemeClr w14:val="tx1"/>
                  </w14:solidFill>
                </w14:textFill>
              </w:rPr>
              <w:t>2025</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日止，具体时间以合同签订时间为准）。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980"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w:t>
            </w:r>
          </w:p>
        </w:tc>
        <w:tc>
          <w:tcPr>
            <w:tcW w:w="1750" w:type="dxa"/>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比选申请人资格要求</w:t>
            </w:r>
          </w:p>
        </w:tc>
        <w:tc>
          <w:tcPr>
            <w:tcW w:w="6804" w:type="dxa"/>
            <w:vAlign w:val="center"/>
          </w:tcPr>
          <w:p>
            <w:pPr>
              <w:pStyle w:val="25"/>
              <w:shd w:val="clear" w:color="auto" w:fill="FFFFFF"/>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14:textFill>
                  <w14:solidFill>
                    <w14:schemeClr w14:val="tx1"/>
                  </w14:solidFill>
                </w14:textFill>
              </w:rPr>
              <w:t>1.中华人民共和国境内依法设立的法律服务中介机构。</w:t>
            </w:r>
          </w:p>
          <w:p>
            <w:pPr>
              <w:pStyle w:val="25"/>
              <w:shd w:val="clear" w:color="auto" w:fill="FFFFFF"/>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14:textFill>
                  <w14:solidFill>
                    <w14:schemeClr w14:val="tx1"/>
                  </w14:solidFill>
                </w14:textFill>
              </w:rPr>
              <w:t>2.经司法行政部门依法批准成立3年以上。</w:t>
            </w:r>
          </w:p>
          <w:p>
            <w:pPr>
              <w:pStyle w:val="25"/>
              <w:shd w:val="clear" w:color="auto" w:fill="FFFFFF"/>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14:textFill>
                  <w14:solidFill>
                    <w14:schemeClr w14:val="tx1"/>
                  </w14:solidFill>
                </w14:textFill>
              </w:rPr>
              <w:t>3.最近3年没有受到行政处罚或行业处分。</w:t>
            </w:r>
          </w:p>
          <w:p>
            <w:pPr>
              <w:pStyle w:val="25"/>
              <w:shd w:val="clear" w:color="auto" w:fill="FFFFFF"/>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14:textFill>
                  <w14:solidFill>
                    <w14:schemeClr w14:val="tx1"/>
                  </w14:solidFill>
                </w14:textFill>
              </w:rPr>
              <w:t>4.未被国家、广西壮族自治区、南宁市相关行政主管部门通报停止投标活动，无犯罪行贿记录。</w:t>
            </w:r>
          </w:p>
          <w:p>
            <w:pPr>
              <w:pStyle w:val="25"/>
              <w:shd w:val="clear" w:color="auto" w:fill="FFFFFF"/>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14:textFill>
                  <w14:solidFill>
                    <w14:schemeClr w14:val="tx1"/>
                  </w14:solidFill>
                </w14:textFill>
              </w:rPr>
              <w:t>5.具有良好的商业信誉和健全的财务会计制度，具备较强的风险承受能力。</w:t>
            </w:r>
          </w:p>
          <w:p>
            <w:pPr>
              <w:pStyle w:val="25"/>
              <w:shd w:val="clear" w:color="auto" w:fill="FFFFFF"/>
              <w:rPr>
                <w:rFonts w:hint="eastAsia" w:ascii="宋体" w:hAnsi="宋体" w:cs="Arial"/>
                <w:color w:val="000000" w:themeColor="text1"/>
                <w:kern w:val="0"/>
                <w:sz w:val="21"/>
                <w:szCs w:val="21"/>
                <w:highlight w:val="none"/>
                <w14:textFill>
                  <w14:solidFill>
                    <w14:schemeClr w14:val="tx1"/>
                  </w14:solidFill>
                </w14:textFill>
              </w:rPr>
            </w:pPr>
            <w:r>
              <w:rPr>
                <w:rFonts w:hint="eastAsia" w:ascii="宋体" w:hAnsi="宋体" w:cs="Arial"/>
                <w:color w:val="000000" w:themeColor="text1"/>
                <w:kern w:val="0"/>
                <w:sz w:val="21"/>
                <w:szCs w:val="21"/>
                <w:highlight w:val="none"/>
                <w14:textFill>
                  <w14:solidFill>
                    <w14:schemeClr w14:val="tx1"/>
                  </w14:solidFill>
                </w14:textFill>
              </w:rPr>
              <w:t>6.有依法缴纳税收和社会保障资金的良好记录。</w:t>
            </w:r>
          </w:p>
          <w:p>
            <w:pPr>
              <w:rPr>
                <w:rFonts w:ascii="宋体" w:hAnsi="宋体" w:cs="宋体"/>
                <w:color w:val="000000" w:themeColor="text1"/>
                <w:szCs w:val="21"/>
                <w:highlight w:val="none"/>
                <w14:textFill>
                  <w14:solidFill>
                    <w14:schemeClr w14:val="tx1"/>
                  </w14:solidFill>
                </w14:textFill>
              </w:rPr>
            </w:pPr>
            <w:r>
              <w:rPr>
                <w:rFonts w:hint="eastAsia" w:ascii="宋体" w:hAnsi="宋体" w:cs="Arial"/>
                <w:color w:val="000000" w:themeColor="text1"/>
                <w:kern w:val="0"/>
                <w:sz w:val="21"/>
                <w:szCs w:val="21"/>
                <w:highlight w:val="none"/>
                <w14:textFill>
                  <w14:solidFill>
                    <w14:schemeClr w14:val="tx1"/>
                  </w14:solidFill>
                </w14:textFill>
              </w:rPr>
              <w:t>7.本次比选不接受联合体报价，律师事务所总所及分所只允许其中一家参与比选。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98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175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获取比选文件的时间、地点、方式及比选文件售价</w:t>
            </w:r>
          </w:p>
        </w:tc>
        <w:tc>
          <w:tcPr>
            <w:tcW w:w="6804"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时间：自公告发布之日起。</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地点：南宁轨道交通集团有限责任公司官网。</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方式：本项目实行网上发售电子版比选文件，不再出售纸质比选文件。凡有意参与的潜在比选申请人，请登录南宁轨道交通集团有限责任公司官网(</w:t>
            </w:r>
            <w:r>
              <w:rPr>
                <w:rFonts w:ascii="宋体" w:hAnsi="宋体" w:cs="宋体"/>
                <w:color w:val="000000" w:themeColor="text1"/>
                <w:szCs w:val="21"/>
                <w14:textFill>
                  <w14:solidFill>
                    <w14:schemeClr w14:val="tx1"/>
                  </w14:solidFill>
                </w14:textFill>
              </w:rPr>
              <w:t>http://www.nngdjt.com/</w:t>
            </w:r>
            <w:r>
              <w:rPr>
                <w:rFonts w:hint="eastAsia" w:ascii="宋体" w:hAnsi="宋体" w:cs="宋体"/>
                <w:color w:val="000000" w:themeColor="text1"/>
                <w:szCs w:val="21"/>
                <w14:textFill>
                  <w14:solidFill>
                    <w14:schemeClr w14:val="tx1"/>
                  </w14:solidFill>
                </w14:textFill>
              </w:rPr>
              <w:t>)的招标招商中的招标公告处下载比选文件。</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98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1750" w:type="dxa"/>
            <w:vAlign w:val="center"/>
          </w:tcPr>
          <w:p>
            <w:pPr>
              <w:rPr>
                <w:rFonts w:ascii="宋体" w:hAnsi="宋体" w:cs="宋体"/>
                <w:color w:val="auto"/>
                <w:szCs w:val="21"/>
                <w:highlight w:val="none"/>
              </w:rPr>
            </w:pPr>
            <w:r>
              <w:rPr>
                <w:rFonts w:hint="eastAsia" w:ascii="宋体" w:hAnsi="宋体" w:cs="宋体"/>
                <w:color w:val="auto"/>
                <w:szCs w:val="21"/>
                <w:highlight w:val="none"/>
              </w:rPr>
              <w:t>比选有效期</w:t>
            </w:r>
          </w:p>
        </w:tc>
        <w:tc>
          <w:tcPr>
            <w:tcW w:w="6804" w:type="dxa"/>
            <w:vAlign w:val="center"/>
          </w:tcPr>
          <w:p>
            <w:pPr>
              <w:rPr>
                <w:rFonts w:ascii="宋体" w:hAnsi="宋体" w:cs="宋体"/>
                <w:color w:val="auto"/>
                <w:szCs w:val="21"/>
                <w:highlight w:val="none"/>
              </w:rPr>
            </w:pPr>
            <w:r>
              <w:rPr>
                <w:rFonts w:hint="eastAsia" w:ascii="宋体" w:hAnsi="宋体" w:cs="宋体"/>
                <w:color w:val="auto"/>
                <w:szCs w:val="21"/>
                <w:highlight w:val="none"/>
              </w:rPr>
              <w:t>90天（比选有效期是指为保证比选发起人有足够的时间完成评审和与中选人签订合同而在一定时间内保持有效的期限。比选有效期从比选申请文件递交截止之日算起。）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98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175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比选申请文件份数</w:t>
            </w:r>
          </w:p>
        </w:tc>
        <w:tc>
          <w:tcPr>
            <w:tcW w:w="6804"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纸质版一式五份，其中正本一份、副本四份（中选后提交电子版）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98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1750" w:type="dxa"/>
            <w:vAlign w:val="center"/>
          </w:tcPr>
          <w:p>
            <w:pPr>
              <w:rPr>
                <w:rFonts w:ascii="宋体" w:hAnsi="宋体" w:cs="宋体"/>
                <w:color w:val="auto"/>
                <w:szCs w:val="21"/>
                <w:highlight w:val="none"/>
              </w:rPr>
            </w:pPr>
            <w:r>
              <w:rPr>
                <w:rFonts w:hint="eastAsia" w:ascii="宋体" w:hAnsi="宋体" w:cs="宋体"/>
                <w:color w:val="auto"/>
                <w:szCs w:val="21"/>
                <w:highlight w:val="none"/>
              </w:rPr>
              <w:t>比选申请文件递交地址</w:t>
            </w:r>
          </w:p>
        </w:tc>
        <w:tc>
          <w:tcPr>
            <w:tcW w:w="6804" w:type="dxa"/>
            <w:vAlign w:val="center"/>
          </w:tcPr>
          <w:p>
            <w:pPr>
              <w:rPr>
                <w:rFonts w:hint="eastAsia" w:ascii="宋体" w:hAnsi="宋体" w:cs="宋体"/>
                <w:color w:val="auto"/>
                <w:szCs w:val="21"/>
                <w:highlight w:val="none"/>
              </w:rPr>
            </w:pPr>
            <w:r>
              <w:rPr>
                <w:rFonts w:hint="eastAsia" w:ascii="宋体" w:hAnsi="宋体" w:cs="宋体"/>
                <w:color w:val="auto"/>
                <w:szCs w:val="21"/>
                <w:highlight w:val="none"/>
              </w:rPr>
              <w:t>比选申请文件现场递交地点：南宁市</w:t>
            </w:r>
            <w:r>
              <w:rPr>
                <w:rFonts w:hint="eastAsia" w:ascii="宋体" w:hAnsi="宋体" w:cs="宋体"/>
                <w:color w:val="auto"/>
                <w:szCs w:val="21"/>
                <w:highlight w:val="none"/>
                <w:lang w:eastAsia="zh-CN"/>
              </w:rPr>
              <w:t>友谊路</w:t>
            </w:r>
            <w:r>
              <w:rPr>
                <w:rFonts w:hint="eastAsia" w:ascii="宋体" w:hAnsi="宋体" w:cs="宋体"/>
                <w:color w:val="auto"/>
                <w:szCs w:val="21"/>
                <w:highlight w:val="none"/>
                <w:lang w:val="en-US" w:eastAsia="zh-CN"/>
              </w:rPr>
              <w:t>21-6号</w:t>
            </w:r>
            <w:r>
              <w:rPr>
                <w:rFonts w:hint="eastAsia" w:ascii="宋体" w:hAnsi="宋体" w:cs="宋体"/>
                <w:color w:val="auto"/>
                <w:szCs w:val="21"/>
                <w:highlight w:val="none"/>
                <w:lang w:eastAsia="zh-CN"/>
              </w:rPr>
              <w:t>南宁市金盾道路清障有限责任公司</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rPr>
              <w:t>楼</w:t>
            </w:r>
            <w:r>
              <w:rPr>
                <w:rFonts w:hint="eastAsia" w:ascii="宋体" w:hAnsi="宋体" w:cs="宋体"/>
                <w:color w:val="auto"/>
                <w:szCs w:val="21"/>
                <w:highlight w:val="none"/>
                <w:lang w:val="en-US" w:eastAsia="zh-CN"/>
              </w:rPr>
              <w:t>311-312</w:t>
            </w:r>
            <w:r>
              <w:rPr>
                <w:rFonts w:hint="eastAsia" w:ascii="宋体" w:hAnsi="宋体" w:cs="宋体"/>
                <w:color w:val="auto"/>
                <w:szCs w:val="21"/>
                <w:highlight w:val="none"/>
              </w:rPr>
              <w:t>室。</w:t>
            </w:r>
          </w:p>
          <w:p>
            <w:pPr>
              <w:rPr>
                <w:rFonts w:hint="eastAsia" w:ascii="宋体" w:hAnsi="宋体" w:cs="宋体"/>
                <w:color w:val="auto"/>
                <w:szCs w:val="21"/>
                <w:highlight w:val="none"/>
              </w:rPr>
            </w:pPr>
            <w:r>
              <w:rPr>
                <w:rFonts w:hint="eastAsia" w:ascii="宋体" w:hAnsi="宋体" w:cs="宋体"/>
                <w:color w:val="auto"/>
                <w:szCs w:val="21"/>
                <w:highlight w:val="none"/>
              </w:rPr>
              <w:t>比选申请文件邮寄地址：南宁市</w:t>
            </w:r>
            <w:r>
              <w:rPr>
                <w:rFonts w:hint="eastAsia" w:ascii="宋体" w:hAnsi="宋体" w:cs="宋体"/>
                <w:color w:val="auto"/>
                <w:szCs w:val="21"/>
                <w:highlight w:val="none"/>
                <w:lang w:eastAsia="zh-CN"/>
              </w:rPr>
              <w:t>友谊路</w:t>
            </w:r>
            <w:r>
              <w:rPr>
                <w:rFonts w:hint="eastAsia" w:ascii="宋体" w:hAnsi="宋体" w:cs="宋体"/>
                <w:color w:val="auto"/>
                <w:szCs w:val="21"/>
                <w:highlight w:val="none"/>
                <w:lang w:val="en-US" w:eastAsia="zh-CN"/>
              </w:rPr>
              <w:t>21-6号</w:t>
            </w:r>
            <w:r>
              <w:rPr>
                <w:rFonts w:hint="eastAsia" w:ascii="宋体" w:hAnsi="宋体" w:cs="宋体"/>
                <w:color w:val="auto"/>
                <w:szCs w:val="21"/>
                <w:highlight w:val="none"/>
                <w:lang w:eastAsia="zh-CN"/>
              </w:rPr>
              <w:t>南宁市金盾道路清障有限责任公司</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rPr>
              <w:t>楼</w:t>
            </w:r>
            <w:r>
              <w:rPr>
                <w:rFonts w:hint="eastAsia" w:ascii="宋体" w:hAnsi="宋体" w:cs="宋体"/>
                <w:color w:val="auto"/>
                <w:szCs w:val="21"/>
                <w:highlight w:val="none"/>
                <w:lang w:val="en-US" w:eastAsia="zh-CN"/>
              </w:rPr>
              <w:t>314室</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0" w:type="dxa"/>
            <w:shd w:val="clear" w:color="auto" w:fill="FFFFFF" w:themeFill="background1"/>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1750" w:type="dxa"/>
            <w:shd w:val="clear" w:color="auto" w:fill="FFFFFF" w:themeFill="background1"/>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比选申请文件递交截止日期</w:t>
            </w:r>
          </w:p>
        </w:tc>
        <w:tc>
          <w:tcPr>
            <w:tcW w:w="6804" w:type="dxa"/>
            <w:shd w:val="clear" w:color="auto" w:fill="FFFFFF" w:themeFill="background1"/>
            <w:vAlign w:val="center"/>
          </w:tcPr>
          <w:p>
            <w:pPr>
              <w:rPr>
                <w:rFonts w:ascii="宋体" w:hAnsi="宋体" w:cs="宋体"/>
                <w:color w:val="auto"/>
                <w:szCs w:val="21"/>
                <w:highlight w:val="none"/>
              </w:rPr>
            </w:pPr>
            <w:r>
              <w:rPr>
                <w:rFonts w:hint="eastAsia" w:ascii="宋体" w:hAnsi="宋体" w:cs="宋体"/>
                <w:color w:val="auto"/>
                <w:szCs w:val="21"/>
                <w:highlight w:val="none"/>
                <w:lang w:val="en-US" w:eastAsia="zh-CN"/>
              </w:rPr>
              <w:t>邮寄</w:t>
            </w:r>
            <w:r>
              <w:rPr>
                <w:rFonts w:hint="eastAsia" w:ascii="宋体" w:hAnsi="宋体" w:cs="宋体"/>
                <w:color w:val="auto"/>
                <w:szCs w:val="21"/>
                <w:highlight w:val="none"/>
              </w:rPr>
              <w:t>比选申请文件递交截止日期：</w:t>
            </w:r>
            <w:r>
              <w:rPr>
                <w:rFonts w:ascii="宋体" w:hAnsi="宋体" w:cs="宋体"/>
                <w:color w:val="auto"/>
                <w:szCs w:val="21"/>
                <w:highlight w:val="none"/>
              </w:rPr>
              <w:t>202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日上午</w:t>
            </w:r>
            <w:r>
              <w:rPr>
                <w:rFonts w:ascii="宋体" w:hAnsi="宋体" w:cs="宋体"/>
                <w:color w:val="auto"/>
                <w:szCs w:val="21"/>
                <w:highlight w:val="none"/>
              </w:rPr>
              <w:t>9:30</w:t>
            </w:r>
            <w:r>
              <w:rPr>
                <w:rFonts w:hint="eastAsia" w:ascii="宋体" w:hAnsi="宋体" w:cs="宋体"/>
                <w:color w:val="auto"/>
                <w:szCs w:val="21"/>
                <w:highlight w:val="none"/>
              </w:rPr>
              <w:t>前。</w:t>
            </w:r>
            <w:bookmarkStart w:id="408" w:name="_GoBack"/>
            <w:bookmarkEnd w:id="408"/>
          </w:p>
          <w:p>
            <w:pPr>
              <w:rPr>
                <w:rFonts w:ascii="宋体" w:hAnsi="宋体" w:cs="宋体"/>
                <w:color w:val="auto"/>
                <w:szCs w:val="21"/>
                <w:highlight w:val="none"/>
              </w:rPr>
            </w:pPr>
            <w:r>
              <w:rPr>
                <w:rFonts w:hint="eastAsia" w:ascii="宋体" w:hAnsi="宋体" w:cs="宋体"/>
                <w:color w:val="auto"/>
                <w:szCs w:val="21"/>
                <w:highlight w:val="none"/>
              </w:rPr>
              <w:t>现场递交文件时间为：</w:t>
            </w:r>
            <w:r>
              <w:rPr>
                <w:rFonts w:ascii="宋体" w:hAnsi="宋体" w:cs="宋体"/>
                <w:color w:val="auto"/>
                <w:szCs w:val="21"/>
                <w:highlight w:val="none"/>
              </w:rPr>
              <w:t>202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日上午</w:t>
            </w:r>
            <w:r>
              <w:rPr>
                <w:rFonts w:ascii="宋体" w:hAnsi="宋体" w:cs="宋体"/>
                <w:color w:val="auto"/>
                <w:szCs w:val="21"/>
                <w:highlight w:val="none"/>
              </w:rPr>
              <w:t>9</w:t>
            </w:r>
            <w:r>
              <w:rPr>
                <w:rFonts w:hint="eastAsia" w:ascii="宋体" w:hAnsi="宋体" w:cs="宋体"/>
                <w:color w:val="auto"/>
                <w:szCs w:val="21"/>
                <w:highlight w:val="none"/>
              </w:rPr>
              <w:t>：</w:t>
            </w:r>
            <w:r>
              <w:rPr>
                <w:rFonts w:ascii="宋体" w:hAnsi="宋体" w:cs="宋体"/>
                <w:color w:val="auto"/>
                <w:szCs w:val="21"/>
                <w:highlight w:val="none"/>
              </w:rPr>
              <w:t>00</w:t>
            </w:r>
            <w:r>
              <w:rPr>
                <w:rFonts w:hint="eastAsia" w:ascii="宋体" w:hAnsi="宋体" w:cs="宋体"/>
                <w:color w:val="auto"/>
                <w:szCs w:val="21"/>
                <w:highlight w:val="none"/>
              </w:rPr>
              <w:t>—</w:t>
            </w:r>
            <w:r>
              <w:rPr>
                <w:rFonts w:ascii="宋体" w:hAnsi="宋体" w:cs="宋体"/>
                <w:color w:val="auto"/>
                <w:szCs w:val="21"/>
                <w:highlight w:val="none"/>
              </w:rPr>
              <w:t>9:30</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0" w:type="dxa"/>
            <w:shd w:val="clear" w:color="auto" w:fill="FFFFFF" w:themeFill="background1"/>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w:t>
            </w:r>
          </w:p>
        </w:tc>
        <w:tc>
          <w:tcPr>
            <w:tcW w:w="1750" w:type="dxa"/>
            <w:shd w:val="clear" w:color="auto" w:fill="FFFFFF" w:themeFill="background1"/>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比选时间、地点</w:t>
            </w:r>
          </w:p>
        </w:tc>
        <w:tc>
          <w:tcPr>
            <w:tcW w:w="6804" w:type="dxa"/>
            <w:shd w:val="clear" w:color="auto" w:fill="FFFFFF" w:themeFill="background1"/>
            <w:vAlign w:val="center"/>
          </w:tcPr>
          <w:p>
            <w:pPr>
              <w:rPr>
                <w:rFonts w:ascii="宋体" w:hAnsi="宋体" w:cs="宋体"/>
                <w:color w:val="auto"/>
                <w:szCs w:val="21"/>
                <w:highlight w:val="none"/>
              </w:rPr>
            </w:pPr>
            <w:r>
              <w:rPr>
                <w:rFonts w:hint="eastAsia" w:ascii="宋体" w:hAnsi="宋体" w:cs="宋体"/>
                <w:color w:val="auto"/>
                <w:szCs w:val="21"/>
                <w:highlight w:val="none"/>
              </w:rPr>
              <w:t>时间：</w:t>
            </w:r>
            <w:r>
              <w:rPr>
                <w:rFonts w:ascii="宋体" w:hAnsi="宋体" w:cs="宋体"/>
                <w:color w:val="auto"/>
                <w:szCs w:val="21"/>
                <w:highlight w:val="none"/>
              </w:rPr>
              <w:t>20</w:t>
            </w: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4</w:t>
            </w:r>
            <w:r>
              <w:rPr>
                <w:rFonts w:ascii="宋体" w:hAnsi="宋体" w:cs="宋体"/>
                <w:color w:val="auto"/>
                <w:szCs w:val="21"/>
                <w:highlight w:val="none"/>
              </w:rPr>
              <w:t>年</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日上午</w:t>
            </w:r>
            <w:r>
              <w:rPr>
                <w:rFonts w:ascii="宋体" w:hAnsi="宋体" w:cs="宋体"/>
                <w:color w:val="auto"/>
                <w:szCs w:val="21"/>
                <w:highlight w:val="none"/>
              </w:rPr>
              <w:t>9:30</w:t>
            </w:r>
          </w:p>
          <w:p>
            <w:pPr>
              <w:rPr>
                <w:rFonts w:ascii="宋体" w:hAnsi="宋体" w:cs="宋体"/>
                <w:color w:val="auto"/>
                <w:szCs w:val="21"/>
                <w:highlight w:val="none"/>
              </w:rPr>
            </w:pPr>
            <w:r>
              <w:rPr>
                <w:rFonts w:hint="eastAsia" w:ascii="宋体" w:hAnsi="宋体" w:cs="宋体"/>
                <w:color w:val="auto"/>
                <w:szCs w:val="21"/>
                <w:highlight w:val="none"/>
              </w:rPr>
              <w:t>地点</w:t>
            </w:r>
            <w:r>
              <w:rPr>
                <w:rFonts w:hint="eastAsia" w:ascii="宋体" w:hAnsi="宋体" w:cs="宋体"/>
                <w:color w:val="auto"/>
                <w:szCs w:val="21"/>
                <w:highlight w:val="none"/>
                <w:lang w:eastAsia="zh-CN"/>
              </w:rPr>
              <w:t>：</w:t>
            </w:r>
            <w:r>
              <w:rPr>
                <w:rFonts w:hint="eastAsia" w:ascii="宋体" w:hAnsi="宋体" w:cs="宋体"/>
                <w:color w:val="auto"/>
                <w:szCs w:val="21"/>
                <w:highlight w:val="none"/>
              </w:rPr>
              <w:t>南宁市</w:t>
            </w:r>
            <w:r>
              <w:rPr>
                <w:rFonts w:hint="eastAsia" w:ascii="宋体" w:hAnsi="宋体" w:cs="宋体"/>
                <w:color w:val="auto"/>
                <w:szCs w:val="21"/>
                <w:highlight w:val="none"/>
                <w:lang w:eastAsia="zh-CN"/>
              </w:rPr>
              <w:t>友谊路</w:t>
            </w:r>
            <w:r>
              <w:rPr>
                <w:rFonts w:hint="eastAsia" w:ascii="宋体" w:hAnsi="宋体" w:cs="宋体"/>
                <w:color w:val="auto"/>
                <w:szCs w:val="21"/>
                <w:highlight w:val="none"/>
                <w:lang w:val="en-US" w:eastAsia="zh-CN"/>
              </w:rPr>
              <w:t>21-6号</w:t>
            </w:r>
            <w:r>
              <w:rPr>
                <w:rFonts w:hint="eastAsia" w:ascii="宋体" w:hAnsi="宋体" w:cs="宋体"/>
                <w:color w:val="auto"/>
                <w:szCs w:val="21"/>
                <w:highlight w:val="none"/>
                <w:lang w:eastAsia="zh-CN"/>
              </w:rPr>
              <w:t>南宁市金盾道路清障有限责任公司</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rPr>
              <w:t>楼</w:t>
            </w:r>
            <w:r>
              <w:rPr>
                <w:rFonts w:hint="eastAsia" w:ascii="宋体" w:hAnsi="宋体" w:cs="宋体"/>
                <w:color w:val="auto"/>
                <w:szCs w:val="21"/>
                <w:highlight w:val="none"/>
                <w:lang w:val="en-US" w:eastAsia="zh-CN"/>
              </w:rPr>
              <w:t>311-312</w:t>
            </w:r>
            <w:r>
              <w:rPr>
                <w:rFonts w:hint="eastAsia" w:ascii="宋体" w:hAnsi="宋体" w:cs="宋体"/>
                <w:color w:val="auto"/>
                <w:szCs w:val="21"/>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8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w:t>
            </w:r>
          </w:p>
        </w:tc>
        <w:tc>
          <w:tcPr>
            <w:tcW w:w="175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评比办法</w:t>
            </w:r>
          </w:p>
        </w:tc>
        <w:tc>
          <w:tcPr>
            <w:tcW w:w="6804"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综合评分办法（详见第四章）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98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w:t>
            </w:r>
          </w:p>
        </w:tc>
        <w:tc>
          <w:tcPr>
            <w:tcW w:w="175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中选通知</w:t>
            </w:r>
          </w:p>
        </w:tc>
        <w:tc>
          <w:tcPr>
            <w:tcW w:w="6804"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比选人根据评比委员会的评比结果在比选有效期内向中选的比选申请人发出中选通知书。</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8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w:t>
            </w:r>
          </w:p>
        </w:tc>
        <w:tc>
          <w:tcPr>
            <w:tcW w:w="175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联系方式</w:t>
            </w:r>
          </w:p>
        </w:tc>
        <w:tc>
          <w:tcPr>
            <w:tcW w:w="6804" w:type="dxa"/>
            <w:vAlign w:val="center"/>
          </w:tcPr>
          <w:p>
            <w:pP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w:t>
            </w:r>
            <w:r>
              <w:rPr>
                <w:rFonts w:hint="eastAsia" w:ascii="宋体" w:hAnsi="宋体" w:cs="宋体"/>
                <w:color w:val="000000" w:themeColor="text1"/>
                <w:szCs w:val="21"/>
                <w:lang w:val="en-US" w:eastAsia="zh-CN"/>
                <w14:textFill>
                  <w14:solidFill>
                    <w14:schemeClr w14:val="tx1"/>
                  </w14:solidFill>
                </w14:textFill>
              </w:rPr>
              <w:t>黄女士</w:t>
            </w:r>
            <w:r>
              <w:rPr>
                <w:rFonts w:hint="eastAsia"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lang w:val="en-US" w:eastAsia="zh-CN"/>
                <w14:textFill>
                  <w14:solidFill>
                    <w14:schemeClr w14:val="tx1"/>
                  </w14:solidFill>
                </w14:textFill>
              </w:rPr>
              <w:t>18977143672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980"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w:t>
            </w:r>
          </w:p>
        </w:tc>
        <w:tc>
          <w:tcPr>
            <w:tcW w:w="175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其他事项</w:t>
            </w:r>
          </w:p>
        </w:tc>
        <w:tc>
          <w:tcPr>
            <w:tcW w:w="6804"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中选单位如放弃中选资格，则比选发起人有权将其列入不良行为记录名单，三年内禁止其参加比选发起人的任何采购活动。</w:t>
            </w:r>
          </w:p>
        </w:tc>
      </w:tr>
    </w:tbl>
    <w:p>
      <w:pPr>
        <w:pStyle w:val="4"/>
        <w:jc w:val="center"/>
        <w:rPr>
          <w:b/>
          <w:color w:val="000000" w:themeColor="text1"/>
          <w:sz w:val="32"/>
          <w:szCs w:val="32"/>
          <w14:textFill>
            <w14:solidFill>
              <w14:schemeClr w14:val="tx1"/>
            </w14:solidFill>
          </w14:textFill>
        </w:rPr>
      </w:pPr>
      <w:bookmarkStart w:id="40" w:name="_Toc18983"/>
      <w:bookmarkStart w:id="41" w:name="_Toc30162"/>
      <w:bookmarkStart w:id="42" w:name="_Toc461525297"/>
      <w:bookmarkStart w:id="43" w:name="_Toc3861"/>
      <w:bookmarkStart w:id="44" w:name="_Toc6681"/>
      <w:bookmarkStart w:id="45" w:name="_Toc12506"/>
      <w:bookmarkStart w:id="46" w:name="_Toc16198"/>
      <w:bookmarkStart w:id="47" w:name="_Toc32363"/>
      <w:bookmarkStart w:id="48" w:name="_Toc12419"/>
      <w:bookmarkStart w:id="49" w:name="_Toc26201"/>
      <w:bookmarkStart w:id="50" w:name="_Toc28086"/>
      <w:bookmarkStart w:id="51" w:name="_Toc336"/>
      <w:bookmarkStart w:id="52" w:name="_Toc471482361"/>
      <w:bookmarkStart w:id="53" w:name="_Toc20803"/>
    </w:p>
    <w:p>
      <w:pPr>
        <w:pStyle w:val="4"/>
        <w:jc w:val="center"/>
        <w:rPr>
          <w:b/>
          <w:color w:val="000000" w:themeColor="text1"/>
          <w:sz w:val="32"/>
          <w:szCs w:val="32"/>
          <w14:textFill>
            <w14:solidFill>
              <w14:schemeClr w14:val="tx1"/>
            </w14:solidFill>
          </w14:textFill>
        </w:rPr>
      </w:pPr>
    </w:p>
    <w:p/>
    <w:p/>
    <w:p/>
    <w:p/>
    <w:p/>
    <w:p/>
    <w:p/>
    <w:p/>
    <w:p/>
    <w:p/>
    <w:p>
      <w:pPr>
        <w:pStyle w:val="4"/>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一、总则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ind w:right="753"/>
        <w:jc w:val="left"/>
        <w:rPr>
          <w:rFonts w:ascii="宋体" w:hAnsi="宋体" w:cs="宋体"/>
          <w:b/>
          <w:color w:val="000000" w:themeColor="text1"/>
          <w:szCs w:val="21"/>
          <w14:textFill>
            <w14:solidFill>
              <w14:schemeClr w14:val="tx1"/>
            </w14:solidFill>
          </w14:textFill>
        </w:rPr>
      </w:pPr>
      <w:bookmarkStart w:id="54" w:name="_Toc286386834"/>
      <w:bookmarkStart w:id="55" w:name="_Toc310318572"/>
      <w:bookmarkStart w:id="56" w:name="_Toc114052414"/>
      <w:bookmarkStart w:id="57" w:name="_Toc114052340"/>
      <w:r>
        <w:rPr>
          <w:rFonts w:ascii="宋体" w:hAnsi="宋体" w:cs="宋体"/>
          <w:b/>
          <w:color w:val="000000" w:themeColor="text1"/>
          <w:szCs w:val="21"/>
          <w14:textFill>
            <w14:solidFill>
              <w14:schemeClr w14:val="tx1"/>
            </w14:solidFill>
          </w14:textFill>
        </w:rPr>
        <w:t>1.项目比选说明</w:t>
      </w:r>
      <w:bookmarkEnd w:id="54"/>
      <w:bookmarkEnd w:id="55"/>
      <w:bookmarkEnd w:id="56"/>
      <w:bookmarkEnd w:id="57"/>
    </w:p>
    <w:p>
      <w:pPr>
        <w:ind w:right="-21"/>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1.1 项目比选的说明见比选须知前附表（以下称“前附表”）第1项～第19</w:t>
      </w:r>
      <w:r>
        <w:rPr>
          <w:rFonts w:hint="eastAsia" w:ascii="宋体" w:hAnsi="宋体" w:cs="宋体"/>
          <w:color w:val="000000" w:themeColor="text1"/>
          <w:szCs w:val="21"/>
          <w14:textFill>
            <w14:solidFill>
              <w14:schemeClr w14:val="tx1"/>
            </w14:solidFill>
          </w14:textFill>
        </w:rPr>
        <w:t>项所述。</w:t>
      </w:r>
    </w:p>
    <w:p>
      <w:pPr>
        <w:ind w:right="-21"/>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1.2 上述项目按照国家有关的法律、法规作为依据，并按照南宁市政府现行有关规定执行，</w:t>
      </w:r>
      <w:r>
        <w:rPr>
          <w:rFonts w:hint="eastAsia" w:ascii="宋体" w:hAnsi="宋体" w:cs="宋体"/>
          <w:color w:val="000000" w:themeColor="text1"/>
          <w:szCs w:val="21"/>
          <w:lang w:eastAsia="zh-CN"/>
          <w14:textFill>
            <w14:solidFill>
              <w14:schemeClr w14:val="tx1"/>
            </w14:solidFill>
          </w14:textFill>
        </w:rPr>
        <w:t>南宁市金盾道路清障有限责任公司</w:t>
      </w:r>
      <w:r>
        <w:rPr>
          <w:rFonts w:ascii="宋体" w:hAnsi="宋体" w:cs="宋体"/>
          <w:color w:val="000000" w:themeColor="text1"/>
          <w:szCs w:val="21"/>
          <w14:textFill>
            <w14:solidFill>
              <w14:schemeClr w14:val="tx1"/>
            </w14:solidFill>
          </w14:textFill>
        </w:rPr>
        <w:t>现通过比选来择优选定服务单位。</w:t>
      </w:r>
    </w:p>
    <w:p>
      <w:pPr>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2.工作内容</w:t>
      </w:r>
    </w:p>
    <w:p>
      <w:pPr>
        <w:spacing w:line="240" w:lineRule="auto"/>
        <w:ind w:right="-21"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为</w:t>
      </w:r>
      <w:r>
        <w:rPr>
          <w:rFonts w:hint="default" w:ascii="宋体" w:hAnsi="宋体" w:cs="宋体"/>
          <w:color w:val="000000" w:themeColor="text1"/>
          <w:szCs w:val="21"/>
          <w:lang w:eastAsia="zh-CN"/>
          <w14:textFill>
            <w14:solidFill>
              <w14:schemeClr w14:val="tx1"/>
            </w14:solidFill>
          </w14:textFill>
        </w:rPr>
        <w:t>南宁市金盾道路清障有限责任公司</w:t>
      </w:r>
      <w:r>
        <w:rPr>
          <w:rFonts w:hint="eastAsia" w:ascii="宋体" w:hAnsi="宋体" w:cs="宋体"/>
          <w:color w:val="000000" w:themeColor="text1"/>
          <w:szCs w:val="21"/>
          <w14:textFill>
            <w14:solidFill>
              <w14:schemeClr w14:val="tx1"/>
            </w14:solidFill>
          </w14:textFill>
        </w:rPr>
        <w:t>提供</w:t>
      </w:r>
      <w:r>
        <w:rPr>
          <w:rFonts w:hint="default" w:ascii="宋体" w:hAnsi="宋体" w:cs="宋体"/>
          <w:color w:val="000000" w:themeColor="text1"/>
          <w:szCs w:val="21"/>
          <w:lang w:val="en-US" w:eastAsia="zh-CN"/>
          <w14:textFill>
            <w14:solidFill>
              <w14:schemeClr w14:val="tx1"/>
            </w14:solidFill>
          </w14:textFill>
        </w:rPr>
        <w:t>2024</w:t>
      </w:r>
      <w:r>
        <w:rPr>
          <w:rFonts w:ascii="宋体" w:hAnsi="宋体" w:cs="宋体"/>
          <w:color w:val="000000" w:themeColor="text1"/>
          <w:szCs w:val="21"/>
          <w14:textFill>
            <w14:solidFill>
              <w14:schemeClr w14:val="tx1"/>
            </w14:solidFill>
          </w14:textFill>
        </w:rPr>
        <w:t>年法律顾问服务，</w:t>
      </w:r>
      <w:r>
        <w:rPr>
          <w:rFonts w:hint="eastAsia" w:ascii="宋体" w:hAnsi="宋体" w:cs="宋体"/>
          <w:color w:val="000000" w:themeColor="text1"/>
          <w:szCs w:val="21"/>
          <w14:textFill>
            <w14:solidFill>
              <w14:schemeClr w14:val="tx1"/>
            </w14:solidFill>
          </w14:textFill>
        </w:rPr>
        <w:t>服务内容包括：公司日常法律咨询服务、规章制度、招投标文件、合同等文件的审查，对重大法律纠纷提供法律意见以及普法宣传活动、公司治理等事务。（具体详见合同条款）</w:t>
      </w:r>
    </w:p>
    <w:p>
      <w:pPr>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3.资金来源</w:t>
      </w:r>
    </w:p>
    <w:p>
      <w:pPr>
        <w:ind w:right="753"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资金来源见前附表第4项所述。</w:t>
      </w:r>
    </w:p>
    <w:p>
      <w:pPr>
        <w:ind w:right="753"/>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4.</w:t>
      </w:r>
      <w:bookmarkStart w:id="58" w:name="_Toc114052416"/>
      <w:bookmarkStart w:id="59" w:name="_Toc114052342"/>
      <w:bookmarkStart w:id="60" w:name="_Toc286386836"/>
      <w:bookmarkStart w:id="61" w:name="_Toc310318574"/>
      <w:r>
        <w:rPr>
          <w:rFonts w:hint="eastAsia" w:ascii="宋体" w:hAnsi="宋体" w:cs="宋体"/>
          <w:b/>
          <w:color w:val="000000" w:themeColor="text1"/>
          <w:szCs w:val="21"/>
          <w14:textFill>
            <w14:solidFill>
              <w14:schemeClr w14:val="tx1"/>
            </w14:solidFill>
          </w14:textFill>
        </w:rPr>
        <w:t>比选申请人资格要求</w:t>
      </w:r>
      <w:bookmarkEnd w:id="58"/>
      <w:bookmarkEnd w:id="59"/>
      <w:bookmarkEnd w:id="60"/>
      <w:bookmarkEnd w:id="61"/>
    </w:p>
    <w:p>
      <w:pPr>
        <w:ind w:right="-21"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比选申请人必须具有前附表第9项相应的资质及要求。</w:t>
      </w:r>
    </w:p>
    <w:p>
      <w:pPr>
        <w:ind w:right="753"/>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5.</w:t>
      </w:r>
      <w:bookmarkStart w:id="62" w:name="_Toc310318575"/>
      <w:bookmarkStart w:id="63" w:name="_Toc114052417"/>
      <w:bookmarkStart w:id="64" w:name="_Toc286386837"/>
      <w:bookmarkStart w:id="65" w:name="_Toc114052343"/>
      <w:r>
        <w:rPr>
          <w:rFonts w:hint="eastAsia" w:ascii="宋体" w:hAnsi="宋体" w:cs="宋体"/>
          <w:b/>
          <w:color w:val="000000" w:themeColor="text1"/>
          <w:szCs w:val="21"/>
          <w14:textFill>
            <w14:solidFill>
              <w14:schemeClr w14:val="tx1"/>
            </w14:solidFill>
          </w14:textFill>
        </w:rPr>
        <w:t>申请比选费用</w:t>
      </w:r>
      <w:bookmarkEnd w:id="62"/>
      <w:bookmarkEnd w:id="63"/>
      <w:bookmarkEnd w:id="64"/>
      <w:bookmarkEnd w:id="65"/>
    </w:p>
    <w:p>
      <w:pPr>
        <w:tabs>
          <w:tab w:val="left" w:pos="8610"/>
        </w:tabs>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比选申请人应承担其编制文件与递交文件所涉及的一切费用。不管评比结果如何，比选人对上述费用不负任何责任。</w:t>
      </w:r>
    </w:p>
    <w:p>
      <w:pPr>
        <w:pStyle w:val="4"/>
        <w:jc w:val="center"/>
        <w:rPr>
          <w:b/>
          <w:color w:val="000000" w:themeColor="text1"/>
          <w:sz w:val="32"/>
          <w:szCs w:val="32"/>
          <w14:textFill>
            <w14:solidFill>
              <w14:schemeClr w14:val="tx1"/>
            </w14:solidFill>
          </w14:textFill>
        </w:rPr>
      </w:pPr>
      <w:bookmarkStart w:id="66" w:name="_Toc3066"/>
      <w:bookmarkStart w:id="67" w:name="_Toc8029"/>
      <w:bookmarkStart w:id="68" w:name="_Toc22143"/>
      <w:bookmarkStart w:id="69" w:name="_Toc461525298"/>
      <w:bookmarkStart w:id="70" w:name="_Toc15439"/>
      <w:bookmarkStart w:id="71" w:name="_Toc5207"/>
      <w:bookmarkStart w:id="72" w:name="_Toc17725"/>
      <w:bookmarkStart w:id="73" w:name="_Toc26141"/>
      <w:bookmarkStart w:id="74" w:name="_Toc17323"/>
      <w:bookmarkStart w:id="75" w:name="_Toc25256"/>
      <w:bookmarkStart w:id="76" w:name="_Toc471482362"/>
      <w:bookmarkStart w:id="77" w:name="_Toc16023"/>
      <w:bookmarkStart w:id="78" w:name="_Toc18809"/>
      <w:bookmarkStart w:id="79" w:name="_Toc6541"/>
      <w:r>
        <w:rPr>
          <w:rFonts w:hint="eastAsia"/>
          <w:b/>
          <w:color w:val="000000" w:themeColor="text1"/>
          <w:sz w:val="32"/>
          <w:szCs w:val="32"/>
          <w14:textFill>
            <w14:solidFill>
              <w14:schemeClr w14:val="tx1"/>
            </w14:solidFill>
          </w14:textFill>
        </w:rPr>
        <w:t>二、比选文件</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ind w:right="753"/>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 xml:space="preserve"> 6.</w:t>
      </w:r>
      <w:bookmarkStart w:id="80" w:name="_Toc310318577"/>
      <w:bookmarkStart w:id="81" w:name="_Toc286386839"/>
      <w:bookmarkStart w:id="82" w:name="_Toc114052345"/>
      <w:bookmarkStart w:id="83" w:name="_Toc114052419"/>
      <w:r>
        <w:rPr>
          <w:rFonts w:hint="eastAsia" w:ascii="宋体" w:hAnsi="宋体" w:cs="宋体"/>
          <w:b/>
          <w:color w:val="000000" w:themeColor="text1"/>
          <w:szCs w:val="21"/>
          <w14:textFill>
            <w14:solidFill>
              <w14:schemeClr w14:val="tx1"/>
            </w14:solidFill>
          </w14:textFill>
        </w:rPr>
        <w:t>比选文件的组成</w:t>
      </w:r>
      <w:bookmarkEnd w:id="80"/>
      <w:bookmarkEnd w:id="81"/>
      <w:bookmarkEnd w:id="82"/>
      <w:bookmarkEnd w:id="83"/>
    </w:p>
    <w:p>
      <w:pPr>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6.1比选文件包括比选须知前附表、比选须知、合同条款（格式）、比选申请文件格式、评比办法。</w:t>
      </w:r>
    </w:p>
    <w:p>
      <w:pPr>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ind w:right="753"/>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7.</w:t>
      </w:r>
      <w:bookmarkStart w:id="84" w:name="_Toc114052420"/>
      <w:bookmarkStart w:id="85" w:name="_Toc114052346"/>
      <w:bookmarkStart w:id="86" w:name="_Toc286386840"/>
      <w:bookmarkStart w:id="87" w:name="_Toc310318578"/>
      <w:r>
        <w:rPr>
          <w:rFonts w:hint="eastAsia" w:ascii="宋体" w:hAnsi="宋体" w:cs="宋体"/>
          <w:b/>
          <w:color w:val="000000" w:themeColor="text1"/>
          <w:szCs w:val="21"/>
          <w14:textFill>
            <w14:solidFill>
              <w14:schemeClr w14:val="tx1"/>
            </w14:solidFill>
          </w14:textFill>
        </w:rPr>
        <w:t>比选文件的解释</w:t>
      </w:r>
      <w:bookmarkEnd w:id="84"/>
      <w:bookmarkEnd w:id="85"/>
      <w:bookmarkEnd w:id="86"/>
      <w:bookmarkEnd w:id="87"/>
    </w:p>
    <w:p>
      <w:pPr>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7.1比选申请人在获取比选文件后，若有问题需要澄清，均应在递交文件截止时间 3个工作日前的正常工作时间内，用当面递交书面通知比选人，其他方式为无效。比选人将于递交文件截止时间2天前以书面形式,在比选人官网发布，予以答复。</w:t>
      </w:r>
    </w:p>
    <w:p>
      <w:pPr>
        <w:ind w:right="753"/>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8.</w:t>
      </w:r>
      <w:bookmarkStart w:id="88" w:name="_Toc114052347"/>
      <w:bookmarkStart w:id="89" w:name="_Toc114052421"/>
      <w:bookmarkStart w:id="90" w:name="_Toc286386841"/>
      <w:bookmarkStart w:id="91" w:name="_Toc310318579"/>
      <w:r>
        <w:rPr>
          <w:rFonts w:hint="eastAsia" w:ascii="宋体" w:hAnsi="宋体" w:cs="宋体"/>
          <w:b/>
          <w:color w:val="000000" w:themeColor="text1"/>
          <w:szCs w:val="21"/>
          <w14:textFill>
            <w14:solidFill>
              <w14:schemeClr w14:val="tx1"/>
            </w14:solidFill>
          </w14:textFill>
        </w:rPr>
        <w:t>比选文件的修改</w:t>
      </w:r>
      <w:bookmarkEnd w:id="88"/>
      <w:bookmarkEnd w:id="89"/>
      <w:bookmarkEnd w:id="90"/>
      <w:bookmarkEnd w:id="91"/>
    </w:p>
    <w:p>
      <w:pPr>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8.1 在递交文件截止日期前2天，比选人可以采用补充通知的方式修改比选文件。</w:t>
      </w:r>
    </w:p>
    <w:p>
      <w:pPr>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8.2 补充通知将以书面形式，在比选人官网发布，补充通知作为比选文件的组成部分，对比选申请人起约束作用。</w:t>
      </w:r>
    </w:p>
    <w:p>
      <w:pPr>
        <w:pStyle w:val="4"/>
        <w:jc w:val="center"/>
        <w:rPr>
          <w:b/>
          <w:color w:val="000000" w:themeColor="text1"/>
          <w:sz w:val="32"/>
          <w:szCs w:val="32"/>
          <w14:textFill>
            <w14:solidFill>
              <w14:schemeClr w14:val="tx1"/>
            </w14:solidFill>
          </w14:textFill>
        </w:rPr>
      </w:pPr>
      <w:bookmarkStart w:id="92" w:name="_Toc19209"/>
      <w:bookmarkStart w:id="93" w:name="_Toc26897"/>
      <w:bookmarkStart w:id="94" w:name="_Toc18772"/>
      <w:bookmarkStart w:id="95" w:name="_Toc9453"/>
      <w:bookmarkStart w:id="96" w:name="_Toc30617"/>
      <w:bookmarkStart w:id="97" w:name="_Toc24574"/>
      <w:bookmarkStart w:id="98" w:name="_Toc9199"/>
      <w:bookmarkStart w:id="99" w:name="_Toc6395"/>
      <w:bookmarkStart w:id="100" w:name="_Toc9684"/>
      <w:bookmarkStart w:id="101" w:name="_Toc10523"/>
      <w:bookmarkStart w:id="102" w:name="_Toc471482363"/>
      <w:bookmarkStart w:id="103" w:name="_Toc8400"/>
      <w:bookmarkStart w:id="104" w:name="_Toc461525299"/>
      <w:bookmarkStart w:id="105" w:name="_Toc29216"/>
      <w:r>
        <w:rPr>
          <w:rFonts w:hint="eastAsia"/>
          <w:b/>
          <w:color w:val="000000" w:themeColor="text1"/>
          <w:sz w:val="32"/>
          <w:szCs w:val="32"/>
          <w14:textFill>
            <w14:solidFill>
              <w14:schemeClr w14:val="tx1"/>
            </w14:solidFill>
          </w14:textFill>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ind w:right="753"/>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 xml:space="preserve"> 9.</w:t>
      </w:r>
      <w:bookmarkStart w:id="106" w:name="_Toc114052423"/>
      <w:bookmarkStart w:id="107" w:name="_Toc286386843"/>
      <w:bookmarkStart w:id="108" w:name="_Toc114052349"/>
      <w:bookmarkStart w:id="109" w:name="_Toc310318581"/>
      <w:r>
        <w:rPr>
          <w:rFonts w:hint="eastAsia" w:ascii="宋体" w:hAnsi="宋体" w:cs="宋体"/>
          <w:b/>
          <w:color w:val="000000" w:themeColor="text1"/>
          <w:szCs w:val="21"/>
          <w14:textFill>
            <w14:solidFill>
              <w14:schemeClr w14:val="tx1"/>
            </w14:solidFill>
          </w14:textFill>
        </w:rPr>
        <w:t>申请比选</w:t>
      </w:r>
      <w:bookmarkEnd w:id="106"/>
      <w:bookmarkEnd w:id="107"/>
      <w:bookmarkEnd w:id="108"/>
      <w:r>
        <w:rPr>
          <w:rFonts w:hint="eastAsia" w:ascii="宋体" w:hAnsi="宋体" w:cs="宋体"/>
          <w:b/>
          <w:color w:val="000000" w:themeColor="text1"/>
          <w:szCs w:val="21"/>
          <w14:textFill>
            <w14:solidFill>
              <w14:schemeClr w14:val="tx1"/>
            </w14:solidFill>
          </w14:textFill>
        </w:rPr>
        <w:t>报价</w:t>
      </w:r>
      <w:bookmarkEnd w:id="109"/>
    </w:p>
    <w:p>
      <w:pPr>
        <w:ind w:right="753"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9.1申请比选报价见比选须知前附表第7项所述。</w:t>
      </w:r>
    </w:p>
    <w:p>
      <w:pPr>
        <w:pStyle w:val="4"/>
        <w:jc w:val="center"/>
        <w:rPr>
          <w:b/>
          <w:color w:val="000000" w:themeColor="text1"/>
          <w:sz w:val="32"/>
          <w:szCs w:val="32"/>
          <w14:textFill>
            <w14:solidFill>
              <w14:schemeClr w14:val="tx1"/>
            </w14:solidFill>
          </w14:textFill>
        </w:rPr>
      </w:pPr>
      <w:bookmarkStart w:id="110" w:name="_Toc17259"/>
      <w:bookmarkStart w:id="111" w:name="_Toc11943"/>
      <w:bookmarkStart w:id="112" w:name="_Toc2346"/>
      <w:bookmarkStart w:id="113" w:name="_Toc31461"/>
      <w:bookmarkStart w:id="114" w:name="_Toc461525300"/>
      <w:bookmarkStart w:id="115" w:name="_Toc26723"/>
      <w:bookmarkStart w:id="116" w:name="_Toc17188"/>
      <w:bookmarkStart w:id="117" w:name="_Toc18607"/>
      <w:bookmarkStart w:id="118" w:name="_Toc23455"/>
      <w:bookmarkStart w:id="119" w:name="_Toc25856"/>
      <w:bookmarkStart w:id="120" w:name="_Toc17722"/>
      <w:bookmarkStart w:id="121" w:name="_Toc471482364"/>
      <w:bookmarkStart w:id="122" w:name="_Toc5583"/>
      <w:bookmarkStart w:id="123" w:name="_Toc23191"/>
      <w:r>
        <w:rPr>
          <w:rFonts w:hint="eastAsia"/>
          <w:b/>
          <w:color w:val="000000" w:themeColor="text1"/>
          <w:sz w:val="32"/>
          <w:szCs w:val="32"/>
          <w14:textFill>
            <w14:solidFill>
              <w14:schemeClr w14:val="tx1"/>
            </w14:solidFill>
          </w14:textFill>
        </w:rPr>
        <w:t>四、比选申请文件的编制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ind w:right="753"/>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10.</w:t>
      </w:r>
      <w:bookmarkStart w:id="124" w:name="_Toc310318583"/>
      <w:bookmarkStart w:id="125" w:name="_Toc286386845"/>
      <w:r>
        <w:rPr>
          <w:rFonts w:hint="eastAsia" w:ascii="宋体" w:hAnsi="宋体" w:cs="宋体"/>
          <w:b/>
          <w:color w:val="000000" w:themeColor="text1"/>
          <w:szCs w:val="21"/>
          <w14:textFill>
            <w14:solidFill>
              <w14:schemeClr w14:val="tx1"/>
            </w14:solidFill>
          </w14:textFill>
        </w:rPr>
        <w:t>比选申请文件编写注意事项</w:t>
      </w:r>
      <w:bookmarkEnd w:id="124"/>
      <w:bookmarkEnd w:id="125"/>
    </w:p>
    <w:p>
      <w:pPr>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10.2比选文件提出的实质性要求和条件是指本比选项目所涉及的最低人员配置、价格、服务及其它要求、合同条款等内容。</w:t>
      </w:r>
    </w:p>
    <w:p>
      <w:pPr>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10.3比选申请人的比选申请文件所有来往函件统一使用中文(特别规定除外)。</w:t>
      </w:r>
    </w:p>
    <w:p>
      <w:pPr>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10.4比选申请文件中使用的计量单位除比选文件中有特殊规定外，一律使用法定计量单位。</w:t>
      </w:r>
    </w:p>
    <w:p>
      <w:pPr>
        <w:ind w:right="753"/>
        <w:jc w:val="left"/>
        <w:rPr>
          <w:rFonts w:ascii="宋体" w:hAnsi="宋体" w:cs="宋体"/>
          <w:b/>
          <w:color w:val="000000" w:themeColor="text1"/>
          <w:szCs w:val="21"/>
          <w14:textFill>
            <w14:solidFill>
              <w14:schemeClr w14:val="tx1"/>
            </w14:solidFill>
          </w14:textFill>
        </w:rPr>
      </w:pPr>
      <w:bookmarkStart w:id="126" w:name="_Toc310318584"/>
      <w:bookmarkStart w:id="127" w:name="_Toc114052426"/>
      <w:bookmarkStart w:id="128" w:name="_Toc286386846"/>
      <w:bookmarkStart w:id="129" w:name="_Toc114052352"/>
      <w:r>
        <w:rPr>
          <w:rFonts w:ascii="宋体" w:hAnsi="宋体" w:cs="宋体"/>
          <w:b/>
          <w:color w:val="000000" w:themeColor="text1"/>
          <w:szCs w:val="21"/>
          <w14:textFill>
            <w14:solidFill>
              <w14:schemeClr w14:val="tx1"/>
            </w14:solidFill>
          </w14:textFill>
        </w:rPr>
        <w:t xml:space="preserve"> 11.比选申请文件的组成</w:t>
      </w:r>
      <w:bookmarkEnd w:id="126"/>
      <w:bookmarkEnd w:id="127"/>
      <w:bookmarkEnd w:id="128"/>
      <w:bookmarkEnd w:id="129"/>
    </w:p>
    <w:p>
      <w:pPr>
        <w:ind w:right="-21" w:firstLine="420" w:firstLineChars="200"/>
        <w:jc w:val="left"/>
        <w:rPr>
          <w:rFonts w:ascii="宋体" w:hAnsi="宋体" w:cs="宋体"/>
          <w:b/>
          <w:color w:val="000000" w:themeColor="text1"/>
          <w:szCs w:val="21"/>
          <w14:textFill>
            <w14:solidFill>
              <w14:schemeClr w14:val="tx1"/>
            </w14:solidFill>
          </w14:textFill>
        </w:rPr>
      </w:pPr>
      <w:bookmarkStart w:id="130" w:name="_Toc114052354"/>
      <w:r>
        <w:rPr>
          <w:rFonts w:ascii="宋体" w:hAnsi="宋体" w:cs="宋体"/>
          <w:b/>
          <w:color w:val="000000" w:themeColor="text1"/>
          <w:szCs w:val="21"/>
          <w14:textFill>
            <w14:solidFill>
              <w14:schemeClr w14:val="tx1"/>
            </w14:solidFill>
          </w14:textFill>
        </w:rPr>
        <w:t>11.1比选申请文件由资格审查部分、技术部分、商务部分三部分组成，详细要求与部分格式详见第三章。</w:t>
      </w:r>
    </w:p>
    <w:p>
      <w:pPr>
        <w:ind w:right="753" w:firstLine="315" w:firstLineChars="150"/>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 xml:space="preserve"> 11.2资格审查部分主要包括下列内容：</w:t>
      </w:r>
    </w:p>
    <w:p>
      <w:pPr>
        <w:ind w:right="753" w:firstLine="420" w:firstLineChars="200"/>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（1）诚信声明（原件）；</w:t>
      </w:r>
    </w:p>
    <w:p>
      <w:pPr>
        <w:ind w:right="753" w:firstLine="420" w:firstLineChars="200"/>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2）</w:t>
      </w:r>
      <w:r>
        <w:rPr>
          <w:rFonts w:hint="eastAsia" w:ascii="宋体" w:hAnsi="宋体" w:cs="宋体"/>
          <w:b/>
          <w:color w:val="000000" w:themeColor="text1"/>
          <w:szCs w:val="21"/>
          <w14:textFill>
            <w14:solidFill>
              <w14:schemeClr w14:val="tx1"/>
            </w14:solidFill>
          </w14:textFill>
        </w:rPr>
        <w:t>比选函（原件）；</w:t>
      </w:r>
    </w:p>
    <w:p>
      <w:pPr>
        <w:ind w:right="753" w:firstLine="420" w:firstLineChars="200"/>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3）</w:t>
      </w:r>
      <w:r>
        <w:rPr>
          <w:rFonts w:hint="eastAsia" w:ascii="宋体" w:hAnsi="宋体" w:cs="宋体"/>
          <w:b/>
          <w:color w:val="000000" w:themeColor="text1"/>
          <w:szCs w:val="21"/>
          <w14:textFill>
            <w14:solidFill>
              <w14:schemeClr w14:val="tx1"/>
            </w14:solidFill>
          </w14:textFill>
        </w:rPr>
        <w:t>律师事务所执业许可证（复印件加盖律所公章）；</w:t>
      </w:r>
    </w:p>
    <w:p>
      <w:pPr>
        <w:ind w:right="753" w:firstLine="420" w:firstLineChars="200"/>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4）</w:t>
      </w:r>
      <w:r>
        <w:rPr>
          <w:rFonts w:hint="eastAsia" w:ascii="宋体" w:hAnsi="宋体" w:cs="宋体"/>
          <w:b/>
          <w:color w:val="000000" w:themeColor="text1"/>
          <w:szCs w:val="21"/>
          <w14:textFill>
            <w14:solidFill>
              <w14:schemeClr w14:val="tx1"/>
            </w14:solidFill>
          </w14:textFill>
        </w:rPr>
        <w:t>律师事务所负责人身份证明（复印件加盖律所公章）；</w:t>
      </w:r>
    </w:p>
    <w:p>
      <w:pPr>
        <w:ind w:right="753" w:firstLine="420" w:firstLineChars="200"/>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5）</w:t>
      </w:r>
      <w:r>
        <w:rPr>
          <w:rFonts w:hint="eastAsia" w:ascii="宋体" w:hAnsi="宋体" w:cs="宋体"/>
          <w:b/>
          <w:color w:val="000000" w:themeColor="text1"/>
          <w:szCs w:val="21"/>
          <w14:textFill>
            <w14:solidFill>
              <w14:schemeClr w14:val="tx1"/>
            </w14:solidFill>
          </w14:textFill>
        </w:rPr>
        <w:t>比选申请文件签署授权委托书（原件）</w:t>
      </w:r>
      <w:r>
        <w:rPr>
          <w:rFonts w:ascii="宋体" w:hAnsi="宋体" w:cs="宋体"/>
          <w:b/>
          <w:color w:val="000000" w:themeColor="text1"/>
          <w:szCs w:val="21"/>
          <w14:textFill>
            <w14:solidFill>
              <w14:schemeClr w14:val="tx1"/>
            </w14:solidFill>
          </w14:textFill>
        </w:rPr>
        <w:t>；</w:t>
      </w:r>
    </w:p>
    <w:p>
      <w:pPr>
        <w:ind w:right="753" w:firstLine="420" w:firstLineChars="200"/>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6）</w:t>
      </w:r>
      <w:r>
        <w:rPr>
          <w:rFonts w:hint="eastAsia" w:ascii="宋体" w:hAnsi="宋体" w:cs="宋体"/>
          <w:b/>
          <w:color w:val="000000" w:themeColor="text1"/>
          <w:szCs w:val="21"/>
          <w14:textFill>
            <w14:solidFill>
              <w14:schemeClr w14:val="tx1"/>
            </w14:solidFill>
          </w14:textFill>
        </w:rPr>
        <w:t>授权代表人身份证（复印件加盖单位公章）。</w:t>
      </w:r>
    </w:p>
    <w:bookmarkEnd w:id="130"/>
    <w:p>
      <w:pPr>
        <w:ind w:right="753" w:firstLine="420" w:firstLineChars="200"/>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11.3技术部分主要包括下列内容：</w:t>
      </w:r>
    </w:p>
    <w:p>
      <w:pPr>
        <w:ind w:right="-21" w:firstLine="420" w:firstLineChars="200"/>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（1）</w:t>
      </w:r>
      <w:r>
        <w:rPr>
          <w:rFonts w:hint="eastAsia" w:ascii="宋体" w:hAnsi="宋体" w:cs="宋体"/>
          <w:b/>
          <w:color w:val="000000" w:themeColor="text1"/>
          <w:szCs w:val="21"/>
          <w14:textFill>
            <w14:solidFill>
              <w14:schemeClr w14:val="tx1"/>
            </w14:solidFill>
          </w14:textFill>
        </w:rPr>
        <w:t>律师事务所业绩表；</w:t>
      </w:r>
    </w:p>
    <w:p>
      <w:pPr>
        <w:ind w:right="-21" w:firstLine="420" w:firstLineChars="200"/>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（2）</w:t>
      </w:r>
      <w:r>
        <w:rPr>
          <w:rFonts w:hint="eastAsia" w:ascii="宋体" w:hAnsi="宋体" w:cs="宋体"/>
          <w:b/>
          <w:color w:val="000000" w:themeColor="text1"/>
          <w:szCs w:val="21"/>
          <w14:textFill>
            <w14:solidFill>
              <w14:schemeClr w14:val="tx1"/>
            </w14:solidFill>
          </w14:textFill>
        </w:rPr>
        <w:t>律师事务所成立时间及信誉材料；</w:t>
      </w:r>
    </w:p>
    <w:p>
      <w:pPr>
        <w:ind w:right="753" w:firstLine="420" w:firstLineChars="200"/>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（3）</w:t>
      </w:r>
      <w:r>
        <w:rPr>
          <w:rFonts w:hint="eastAsia" w:ascii="宋体" w:hAnsi="宋体" w:cs="宋体"/>
          <w:b/>
          <w:color w:val="000000" w:themeColor="text1"/>
          <w:szCs w:val="21"/>
          <w14:textFill>
            <w14:solidFill>
              <w14:schemeClr w14:val="tx1"/>
            </w14:solidFill>
          </w14:textFill>
        </w:rPr>
        <w:t>拟投入人员配置明细；</w:t>
      </w:r>
    </w:p>
    <w:p>
      <w:pPr>
        <w:ind w:right="753" w:firstLine="420" w:firstLineChars="200"/>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4）</w:t>
      </w:r>
      <w:r>
        <w:rPr>
          <w:rFonts w:hint="eastAsia" w:ascii="宋体" w:hAnsi="宋体" w:cs="宋体"/>
          <w:b/>
          <w:color w:val="000000" w:themeColor="text1"/>
          <w:szCs w:val="21"/>
          <w14:textFill>
            <w14:solidFill>
              <w14:schemeClr w14:val="tx1"/>
            </w14:solidFill>
          </w14:textFill>
        </w:rPr>
        <w:t>拟投入人员资质（拟投入人员律师执业资格证书复印件等材料）；</w:t>
      </w:r>
    </w:p>
    <w:p>
      <w:pPr>
        <w:ind w:right="753" w:firstLine="420" w:firstLineChars="200"/>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5）</w:t>
      </w:r>
      <w:r>
        <w:rPr>
          <w:rFonts w:hint="eastAsia" w:ascii="宋体" w:hAnsi="宋体" w:cs="宋体"/>
          <w:b/>
          <w:color w:val="000000" w:themeColor="text1"/>
          <w:szCs w:val="21"/>
          <w14:textFill>
            <w14:solidFill>
              <w14:schemeClr w14:val="tx1"/>
            </w14:solidFill>
          </w14:textFill>
        </w:rPr>
        <w:t>法律顾问团队服务方案。</w:t>
      </w:r>
    </w:p>
    <w:p>
      <w:pPr>
        <w:ind w:right="753"/>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 xml:space="preserve">   </w:t>
      </w:r>
      <w:r>
        <w:rPr>
          <w:rFonts w:ascii="宋体" w:hAnsi="宋体" w:cs="宋体"/>
          <w:b/>
          <w:color w:val="000000" w:themeColor="text1"/>
          <w:szCs w:val="21"/>
          <w14:textFill>
            <w14:solidFill>
              <w14:schemeClr w14:val="tx1"/>
            </w14:solidFill>
          </w14:textFill>
        </w:rPr>
        <w:t xml:space="preserve"> 11.4商务部分主要包括下列内容：</w:t>
      </w:r>
    </w:p>
    <w:p>
      <w:pPr>
        <w:ind w:right="753" w:firstLine="525" w:firstLineChars="250"/>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1）报价表；</w:t>
      </w:r>
    </w:p>
    <w:p>
      <w:pPr>
        <w:ind w:right="-21"/>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 xml:space="preserve">    11.5比选申请人需按照比选人提供的比选申请文件格式和顺序另行编制比选申请文件，但表格可以按同样格式扩展。</w:t>
      </w:r>
    </w:p>
    <w:p>
      <w:pPr>
        <w:ind w:right="753"/>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12.</w:t>
      </w:r>
      <w:bookmarkStart w:id="131" w:name="_Toc114052363"/>
      <w:bookmarkStart w:id="132" w:name="_Toc310318585"/>
      <w:bookmarkStart w:id="133" w:name="_Toc114052427"/>
      <w:bookmarkStart w:id="134" w:name="_Toc286386847"/>
      <w:r>
        <w:rPr>
          <w:rFonts w:hint="eastAsia" w:ascii="宋体" w:hAnsi="宋体" w:cs="宋体"/>
          <w:b/>
          <w:color w:val="000000" w:themeColor="text1"/>
          <w:szCs w:val="21"/>
          <w14:textFill>
            <w14:solidFill>
              <w14:schemeClr w14:val="tx1"/>
            </w14:solidFill>
          </w14:textFill>
        </w:rPr>
        <w:t>比选有效期</w:t>
      </w:r>
      <w:bookmarkEnd w:id="131"/>
      <w:bookmarkEnd w:id="132"/>
      <w:bookmarkEnd w:id="133"/>
      <w:bookmarkEnd w:id="134"/>
    </w:p>
    <w:p>
      <w:pPr>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12.1 比选申请文件在前附表第14条规定的递交比选申请文件日期之</w:t>
      </w:r>
      <w:r>
        <w:rPr>
          <w:rFonts w:hint="eastAsia" w:ascii="宋体" w:hAnsi="宋体" w:cs="宋体"/>
          <w:color w:val="auto"/>
          <w:szCs w:val="21"/>
          <w:highlight w:val="none"/>
        </w:rPr>
        <w:t>后的90天内有</w:t>
      </w:r>
      <w:r>
        <w:rPr>
          <w:rFonts w:hint="eastAsia" w:ascii="宋体" w:hAnsi="宋体" w:cs="宋体"/>
          <w:color w:val="000000" w:themeColor="text1"/>
          <w:szCs w:val="21"/>
          <w:highlight w:val="none"/>
          <w14:textFill>
            <w14:solidFill>
              <w14:schemeClr w14:val="tx1"/>
            </w14:solidFill>
          </w14:textFill>
        </w:rPr>
        <w:t>效。</w:t>
      </w:r>
    </w:p>
    <w:p>
      <w:pPr>
        <w:ind w:right="-21"/>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13.比选保证金</w:t>
      </w:r>
    </w:p>
    <w:p>
      <w:pPr>
        <w:ind w:right="753"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13.1本次比选不需要缴纳申请比选保证金。</w:t>
      </w:r>
    </w:p>
    <w:p>
      <w:pPr>
        <w:ind w:right="753"/>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14.</w:t>
      </w:r>
      <w:bookmarkStart w:id="135" w:name="_Toc310318587"/>
      <w:bookmarkStart w:id="136" w:name="_Toc286386849"/>
      <w:bookmarkStart w:id="137" w:name="_Toc114052429"/>
      <w:bookmarkStart w:id="138" w:name="_Toc114052365"/>
      <w:r>
        <w:rPr>
          <w:rFonts w:hint="eastAsia" w:ascii="宋体" w:hAnsi="宋体" w:cs="宋体"/>
          <w:b/>
          <w:color w:val="000000" w:themeColor="text1"/>
          <w:szCs w:val="21"/>
          <w14:textFill>
            <w14:solidFill>
              <w14:schemeClr w14:val="tx1"/>
            </w14:solidFill>
          </w14:textFill>
        </w:rPr>
        <w:t>比选答疑</w:t>
      </w:r>
      <w:bookmarkEnd w:id="135"/>
      <w:bookmarkEnd w:id="136"/>
      <w:bookmarkEnd w:id="137"/>
      <w:bookmarkEnd w:id="138"/>
    </w:p>
    <w:p>
      <w:pPr>
        <w:ind w:right="-21"/>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14.1比选申请人提出的与比选有关的任何问题均应在递交文件截止时间3个工作日前的正常工作时间内，用当面递交书面通知比选人，其他方式为无效。比选人将以书面形式通过“比选补遗文件”的形式予以答复。</w:t>
      </w:r>
    </w:p>
    <w:p>
      <w:pPr>
        <w:ind w:right="-21"/>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14.2比选补遗文件包括所有问题和答复，比选人将于递交文件截止时间2</w:t>
      </w:r>
      <w:r>
        <w:rPr>
          <w:rFonts w:hint="eastAsia" w:ascii="宋体" w:hAnsi="宋体" w:cs="宋体"/>
          <w:color w:val="000000" w:themeColor="text1"/>
          <w:szCs w:val="21"/>
          <w14:textFill>
            <w14:solidFill>
              <w14:schemeClr w14:val="tx1"/>
            </w14:solidFill>
          </w14:textFill>
        </w:rPr>
        <w:t>天</w:t>
      </w:r>
      <w:r>
        <w:rPr>
          <w:rFonts w:ascii="宋体" w:hAnsi="宋体" w:cs="宋体"/>
          <w:color w:val="000000" w:themeColor="text1"/>
          <w:szCs w:val="21"/>
          <w14:textFill>
            <w14:solidFill>
              <w14:schemeClr w14:val="tx1"/>
            </w14:solidFill>
          </w14:textFill>
        </w:rPr>
        <w:t>前以书面形式,在</w:t>
      </w:r>
      <w:r>
        <w:rPr>
          <w:rFonts w:hint="eastAsia" w:ascii="宋体" w:hAnsi="宋体" w:cs="宋体"/>
          <w:color w:val="000000" w:themeColor="text1"/>
          <w:szCs w:val="21"/>
          <w14:textFill>
            <w14:solidFill>
              <w14:schemeClr w14:val="tx1"/>
            </w14:solidFill>
          </w14:textFill>
        </w:rPr>
        <w:t>比选人官网发布，予以答复。</w:t>
      </w:r>
    </w:p>
    <w:p>
      <w:pPr>
        <w:ind w:right="753"/>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15.</w:t>
      </w:r>
      <w:bookmarkStart w:id="139" w:name="_Toc114052430"/>
      <w:bookmarkStart w:id="140" w:name="_Toc114052366"/>
      <w:bookmarkStart w:id="141" w:name="_Toc310318588"/>
      <w:bookmarkStart w:id="142" w:name="_Toc286386850"/>
      <w:r>
        <w:rPr>
          <w:rFonts w:hint="eastAsia" w:ascii="宋体" w:hAnsi="宋体" w:cs="宋体"/>
          <w:b/>
          <w:color w:val="000000" w:themeColor="text1"/>
          <w:szCs w:val="21"/>
          <w14:textFill>
            <w14:solidFill>
              <w14:schemeClr w14:val="tx1"/>
            </w14:solidFill>
          </w14:textFill>
        </w:rPr>
        <w:t>比选申请文件的份数</w:t>
      </w:r>
      <w:bookmarkEnd w:id="139"/>
      <w:bookmarkEnd w:id="140"/>
      <w:bookmarkEnd w:id="141"/>
      <w:bookmarkEnd w:id="142"/>
      <w:r>
        <w:rPr>
          <w:rFonts w:hint="eastAsia" w:ascii="宋体" w:hAnsi="宋体" w:cs="宋体"/>
          <w:b/>
          <w:color w:val="000000" w:themeColor="text1"/>
          <w:szCs w:val="21"/>
          <w14:textFill>
            <w14:solidFill>
              <w14:schemeClr w14:val="tx1"/>
            </w14:solidFill>
          </w14:textFill>
        </w:rPr>
        <w:t>和签署</w:t>
      </w:r>
    </w:p>
    <w:p>
      <w:pPr>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15.1比选申请人按比选文件规定，编制一份比选申请文件“正本”和四份比选申请文件“副本”，并标明“比选申请文件正本”和“比选申请文件副本”。比选申请文件正本和副本如有不一致之处，以正本为准。</w:t>
      </w:r>
    </w:p>
    <w:p>
      <w:pPr>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15.2比选申请文件正本与副本均应使用不能擦去的黑色墨水打印或书写，装订成册，由比选申请人负责人或授权委托代理人亲自签署或加盖印鉴，并加盖比选申请人单位公章。</w:t>
      </w:r>
    </w:p>
    <w:p>
      <w:pPr>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15.3全套比选申请文件应无涂改和行间插字，除非这些删改是根据比选人指示进行的；或者是比选申请人造成的必须修改的错误，但修改处应由比选申请文件签字人签字证明，否则修改无效。</w:t>
      </w:r>
    </w:p>
    <w:p>
      <w:pPr>
        <w:pStyle w:val="4"/>
        <w:jc w:val="center"/>
        <w:rPr>
          <w:b/>
          <w:color w:val="000000" w:themeColor="text1"/>
          <w:sz w:val="32"/>
          <w:szCs w:val="32"/>
          <w14:textFill>
            <w14:solidFill>
              <w14:schemeClr w14:val="tx1"/>
            </w14:solidFill>
          </w14:textFill>
        </w:rPr>
      </w:pPr>
      <w:bookmarkStart w:id="143" w:name="_Toc461525301"/>
      <w:bookmarkStart w:id="144" w:name="_Toc11391"/>
      <w:bookmarkStart w:id="145" w:name="_Toc15955"/>
      <w:bookmarkStart w:id="146" w:name="_Toc31804"/>
      <w:bookmarkStart w:id="147" w:name="_Toc2153"/>
      <w:bookmarkStart w:id="148" w:name="_Toc471482365"/>
      <w:bookmarkStart w:id="149" w:name="_Toc28652"/>
      <w:bookmarkStart w:id="150" w:name="_Toc19276"/>
      <w:bookmarkStart w:id="151" w:name="_Toc28307"/>
      <w:bookmarkStart w:id="152" w:name="_Toc23101"/>
      <w:bookmarkStart w:id="153" w:name="_Toc16937"/>
      <w:bookmarkStart w:id="154" w:name="_Toc25460"/>
      <w:bookmarkStart w:id="155" w:name="_Toc23604"/>
      <w:bookmarkStart w:id="156" w:name="_Toc14726"/>
      <w:r>
        <w:rPr>
          <w:rFonts w:hint="eastAsia"/>
          <w:b/>
          <w:color w:val="000000" w:themeColor="text1"/>
          <w:sz w:val="32"/>
          <w:szCs w:val="32"/>
          <w14:textFill>
            <w14:solidFill>
              <w14:schemeClr w14:val="tx1"/>
            </w14:solidFill>
          </w14:textFill>
        </w:rPr>
        <w:t>五、比选申请文件的递交</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 xml:space="preserve"> 16.比选申请文件的密封与标志</w:t>
      </w:r>
    </w:p>
    <w:p>
      <w:pPr>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16.1比选申请文件装订要求：比选申请文件中资格审查部分、技术部分、商务部分分开装订。</w:t>
      </w:r>
    </w:p>
    <w:p>
      <w:pPr>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16.2比选申请文件密封在一个比选文件密封袋中。</w:t>
      </w:r>
    </w:p>
    <w:p>
      <w:pPr>
        <w:tabs>
          <w:tab w:val="left" w:pos="8610"/>
        </w:tabs>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16.3密封袋封口处都应加盖比选申请人公章或粘贴加盖公章的密封条，若密封袋没有加盖公章或破损严重，有可能导致比选申请文件被比选人拒收。</w:t>
      </w:r>
    </w:p>
    <w:p>
      <w:pPr>
        <w:ind w:right="753"/>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17.递交比选文件截止期</w:t>
      </w:r>
    </w:p>
    <w:p>
      <w:pPr>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17.1比选申请人应在前附表第14项所述规定的时间，将比选申请文件递交至前附表第13项所述的单位和地址。</w:t>
      </w:r>
    </w:p>
    <w:p>
      <w:pPr>
        <w:pStyle w:val="4"/>
        <w:jc w:val="center"/>
        <w:rPr>
          <w:b/>
          <w:color w:val="000000" w:themeColor="text1"/>
          <w:sz w:val="32"/>
          <w:szCs w:val="32"/>
          <w:highlight w:val="none"/>
          <w14:textFill>
            <w14:solidFill>
              <w14:schemeClr w14:val="tx1"/>
            </w14:solidFill>
          </w14:textFill>
        </w:rPr>
      </w:pPr>
      <w:bookmarkStart w:id="157" w:name="_Toc32687"/>
      <w:bookmarkStart w:id="158" w:name="_Toc20601"/>
      <w:bookmarkStart w:id="159" w:name="_Toc29047"/>
      <w:bookmarkStart w:id="160" w:name="_Toc461525302"/>
      <w:bookmarkStart w:id="161" w:name="_Toc471482366"/>
      <w:bookmarkStart w:id="162" w:name="_Toc17217"/>
      <w:bookmarkStart w:id="163" w:name="_Toc31034"/>
      <w:bookmarkStart w:id="164" w:name="_Toc22118"/>
      <w:bookmarkStart w:id="165" w:name="_Toc30232"/>
      <w:bookmarkStart w:id="166" w:name="_Toc6376"/>
      <w:bookmarkStart w:id="167" w:name="_Toc1057"/>
      <w:bookmarkStart w:id="168" w:name="_Toc27095"/>
      <w:bookmarkStart w:id="169" w:name="_Toc31139"/>
      <w:bookmarkStart w:id="170" w:name="_Toc20356"/>
      <w:r>
        <w:rPr>
          <w:rFonts w:hint="eastAsia"/>
          <w:b/>
          <w:color w:val="000000" w:themeColor="text1"/>
          <w:sz w:val="32"/>
          <w:szCs w:val="32"/>
          <w:highlight w:val="none"/>
          <w14:textFill>
            <w14:solidFill>
              <w14:schemeClr w14:val="tx1"/>
            </w14:solidFill>
          </w14:textFill>
        </w:rPr>
        <w:t>六、评</w:t>
      </w:r>
      <w:bookmarkEnd w:id="157"/>
      <w:bookmarkEnd w:id="158"/>
      <w:bookmarkEnd w:id="159"/>
      <w:r>
        <w:rPr>
          <w:rFonts w:hint="eastAsia"/>
          <w:b/>
          <w:color w:val="000000" w:themeColor="text1"/>
          <w:sz w:val="32"/>
          <w:szCs w:val="32"/>
          <w:highlight w:val="none"/>
          <w14:textFill>
            <w14:solidFill>
              <w14:schemeClr w14:val="tx1"/>
            </w14:solidFill>
          </w14:textFill>
        </w:rPr>
        <w:t>比</w:t>
      </w:r>
      <w:bookmarkEnd w:id="160"/>
      <w:bookmarkEnd w:id="161"/>
      <w:bookmarkEnd w:id="162"/>
      <w:bookmarkEnd w:id="163"/>
      <w:bookmarkEnd w:id="164"/>
      <w:bookmarkEnd w:id="165"/>
      <w:bookmarkEnd w:id="166"/>
      <w:bookmarkEnd w:id="167"/>
      <w:bookmarkEnd w:id="168"/>
      <w:bookmarkEnd w:id="169"/>
      <w:bookmarkEnd w:id="170"/>
    </w:p>
    <w:p>
      <w:pPr>
        <w:ind w:right="753"/>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 xml:space="preserve"> 18.评比委员会</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18.1</w:t>
      </w:r>
      <w:r>
        <w:rPr>
          <w:rFonts w:hint="eastAsia" w:ascii="宋体" w:hAnsi="宋体"/>
          <w:color w:val="000000" w:themeColor="text1"/>
          <w:szCs w:val="21"/>
          <w14:textFill>
            <w14:solidFill>
              <w14:schemeClr w14:val="tx1"/>
            </w14:solidFill>
          </w14:textFill>
        </w:rPr>
        <w:t>本项目的评比委员会由5名经济、技术人员组成</w:t>
      </w:r>
      <w:r>
        <w:rPr>
          <w:rFonts w:hint="eastAsia" w:ascii="宋体" w:hAnsi="宋体" w:cs="宋体"/>
          <w:color w:val="000000" w:themeColor="text1"/>
          <w:szCs w:val="21"/>
          <w14:textFill>
            <w14:solidFill>
              <w14:schemeClr w14:val="tx1"/>
            </w14:solidFill>
          </w14:textFill>
        </w:rPr>
        <w:t>。</w:t>
      </w:r>
    </w:p>
    <w:p>
      <w:pPr>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18.2</w:t>
      </w:r>
      <w:r>
        <w:rPr>
          <w:rFonts w:hint="eastAsia" w:ascii="宋体" w:hAnsi="宋体"/>
          <w:color w:val="000000" w:themeColor="text1"/>
          <w:szCs w:val="21"/>
          <w14:textFill>
            <w14:solidFill>
              <w14:schemeClr w14:val="tx1"/>
            </w14:solidFill>
          </w14:textFill>
        </w:rPr>
        <w:t>评比委员会成员独立、客观、公正地履行职责，遵守职业道德，对所提出的评比意见承担个人责任；评比委员会成员应对整个评比活动保密。</w:t>
      </w:r>
    </w:p>
    <w:p>
      <w:pPr>
        <w:ind w:right="-21"/>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18.3</w:t>
      </w:r>
      <w:r>
        <w:rPr>
          <w:rFonts w:hint="eastAsia" w:ascii="宋体" w:hAnsi="宋体"/>
          <w:color w:val="000000" w:themeColor="text1"/>
          <w:szCs w:val="21"/>
          <w14:textFill>
            <w14:solidFill>
              <w14:schemeClr w14:val="tx1"/>
            </w14:solidFill>
          </w14:textFill>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18.4</w:t>
      </w:r>
      <w:r>
        <w:rPr>
          <w:rFonts w:hint="eastAsia" w:ascii="宋体" w:hAnsi="宋体"/>
          <w:color w:val="000000" w:themeColor="text1"/>
          <w:szCs w:val="21"/>
          <w14:textFill>
            <w14:solidFill>
              <w14:schemeClr w14:val="tx1"/>
            </w14:solidFill>
          </w14:textFill>
        </w:rPr>
        <w:t>严禁任何单位或个人以任何形式操纵、干预评比过程和评比结果</w:t>
      </w:r>
      <w:r>
        <w:rPr>
          <w:rFonts w:hint="eastAsia" w:ascii="宋体" w:hAnsi="宋体" w:cs="宋体"/>
          <w:color w:val="000000" w:themeColor="text1"/>
          <w:szCs w:val="21"/>
          <w14:textFill>
            <w14:solidFill>
              <w14:schemeClr w14:val="tx1"/>
            </w14:solidFill>
          </w14:textFill>
        </w:rPr>
        <w:t>。</w:t>
      </w:r>
    </w:p>
    <w:p>
      <w:pPr>
        <w:ind w:right="753"/>
        <w:jc w:val="left"/>
        <w:rPr>
          <w:rFonts w:ascii="宋体" w:hAnsi="宋体" w:cs="宋体"/>
          <w:b/>
          <w:color w:val="000000" w:themeColor="text1"/>
          <w:szCs w:val="21"/>
          <w14:textFill>
            <w14:solidFill>
              <w14:schemeClr w14:val="tx1"/>
            </w14:solidFill>
          </w14:textFill>
        </w:rPr>
      </w:pPr>
      <w:bookmarkStart w:id="171" w:name="_Toc310318596"/>
      <w:r>
        <w:rPr>
          <w:rFonts w:ascii="宋体" w:hAnsi="宋体" w:cs="宋体"/>
          <w:b/>
          <w:color w:val="000000" w:themeColor="text1"/>
          <w:szCs w:val="21"/>
          <w14:textFill>
            <w14:solidFill>
              <w14:schemeClr w14:val="tx1"/>
            </w14:solidFill>
          </w14:textFill>
        </w:rPr>
        <w:t xml:space="preserve"> 19.评比</w:t>
      </w:r>
      <w:bookmarkEnd w:id="171"/>
    </w:p>
    <w:p>
      <w:pPr>
        <w:ind w:right="-21"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19.1</w:t>
      </w:r>
      <w:r>
        <w:rPr>
          <w:rFonts w:hint="eastAsia" w:ascii="宋体" w:hAnsi="宋体"/>
          <w:color w:val="000000" w:themeColor="text1"/>
          <w:szCs w:val="21"/>
          <w14:textFill>
            <w14:solidFill>
              <w14:schemeClr w14:val="tx1"/>
            </w14:solidFill>
          </w14:textFill>
        </w:rPr>
        <w:t>比选人将于前附表第13、14</w:t>
      </w:r>
      <w:r>
        <w:rPr>
          <w:rFonts w:ascii="宋体" w:hAnsi="宋体"/>
          <w:color w:val="000000" w:themeColor="text1"/>
          <w:szCs w:val="21"/>
          <w14:textFill>
            <w14:solidFill>
              <w14:schemeClr w14:val="tx1"/>
            </w14:solidFill>
          </w14:textFill>
        </w:rPr>
        <w:t>项规定的时间</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地点</w:t>
      </w:r>
      <w:r>
        <w:rPr>
          <w:rFonts w:hint="eastAsia" w:ascii="宋体" w:hAnsi="宋体"/>
          <w:color w:val="000000" w:themeColor="text1"/>
          <w:szCs w:val="21"/>
          <w14:textFill>
            <w14:solidFill>
              <w14:schemeClr w14:val="tx1"/>
            </w14:solidFill>
          </w14:textFill>
        </w:rPr>
        <w:t>递交比选材料，</w:t>
      </w:r>
      <w:r>
        <w:rPr>
          <w:rFonts w:ascii="宋体" w:hAnsi="宋体"/>
          <w:color w:val="000000" w:themeColor="text1"/>
          <w:szCs w:val="21"/>
          <w14:textFill>
            <w14:solidFill>
              <w14:schemeClr w14:val="tx1"/>
            </w14:solidFill>
          </w14:textFill>
        </w:rPr>
        <w:t>参加评比的比选申请人负责人或授权委托代理人应签名报到，并携带有效证明材料前往，以证实其身份。如比选申请人负责人或授权代理人未能在前附表第</w:t>
      </w:r>
      <w:r>
        <w:rPr>
          <w:rFonts w:hint="eastAsia" w:ascii="宋体" w:hAnsi="宋体"/>
          <w:color w:val="000000" w:themeColor="text1"/>
          <w:szCs w:val="21"/>
          <w14:textFill>
            <w14:solidFill>
              <w14:schemeClr w14:val="tx1"/>
            </w14:solidFill>
          </w14:textFill>
        </w:rPr>
        <w:t>13、14</w:t>
      </w:r>
      <w:r>
        <w:rPr>
          <w:rFonts w:ascii="宋体" w:hAnsi="宋体"/>
          <w:color w:val="000000" w:themeColor="text1"/>
          <w:szCs w:val="21"/>
          <w14:textFill>
            <w14:solidFill>
              <w14:schemeClr w14:val="tx1"/>
            </w14:solidFill>
          </w14:textFill>
        </w:rPr>
        <w:t>项所述的时间</w:t>
      </w:r>
      <w:r>
        <w:rPr>
          <w:rFonts w:hint="eastAsia" w:ascii="宋体" w:hAnsi="宋体"/>
          <w:color w:val="000000" w:themeColor="text1"/>
          <w:szCs w:val="21"/>
          <w14:textFill>
            <w14:solidFill>
              <w14:schemeClr w14:val="tx1"/>
            </w14:solidFill>
          </w14:textFill>
        </w:rPr>
        <w:t>、地点递交材料</w:t>
      </w:r>
      <w:r>
        <w:rPr>
          <w:rFonts w:ascii="宋体" w:hAnsi="宋体"/>
          <w:color w:val="000000" w:themeColor="text1"/>
          <w:szCs w:val="21"/>
          <w14:textFill>
            <w14:solidFill>
              <w14:schemeClr w14:val="tx1"/>
            </w14:solidFill>
          </w14:textFill>
        </w:rPr>
        <w:t>并证明其身份，将视同其放弃本次评比机会。</w:t>
      </w:r>
    </w:p>
    <w:p>
      <w:pPr>
        <w:ind w:right="-21"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19.2评比会议程序：</w:t>
      </w:r>
    </w:p>
    <w:p>
      <w:pPr>
        <w:ind w:right="-21"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19.2.1由主持人宣布评比会议开始，评比委员会确认文件是否密封。</w:t>
      </w:r>
    </w:p>
    <w:p>
      <w:pPr>
        <w:ind w:right="-21"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19.2.2评比委员会审查比选申请文件的资格审查部分，并进行评审。</w:t>
      </w:r>
    </w:p>
    <w:p>
      <w:pPr>
        <w:ind w:right="-21"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19.2.3由主持人当众宣布审查结果，并宣读有效的比选申请人名称以及比选人认为需要的其他内容。</w:t>
      </w:r>
    </w:p>
    <w:p>
      <w:pPr>
        <w:ind w:right="-21" w:firstLine="420" w:firstLineChars="200"/>
        <w:jc w:val="left"/>
        <w:rPr>
          <w:rFonts w:ascii="宋体" w:hAnsi="宋体"/>
          <w:color w:val="000000"/>
          <w:szCs w:val="21"/>
        </w:rPr>
      </w:pPr>
      <w:r>
        <w:rPr>
          <w:rFonts w:hint="eastAsia" w:ascii="宋体" w:hAnsi="宋体"/>
          <w:b/>
          <w:bCs/>
          <w:color w:val="000000" w:themeColor="text1"/>
          <w:szCs w:val="21"/>
          <w14:textFill>
            <w14:solidFill>
              <w14:schemeClr w14:val="tx1"/>
            </w14:solidFill>
          </w14:textFill>
        </w:rPr>
        <w:t>19.2.4评比委员会审查已通过资格审查的比选申请文件的技术部分，</w:t>
      </w:r>
      <w:r>
        <w:rPr>
          <w:rFonts w:hint="eastAsia" w:ascii="宋体" w:hAnsi="宋体"/>
          <w:b/>
          <w:bCs/>
          <w:color w:val="000000"/>
          <w:szCs w:val="21"/>
        </w:rPr>
        <w:t>并</w:t>
      </w:r>
      <w:r>
        <w:rPr>
          <w:rFonts w:hint="eastAsia" w:ascii="宋体" w:hAnsi="宋体"/>
          <w:b/>
          <w:bCs/>
          <w:color w:val="000000"/>
          <w:szCs w:val="21"/>
          <w:lang w:val="en-US" w:eastAsia="zh-CN"/>
        </w:rPr>
        <w:t>通知有效比选申请人进行述标环节，评比委员会根据比选申请人的述标表现以及技术文件审查</w:t>
      </w:r>
      <w:r>
        <w:rPr>
          <w:rFonts w:hint="eastAsia" w:ascii="宋体" w:hAnsi="宋体"/>
          <w:b/>
          <w:bCs/>
          <w:color w:val="000000"/>
          <w:szCs w:val="21"/>
        </w:rPr>
        <w:t>进行</w:t>
      </w:r>
      <w:r>
        <w:rPr>
          <w:rFonts w:hint="eastAsia" w:ascii="宋体" w:hAnsi="宋体"/>
          <w:b/>
          <w:bCs/>
          <w:color w:val="000000"/>
          <w:szCs w:val="21"/>
          <w:lang w:val="en-US" w:eastAsia="zh-CN"/>
        </w:rPr>
        <w:t>综合</w:t>
      </w:r>
      <w:r>
        <w:rPr>
          <w:rFonts w:hint="eastAsia" w:ascii="宋体" w:hAnsi="宋体"/>
          <w:b/>
          <w:bCs/>
          <w:color w:val="000000"/>
          <w:szCs w:val="21"/>
        </w:rPr>
        <w:t>评审。</w:t>
      </w:r>
    </w:p>
    <w:p>
      <w:pPr>
        <w:ind w:right="-21"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19.2.5评比委员会审查已通过资格审查的比选申请文件的商务部分，并进行评审。</w:t>
      </w:r>
    </w:p>
    <w:p>
      <w:pPr>
        <w:ind w:right="-21"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19.2.6在评比过程中，评比委员、记录人等有关人员在比选记录表上签字确认，主持人宣读比选结果。</w:t>
      </w:r>
    </w:p>
    <w:p>
      <w:pPr>
        <w:ind w:right="-21"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19.2.</w:t>
      </w:r>
      <w:r>
        <w:rPr>
          <w:rFonts w:hint="eastAsia" w:ascii="宋体" w:hAnsi="宋体"/>
          <w:color w:val="000000" w:themeColor="text1"/>
          <w:szCs w:val="21"/>
          <w:lang w:val="en-US" w:eastAsia="zh-CN"/>
          <w14:textFill>
            <w14:solidFill>
              <w14:schemeClr w14:val="tx1"/>
            </w14:solidFill>
          </w14:textFill>
        </w:rPr>
        <w:t>7</w:t>
      </w:r>
      <w:r>
        <w:rPr>
          <w:rFonts w:hint="eastAsia" w:ascii="宋体" w:hAnsi="宋体"/>
          <w:color w:val="000000" w:themeColor="text1"/>
          <w:szCs w:val="21"/>
          <w14:textFill>
            <w14:solidFill>
              <w14:schemeClr w14:val="tx1"/>
            </w14:solidFill>
          </w14:textFill>
        </w:rPr>
        <w:t>评比结束</w:t>
      </w:r>
    </w:p>
    <w:p>
      <w:pPr>
        <w:ind w:right="753"/>
        <w:jc w:val="left"/>
        <w:rPr>
          <w:rFonts w:ascii="宋体" w:hAnsi="宋体" w:cs="宋体"/>
          <w:b/>
          <w:color w:val="000000" w:themeColor="text1"/>
          <w:szCs w:val="21"/>
          <w14:textFill>
            <w14:solidFill>
              <w14:schemeClr w14:val="tx1"/>
            </w14:solidFill>
          </w14:textFill>
        </w:rPr>
      </w:pPr>
      <w:bookmarkStart w:id="172" w:name="_Toc114052439"/>
      <w:bookmarkStart w:id="173" w:name="_Toc310318597"/>
      <w:bookmarkStart w:id="174" w:name="_Toc114052375"/>
      <w:bookmarkStart w:id="175" w:name="_Toc286386859"/>
      <w:r>
        <w:rPr>
          <w:rFonts w:ascii="宋体" w:hAnsi="宋体" w:cs="宋体"/>
          <w:b/>
          <w:color w:val="000000" w:themeColor="text1"/>
          <w:szCs w:val="21"/>
          <w14:textFill>
            <w14:solidFill>
              <w14:schemeClr w14:val="tx1"/>
            </w14:solidFill>
          </w14:textFill>
        </w:rPr>
        <w:t>20.评比</w:t>
      </w:r>
      <w:bookmarkEnd w:id="172"/>
      <w:bookmarkEnd w:id="173"/>
      <w:bookmarkEnd w:id="174"/>
      <w:bookmarkEnd w:id="175"/>
      <w:r>
        <w:rPr>
          <w:rFonts w:hint="eastAsia" w:ascii="宋体" w:hAnsi="宋体" w:cs="宋体"/>
          <w:b/>
          <w:color w:val="000000" w:themeColor="text1"/>
          <w:szCs w:val="21"/>
          <w14:textFill>
            <w14:solidFill>
              <w14:schemeClr w14:val="tx1"/>
            </w14:solidFill>
          </w14:textFill>
        </w:rPr>
        <w:t>工作相关要求</w:t>
      </w:r>
    </w:p>
    <w:p>
      <w:pPr>
        <w:ind w:right="-21"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20.1本次比选的工作由评比委员会负责。</w:t>
      </w:r>
    </w:p>
    <w:p>
      <w:pPr>
        <w:ind w:right="-21"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20.2出现下列特殊情况之一，本次比选无效，本公司将重新组织比选：</w:t>
      </w:r>
    </w:p>
    <w:p>
      <w:pPr>
        <w:ind w:right="-21"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20.2.1在比选申请文件递交截止时间到达时提交比选申请文件的比选申请人少于3家的；</w:t>
      </w:r>
    </w:p>
    <w:p>
      <w:pPr>
        <w:ind w:right="-21"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20.2.2比选申请文件有效的比选申请人仅有2家，且评委认为没有竞争力的；</w:t>
      </w:r>
    </w:p>
    <w:p>
      <w:pPr>
        <w:ind w:right="-21"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20.2.3有效比选申请文件只有1家或0家的。</w:t>
      </w:r>
    </w:p>
    <w:p>
      <w:pPr>
        <w:ind w:right="-21"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20.3评比过程的保密性。评比委员会成员、有关工作人员及其他知情人不得透露对比选申请文件的评比和比较、中选候选人的推荐情况以及与比选有关的其他情况。</w:t>
      </w:r>
    </w:p>
    <w:p>
      <w:pPr>
        <w:ind w:right="-21"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20.4比选申请人在评比过程中所进行的力图影响评比公正性的活动，可能导致其中选无效。</w:t>
      </w:r>
    </w:p>
    <w:p>
      <w:pPr>
        <w:ind w:right="-21"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20.5比选申请文件的澄清或说明</w:t>
      </w:r>
    </w:p>
    <w:p>
      <w:pPr>
        <w:ind w:right="-21"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20.5.1评比时评比委员会将以书面形式要求比选申请人就其比选申请文件中含义不明确、同类问题表述不一致或有明显文字错误等的内容予以澄清或说明。</w:t>
      </w:r>
    </w:p>
    <w:p>
      <w:pPr>
        <w:ind w:right="-21"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20.5.2比选申请人对要求澄清或说明的内容应在评比委员会规定的时间内以书面形式予以澄清，该澄清或说明函应有比选申请人负责人或其委托代理人的签名。</w:t>
      </w:r>
    </w:p>
    <w:p>
      <w:pPr>
        <w:ind w:right="-21"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20.5.3比选申请人的澄清或说明函作为比选申请文件的组成部分。</w:t>
      </w:r>
    </w:p>
    <w:p>
      <w:pPr>
        <w:ind w:right="-21"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20.5.4比选申请人对比选申请文件的澄清或说明不得超出比选申请文件的范围或改变投标的实质内容。</w:t>
      </w:r>
    </w:p>
    <w:p>
      <w:pPr>
        <w:ind w:right="753"/>
        <w:jc w:val="left"/>
        <w:rPr>
          <w:rFonts w:ascii="宋体" w:hAnsi="宋体" w:cs="宋体"/>
          <w:b/>
          <w:color w:val="000000" w:themeColor="text1"/>
          <w:szCs w:val="21"/>
          <w14:textFill>
            <w14:solidFill>
              <w14:schemeClr w14:val="tx1"/>
            </w14:solidFill>
          </w14:textFill>
        </w:rPr>
      </w:pPr>
      <w:bookmarkStart w:id="176" w:name="_Toc310318598"/>
      <w:r>
        <w:rPr>
          <w:rFonts w:ascii="宋体" w:hAnsi="宋体" w:cs="宋体"/>
          <w:b/>
          <w:color w:val="000000" w:themeColor="text1"/>
          <w:szCs w:val="21"/>
          <w14:textFill>
            <w14:solidFill>
              <w14:schemeClr w14:val="tx1"/>
            </w14:solidFill>
          </w14:textFill>
        </w:rPr>
        <w:t>21.比选申请文件评比</w:t>
      </w:r>
      <w:bookmarkEnd w:id="176"/>
      <w:r>
        <w:rPr>
          <w:rFonts w:hint="eastAsia" w:ascii="宋体" w:hAnsi="宋体" w:cs="宋体"/>
          <w:b/>
          <w:color w:val="000000" w:themeColor="text1"/>
          <w:szCs w:val="21"/>
          <w14:textFill>
            <w14:solidFill>
              <w14:schemeClr w14:val="tx1"/>
            </w14:solidFill>
          </w14:textFill>
        </w:rPr>
        <w:t>相关要求</w:t>
      </w:r>
    </w:p>
    <w:p>
      <w:pPr>
        <w:ind w:right="753"/>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21.1比选申请人资格审查</w:t>
      </w:r>
    </w:p>
    <w:p>
      <w:pPr>
        <w:ind w:right="-21"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只有通过资格审查才能进入下一步的评比，资格审查资料有任何一项不合格者其资格审查视为不通过。</w:t>
      </w:r>
    </w:p>
    <w:p>
      <w:pPr>
        <w:ind w:right="-21" w:firstLine="420" w:firstLineChars="200"/>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21.2比选申请人或其比选文件有下列情况之一者，其比选申请文件将视为无效或作废处理：</w:t>
      </w:r>
    </w:p>
    <w:p>
      <w:pPr>
        <w:ind w:right="-21" w:firstLine="420" w:firstLineChars="200"/>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（1）比选申请人的负责人或委托代理人未按时参加评比会议的；</w:t>
      </w:r>
    </w:p>
    <w:p>
      <w:pPr>
        <w:ind w:right="753" w:firstLine="420" w:firstLineChars="200"/>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（2）比选申请文件未按照规定的要求装订、密封和标记的；</w:t>
      </w:r>
    </w:p>
    <w:p>
      <w:pPr>
        <w:ind w:right="-21" w:firstLine="420" w:firstLineChars="200"/>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（3）本须知第11条规定的比选申请文件有关内容未按本须知第15条规定加盖比选申请人公章、未经比选申请人负责人或其委托代理人签字或盖章的；</w:t>
      </w:r>
    </w:p>
    <w:p>
      <w:pPr>
        <w:ind w:right="-21" w:firstLine="420" w:firstLineChars="200"/>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（4）不按本须知第11条内容提供资料的；逾期递交比选申请文件的；</w:t>
      </w:r>
    </w:p>
    <w:p>
      <w:pPr>
        <w:ind w:right="753" w:firstLine="420" w:firstLineChars="200"/>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（5）比选申请文件内容不真实的；</w:t>
      </w:r>
    </w:p>
    <w:p>
      <w:pPr>
        <w:ind w:right="753" w:firstLine="420" w:firstLineChars="200"/>
        <w:jc w:val="left"/>
        <w:rPr>
          <w:rFonts w:ascii="宋体" w:hAnsi="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6）比选申请文件实质上没有响应比选文件的要求的；</w:t>
      </w:r>
      <w:r>
        <w:rPr>
          <w:rFonts w:hint="eastAsia" w:ascii="宋体" w:hAnsi="宋体"/>
          <w:b/>
          <w:color w:val="000000" w:themeColor="text1"/>
          <w:szCs w:val="21"/>
          <w14:textFill>
            <w14:solidFill>
              <w14:schemeClr w14:val="tx1"/>
            </w14:solidFill>
          </w14:textFill>
        </w:rPr>
        <w:t>（包括以下内容：比选项目所涉及的人员配置、业绩、价格、服务内容、合同条款等）</w:t>
      </w:r>
    </w:p>
    <w:p>
      <w:pPr>
        <w:ind w:right="-21" w:firstLine="420" w:firstLineChars="20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w:t>
      </w:r>
      <w:r>
        <w:rPr>
          <w:rFonts w:ascii="宋体" w:hAnsi="宋体"/>
          <w:b/>
          <w:color w:val="000000" w:themeColor="text1"/>
          <w:szCs w:val="21"/>
          <w14:textFill>
            <w14:solidFill>
              <w14:schemeClr w14:val="tx1"/>
            </w14:solidFill>
          </w14:textFill>
        </w:rPr>
        <w:t>7）比选申请人报价超过上控价</w:t>
      </w:r>
      <w:r>
        <w:rPr>
          <w:rFonts w:hint="eastAsia" w:ascii="宋体" w:hAnsi="宋体"/>
          <w:b/>
          <w:color w:val="000000" w:themeColor="text1"/>
          <w:szCs w:val="21"/>
          <w14:textFill>
            <w14:solidFill>
              <w14:schemeClr w14:val="tx1"/>
            </w14:solidFill>
          </w14:textFill>
        </w:rPr>
        <w:t>的，</w:t>
      </w:r>
    </w:p>
    <w:p>
      <w:pPr>
        <w:ind w:right="-21" w:firstLine="420" w:firstLineChars="200"/>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8</w:t>
      </w:r>
      <w:r>
        <w:rPr>
          <w:rFonts w:hint="eastAsia" w:ascii="宋体" w:hAnsi="宋体" w:cs="宋体"/>
          <w:b/>
          <w:color w:val="000000" w:themeColor="text1"/>
          <w:szCs w:val="21"/>
          <w14:textFill>
            <w14:solidFill>
              <w14:schemeClr w14:val="tx1"/>
            </w14:solidFill>
          </w14:textFill>
        </w:rPr>
        <w:t>）比选申请人不符合前附表第</w:t>
      </w:r>
      <w:r>
        <w:rPr>
          <w:rFonts w:ascii="宋体" w:hAnsi="宋体" w:cs="宋体"/>
          <w:b/>
          <w:color w:val="000000" w:themeColor="text1"/>
          <w:szCs w:val="21"/>
          <w14:textFill>
            <w14:solidFill>
              <w14:schemeClr w14:val="tx1"/>
            </w14:solidFill>
          </w14:textFill>
        </w:rPr>
        <w:t>9条所述资格要求</w:t>
      </w:r>
      <w:r>
        <w:rPr>
          <w:rFonts w:hint="eastAsia" w:ascii="宋体" w:hAnsi="宋体" w:cs="宋体"/>
          <w:b/>
          <w:color w:val="000000" w:themeColor="text1"/>
          <w:szCs w:val="21"/>
          <w14:textFill>
            <w14:solidFill>
              <w14:schemeClr w14:val="tx1"/>
            </w14:solidFill>
          </w14:textFill>
        </w:rPr>
        <w:t>。</w:t>
      </w:r>
    </w:p>
    <w:p>
      <w:pPr>
        <w:ind w:right="-21"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21.3评比细则</w:t>
      </w:r>
    </w:p>
    <w:p>
      <w:pPr>
        <w:ind w:right="753" w:firstLine="420" w:firstLineChars="2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详见第四章。</w:t>
      </w:r>
    </w:p>
    <w:p>
      <w:pPr>
        <w:ind w:right="753"/>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21.4确定中选人</w:t>
      </w:r>
    </w:p>
    <w:p>
      <w:pPr>
        <w:ind w:right="-21"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评比委员会</w:t>
      </w:r>
      <w:r>
        <w:rPr>
          <w:rFonts w:hint="eastAsia" w:ascii="宋体" w:hAnsi="宋体" w:cs="宋体"/>
          <w:color w:val="000000" w:themeColor="text1"/>
          <w:szCs w:val="21"/>
          <w14:textFill>
            <w14:solidFill>
              <w14:schemeClr w14:val="tx1"/>
            </w14:solidFill>
          </w14:textFill>
        </w:rPr>
        <w:t>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w:t>
      </w:r>
      <w:r>
        <w:rPr>
          <w:rFonts w:hint="eastAsia" w:ascii="宋体" w:hAnsi="宋体" w:cs="宋体"/>
          <w:color w:val="000000" w:themeColor="text1"/>
          <w:sz w:val="21"/>
          <w:szCs w:val="21"/>
          <w:lang w:val="en-US" w:eastAsia="zh-CN"/>
          <w14:textFill>
            <w14:solidFill>
              <w14:schemeClr w14:val="tx1"/>
            </w14:solidFill>
          </w14:textFill>
        </w:rPr>
        <w:t>评比委员会</w:t>
      </w:r>
      <w:r>
        <w:rPr>
          <w:rFonts w:hint="eastAsia" w:ascii="宋体" w:hAnsi="宋体" w:cs="宋体"/>
          <w:color w:val="000000" w:themeColor="text1"/>
          <w:szCs w:val="21"/>
          <w14:textFill>
            <w14:solidFill>
              <w14:schemeClr w14:val="tx1"/>
            </w14:solidFill>
          </w14:textFill>
        </w:rPr>
        <w:t>提出的中选候选人名单排序依次确定其他中选候选人为中选人，也可以重新比选。</w:t>
      </w:r>
    </w:p>
    <w:p>
      <w:pPr>
        <w:ind w:right="753"/>
        <w:jc w:val="left"/>
        <w:rPr>
          <w:rFonts w:ascii="宋体" w:hAnsi="宋体" w:cs="宋体"/>
          <w:b/>
          <w:color w:val="000000" w:themeColor="text1"/>
          <w:szCs w:val="21"/>
          <w14:textFill>
            <w14:solidFill>
              <w14:schemeClr w14:val="tx1"/>
            </w14:solidFill>
          </w14:textFill>
        </w:rPr>
      </w:pPr>
      <w:bookmarkStart w:id="177" w:name="_Toc310318599"/>
      <w:bookmarkStart w:id="178" w:name="_Toc114052441"/>
      <w:bookmarkStart w:id="179" w:name="_Toc114052377"/>
      <w:bookmarkStart w:id="180" w:name="_Toc286386861"/>
      <w:r>
        <w:rPr>
          <w:rFonts w:ascii="宋体" w:hAnsi="宋体" w:cs="宋体"/>
          <w:b/>
          <w:color w:val="000000" w:themeColor="text1"/>
          <w:szCs w:val="21"/>
          <w14:textFill>
            <w14:solidFill>
              <w14:schemeClr w14:val="tx1"/>
            </w14:solidFill>
          </w14:textFill>
        </w:rPr>
        <w:t>22.评比结果公示</w:t>
      </w:r>
      <w:bookmarkEnd w:id="177"/>
      <w:bookmarkEnd w:id="178"/>
      <w:bookmarkEnd w:id="179"/>
      <w:bookmarkEnd w:id="180"/>
    </w:p>
    <w:p>
      <w:pPr>
        <w:ind w:right="-21"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22.1在评比结束后，比选人将在南宁轨道交通集团有限责任公司官网(http://www.nngdjt.com/)的招标招商中的中标信息处公示评比结果。</w:t>
      </w:r>
    </w:p>
    <w:p>
      <w:pPr>
        <w:ind w:right="-21"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22.2比选申请人如对评比结果有异议，在评比结果公示三天内，可以书面形式向比选人提出质疑。比选人应当在收到比选申请人的书面质疑后五个工作日内做出答复，但答复的内容不得涉及商业秘密。</w:t>
      </w:r>
    </w:p>
    <w:p>
      <w:pPr>
        <w:pStyle w:val="4"/>
        <w:jc w:val="center"/>
        <w:rPr>
          <w:b/>
          <w:color w:val="000000" w:themeColor="text1"/>
          <w:sz w:val="32"/>
          <w:szCs w:val="32"/>
          <w14:textFill>
            <w14:solidFill>
              <w14:schemeClr w14:val="tx1"/>
            </w14:solidFill>
          </w14:textFill>
        </w:rPr>
      </w:pPr>
      <w:bookmarkStart w:id="181" w:name="_Toc24212"/>
      <w:bookmarkStart w:id="182" w:name="_Toc529"/>
      <w:bookmarkStart w:id="183" w:name="_Toc24316"/>
      <w:bookmarkStart w:id="184" w:name="_Toc6141"/>
      <w:bookmarkStart w:id="185" w:name="_Toc471482367"/>
      <w:bookmarkStart w:id="186" w:name="_Toc461525303"/>
      <w:bookmarkStart w:id="187" w:name="_Toc16935"/>
      <w:bookmarkStart w:id="188" w:name="_Toc8363"/>
      <w:bookmarkStart w:id="189" w:name="_Toc19549"/>
      <w:bookmarkStart w:id="190" w:name="_Toc20403"/>
      <w:bookmarkStart w:id="191" w:name="_Toc30023"/>
      <w:bookmarkStart w:id="192" w:name="_Toc16746"/>
      <w:bookmarkStart w:id="193" w:name="_Toc17996"/>
      <w:bookmarkStart w:id="194" w:name="_Toc12010"/>
      <w:r>
        <w:rPr>
          <w:rFonts w:hint="eastAsia"/>
          <w:b/>
          <w:color w:val="000000" w:themeColor="text1"/>
          <w:sz w:val="32"/>
          <w:szCs w:val="32"/>
          <w14:textFill>
            <w14:solidFill>
              <w14:schemeClr w14:val="tx1"/>
            </w14:solidFill>
          </w14:textFill>
        </w:rPr>
        <w:t>七、授予合同</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ind w:right="753"/>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 xml:space="preserve"> 23.中选通知书</w:t>
      </w:r>
    </w:p>
    <w:p>
      <w:pPr>
        <w:ind w:right="753"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23.1比选人将向中选人发出中选通知书。</w:t>
      </w:r>
    </w:p>
    <w:p>
      <w:pPr>
        <w:ind w:right="-21"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23.2比选人无义务向落选的比选申请人解释落选原因和退还比选申请文件。</w:t>
      </w:r>
    </w:p>
    <w:p>
      <w:pPr>
        <w:ind w:right="-21"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23.3中选通知书作为合同的组成部分。</w:t>
      </w:r>
    </w:p>
    <w:p>
      <w:pPr>
        <w:ind w:right="753"/>
        <w:jc w:val="left"/>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24.合同的签署</w:t>
      </w:r>
    </w:p>
    <w:p>
      <w:pPr>
        <w:ind w:right="-21"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24.1中选人应按中选通知书中的相关要求，由中选人负责人或授权代表前往比选人处与比选人进行签订合同。</w:t>
      </w:r>
    </w:p>
    <w:p>
      <w:pPr>
        <w:ind w:right="-21"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24.2中选人如放弃中选资格，则比选人有权将其列入不良行为记录名单、三年内禁止其参加比选人发起的任何采购活动。</w:t>
      </w:r>
    </w:p>
    <w:p>
      <w:pPr>
        <w:ind w:right="753"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24.3中选人被废除中选资格后，比选人有权将标按比选结果排名顺延中选人。</w:t>
      </w:r>
    </w:p>
    <w:p>
      <w:pPr>
        <w:pStyle w:val="2"/>
        <w:spacing w:line="320" w:lineRule="exact"/>
        <w:rPr>
          <w:color w:val="000000" w:themeColor="text1"/>
          <w:sz w:val="32"/>
          <w:szCs w:val="32"/>
          <w14:textFill>
            <w14:solidFill>
              <w14:schemeClr w14:val="tx1"/>
            </w14:solidFill>
          </w14:textFill>
        </w:rPr>
      </w:pPr>
      <w:r>
        <w:rPr>
          <w:rFonts w:hint="eastAsia"/>
          <w:color w:val="000000" w:themeColor="text1"/>
          <w:sz w:val="21"/>
          <w:szCs w:val="21"/>
          <w14:textFill>
            <w14:solidFill>
              <w14:schemeClr w14:val="tx1"/>
            </w14:solidFill>
          </w14:textFill>
        </w:rPr>
        <w:br w:type="page"/>
      </w:r>
      <w:bookmarkStart w:id="195" w:name="_Toc461525304"/>
      <w:bookmarkStart w:id="196" w:name="_Toc31070"/>
      <w:bookmarkStart w:id="197" w:name="_Toc21358"/>
      <w:bookmarkStart w:id="198" w:name="_Toc2960"/>
      <w:bookmarkStart w:id="199" w:name="_Toc12854"/>
      <w:bookmarkStart w:id="200" w:name="_Toc16062"/>
      <w:bookmarkStart w:id="201" w:name="_Toc471482368"/>
      <w:bookmarkStart w:id="202" w:name="_Toc1354"/>
      <w:bookmarkStart w:id="203" w:name="_Toc5964"/>
      <w:bookmarkStart w:id="204" w:name="_Toc4769"/>
      <w:bookmarkStart w:id="205" w:name="_Toc21670"/>
      <w:bookmarkStart w:id="206" w:name="_Toc7234"/>
      <w:bookmarkStart w:id="207" w:name="_Toc333307121"/>
      <w:r>
        <w:rPr>
          <w:rFonts w:hint="eastAsia"/>
          <w:color w:val="000000" w:themeColor="text1"/>
          <w:sz w:val="32"/>
          <w:szCs w:val="32"/>
          <w14:textFill>
            <w14:solidFill>
              <w14:schemeClr w14:val="tx1"/>
            </w14:solidFill>
          </w14:textFill>
        </w:rPr>
        <w:t>第二章合同条款</w:t>
      </w:r>
      <w:bookmarkEnd w:id="195"/>
      <w:bookmarkEnd w:id="196"/>
      <w:bookmarkEnd w:id="197"/>
      <w:bookmarkEnd w:id="198"/>
      <w:bookmarkEnd w:id="199"/>
      <w:bookmarkEnd w:id="200"/>
      <w:bookmarkEnd w:id="201"/>
      <w:bookmarkEnd w:id="202"/>
      <w:bookmarkEnd w:id="203"/>
      <w:bookmarkEnd w:id="204"/>
      <w:bookmarkEnd w:id="205"/>
    </w:p>
    <w:p>
      <w:pPr>
        <w:spacing w:line="320" w:lineRule="exact"/>
        <w:ind w:right="560"/>
        <w:jc w:val="center"/>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合同编号：</w:t>
      </w:r>
    </w:p>
    <w:p>
      <w:pPr>
        <w:spacing w:line="320" w:lineRule="exact"/>
        <w:jc w:val="center"/>
        <w:rPr>
          <w:rFonts w:ascii="黑体" w:hAnsi="黑体" w:eastAsia="黑体" w:cs="宋体"/>
          <w:b/>
          <w:bCs/>
          <w:color w:val="000000" w:themeColor="text1"/>
          <w:sz w:val="24"/>
          <w14:textFill>
            <w14:solidFill>
              <w14:schemeClr w14:val="tx1"/>
            </w14:solidFill>
          </w14:textFill>
        </w:rPr>
      </w:pPr>
      <w:r>
        <w:rPr>
          <w:rFonts w:hint="eastAsia" w:ascii="黑体" w:hAnsi="黑体" w:eastAsia="黑体" w:cs="宋体"/>
          <w:b/>
          <w:bCs/>
          <w:color w:val="000000" w:themeColor="text1"/>
          <w:sz w:val="24"/>
          <w:lang w:eastAsia="zh-CN"/>
          <w14:textFill>
            <w14:solidFill>
              <w14:schemeClr w14:val="tx1"/>
            </w14:solidFill>
          </w14:textFill>
        </w:rPr>
        <w:t>南宁市金盾道路清障有限责任公司</w:t>
      </w:r>
    </w:p>
    <w:p>
      <w:pPr>
        <w:spacing w:line="320" w:lineRule="exact"/>
        <w:jc w:val="center"/>
        <w:rPr>
          <w:rFonts w:ascii="黑体" w:hAnsi="黑体" w:eastAsia="黑体" w:cs="宋体"/>
          <w:b/>
          <w:bCs/>
          <w:color w:val="000000" w:themeColor="text1"/>
          <w:sz w:val="24"/>
          <w14:textFill>
            <w14:solidFill>
              <w14:schemeClr w14:val="tx1"/>
            </w14:solidFill>
          </w14:textFill>
        </w:rPr>
      </w:pPr>
      <w:r>
        <w:rPr>
          <w:rFonts w:hint="eastAsia" w:ascii="黑体" w:hAnsi="黑体" w:eastAsia="黑体" w:cs="宋体"/>
          <w:b/>
          <w:bCs/>
          <w:color w:val="000000" w:themeColor="text1"/>
          <w:sz w:val="24"/>
          <w14:textFill>
            <w14:solidFill>
              <w14:schemeClr w14:val="tx1"/>
            </w14:solidFill>
          </w14:textFill>
        </w:rPr>
        <w:t>常年法律顾问服务合同</w:t>
      </w:r>
    </w:p>
    <w:p>
      <w:pPr>
        <w:spacing w:line="320" w:lineRule="exact"/>
        <w:jc w:val="center"/>
        <w:rPr>
          <w:rFonts w:ascii="黑体" w:hAnsi="黑体" w:eastAsia="黑体" w:cs="宋体"/>
          <w:b/>
          <w:bCs/>
          <w:color w:val="000000" w:themeColor="text1"/>
          <w:sz w:val="24"/>
          <w14:textFill>
            <w14:solidFill>
              <w14:schemeClr w14:val="tx1"/>
            </w14:solidFill>
          </w14:textFill>
        </w:rPr>
      </w:pPr>
    </w:p>
    <w:p>
      <w:pPr>
        <w:tabs>
          <w:tab w:val="left" w:pos="720"/>
        </w:tabs>
        <w:contextualSpacing/>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聘请方（甲方）：</w:t>
      </w:r>
      <w:r>
        <w:rPr>
          <w:rFonts w:hint="eastAsia" w:ascii="宋体" w:hAnsi="宋体"/>
          <w:color w:val="000000" w:themeColor="text1"/>
          <w:sz w:val="24"/>
          <w:lang w:eastAsia="zh-CN"/>
          <w14:textFill>
            <w14:solidFill>
              <w14:schemeClr w14:val="tx1"/>
            </w14:solidFill>
          </w14:textFill>
        </w:rPr>
        <w:t>南宁市金盾道路清障有限责任公司</w:t>
      </w:r>
      <w:r>
        <w:rPr>
          <w:rFonts w:hint="eastAsia" w:ascii="宋体" w:hAnsi="宋体"/>
          <w:color w:val="000000" w:themeColor="text1"/>
          <w:sz w:val="24"/>
          <w14:textFill>
            <w14:solidFill>
              <w14:schemeClr w14:val="tx1"/>
            </w14:solidFill>
          </w14:textFill>
        </w:rPr>
        <w:t>　</w:t>
      </w:r>
    </w:p>
    <w:p>
      <w:pPr>
        <w:tabs>
          <w:tab w:val="left" w:pos="720"/>
        </w:tabs>
        <w:contextualSpacing/>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地址：南宁市</w:t>
      </w:r>
      <w:r>
        <w:rPr>
          <w:rFonts w:hint="eastAsia" w:ascii="宋体" w:hAnsi="宋体"/>
          <w:color w:val="000000" w:themeColor="text1"/>
          <w:sz w:val="24"/>
          <w:lang w:eastAsia="zh-CN"/>
          <w14:textFill>
            <w14:solidFill>
              <w14:schemeClr w14:val="tx1"/>
            </w14:solidFill>
          </w14:textFill>
        </w:rPr>
        <w:t>友谊路</w:t>
      </w:r>
      <w:r>
        <w:rPr>
          <w:rFonts w:hint="eastAsia" w:ascii="宋体" w:hAnsi="宋体"/>
          <w:color w:val="000000" w:themeColor="text1"/>
          <w:sz w:val="24"/>
          <w:lang w:val="en-US" w:eastAsia="zh-CN"/>
          <w14:textFill>
            <w14:solidFill>
              <w14:schemeClr w14:val="tx1"/>
            </w14:solidFill>
          </w14:textFill>
        </w:rPr>
        <w:t>21-6</w:t>
      </w:r>
      <w:r>
        <w:rPr>
          <w:rFonts w:ascii="宋体" w:hAnsi="宋体"/>
          <w:color w:val="000000" w:themeColor="text1"/>
          <w:sz w:val="24"/>
          <w14:textFill>
            <w14:solidFill>
              <w14:schemeClr w14:val="tx1"/>
            </w14:solidFill>
          </w14:textFill>
        </w:rPr>
        <w:t xml:space="preserve">号   </w:t>
      </w:r>
    </w:p>
    <w:p>
      <w:pPr>
        <w:tabs>
          <w:tab w:val="left" w:pos="1080"/>
        </w:tabs>
        <w:contextualSpacing/>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w:t>
      </w:r>
      <w:r>
        <w:rPr>
          <w:rFonts w:ascii="宋体" w:hAnsi="宋体"/>
          <w:color w:val="000000" w:themeColor="text1"/>
          <w:sz w:val="24"/>
          <w14:textFill>
            <w14:solidFill>
              <w14:schemeClr w14:val="tx1"/>
            </w14:solidFill>
          </w14:textFill>
        </w:rPr>
        <w:t xml:space="preserve">     </w:t>
      </w:r>
    </w:p>
    <w:p>
      <w:pPr>
        <w:tabs>
          <w:tab w:val="left" w:pos="1080"/>
        </w:tabs>
        <w:contextualSpacing/>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工作联系人：                  </w:t>
      </w:r>
    </w:p>
    <w:p>
      <w:pPr>
        <w:tabs>
          <w:tab w:val="left" w:pos="1029"/>
        </w:tabs>
        <w:contextualSpacing/>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电话：</w:t>
      </w:r>
      <w:r>
        <w:rPr>
          <w:rFonts w:ascii="宋体" w:hAnsi="宋体"/>
          <w:color w:val="000000" w:themeColor="text1"/>
          <w:sz w:val="24"/>
          <w14:textFill>
            <w14:solidFill>
              <w14:schemeClr w14:val="tx1"/>
            </w14:solidFill>
          </w14:textFill>
        </w:rPr>
        <w:t xml:space="preserve"> </w:t>
      </w:r>
    </w:p>
    <w:p>
      <w:pPr>
        <w:tabs>
          <w:tab w:val="left" w:pos="1029"/>
        </w:tabs>
        <w:contextualSpacing/>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传真： </w:t>
      </w:r>
    </w:p>
    <w:p>
      <w:pPr>
        <w:tabs>
          <w:tab w:val="left" w:pos="1029"/>
        </w:tabs>
        <w:contextualSpacing/>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E-mail：                                                </w:t>
      </w:r>
    </w:p>
    <w:p>
      <w:pPr>
        <w:tabs>
          <w:tab w:val="left" w:pos="720"/>
        </w:tabs>
        <w:contextualSpacing/>
        <w:jc w:val="left"/>
        <w:rPr>
          <w:rFonts w:ascii="宋体" w:hAnsi="宋体"/>
          <w:color w:val="000000" w:themeColor="text1"/>
          <w:sz w:val="24"/>
          <w14:textFill>
            <w14:solidFill>
              <w14:schemeClr w14:val="tx1"/>
            </w14:solidFill>
          </w14:textFill>
        </w:rPr>
      </w:pPr>
    </w:p>
    <w:p>
      <w:pPr>
        <w:tabs>
          <w:tab w:val="left" w:pos="720"/>
        </w:tabs>
        <w:contextualSpacing/>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受聘方（乙方）：</w:t>
      </w:r>
      <w:r>
        <w:rPr>
          <w:rFonts w:ascii="宋体" w:hAnsi="宋体"/>
          <w:color w:val="000000" w:themeColor="text1"/>
          <w:sz w:val="24"/>
          <w14:textFill>
            <w14:solidFill>
              <w14:schemeClr w14:val="tx1"/>
            </w14:solidFill>
          </w14:textFill>
        </w:rPr>
        <w:t xml:space="preserve">       </w:t>
      </w:r>
    </w:p>
    <w:p>
      <w:pPr>
        <w:tabs>
          <w:tab w:val="left" w:pos="1029"/>
        </w:tabs>
        <w:contextualSpacing/>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地址：</w:t>
      </w:r>
      <w:r>
        <w:rPr>
          <w:rFonts w:ascii="宋体" w:hAnsi="宋体"/>
          <w:color w:val="000000" w:themeColor="text1"/>
          <w:sz w:val="24"/>
          <w14:textFill>
            <w14:solidFill>
              <w14:schemeClr w14:val="tx1"/>
            </w14:solidFill>
          </w14:textFill>
        </w:rPr>
        <w:t xml:space="preserve">                                         </w:t>
      </w:r>
    </w:p>
    <w:p>
      <w:pPr>
        <w:tabs>
          <w:tab w:val="left" w:pos="1029"/>
        </w:tabs>
        <w:contextualSpacing/>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工作联系人：</w:t>
      </w:r>
      <w:r>
        <w:rPr>
          <w:rFonts w:ascii="宋体" w:hAnsi="宋体"/>
          <w:color w:val="000000" w:themeColor="text1"/>
          <w:sz w:val="24"/>
          <w14:textFill>
            <w14:solidFill>
              <w14:schemeClr w14:val="tx1"/>
            </w14:solidFill>
          </w14:textFill>
        </w:rPr>
        <w:t xml:space="preserve">                                        </w:t>
      </w:r>
    </w:p>
    <w:p>
      <w:pPr>
        <w:tabs>
          <w:tab w:val="left" w:pos="1029"/>
        </w:tabs>
        <w:contextualSpacing/>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电话：</w:t>
      </w:r>
      <w:r>
        <w:rPr>
          <w:rFonts w:ascii="宋体" w:hAnsi="宋体"/>
          <w:color w:val="000000" w:themeColor="text1"/>
          <w:sz w:val="24"/>
          <w14:textFill>
            <w14:solidFill>
              <w14:schemeClr w14:val="tx1"/>
            </w14:solidFill>
          </w14:textFill>
        </w:rPr>
        <w:t xml:space="preserve">                </w:t>
      </w:r>
    </w:p>
    <w:p>
      <w:pPr>
        <w:tabs>
          <w:tab w:val="left" w:pos="1029"/>
        </w:tabs>
        <w:contextualSpacing/>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传真：</w:t>
      </w:r>
      <w:r>
        <w:rPr>
          <w:rFonts w:ascii="宋体" w:hAnsi="宋体"/>
          <w:color w:val="000000" w:themeColor="text1"/>
          <w:sz w:val="24"/>
          <w14:textFill>
            <w14:solidFill>
              <w14:schemeClr w14:val="tx1"/>
            </w14:solidFill>
          </w14:textFill>
        </w:rPr>
        <w:t xml:space="preserve">                               </w:t>
      </w:r>
    </w:p>
    <w:p>
      <w:pPr>
        <w:tabs>
          <w:tab w:val="left" w:pos="1029"/>
        </w:tabs>
        <w:contextualSpacing/>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E-mail：                                              </w:t>
      </w:r>
    </w:p>
    <w:p>
      <w:pPr>
        <w:spacing w:line="320" w:lineRule="exact"/>
        <w:rPr>
          <w:rFonts w:ascii="宋体" w:hAnsi="宋体"/>
          <w:color w:val="000000" w:themeColor="text1"/>
          <w:sz w:val="24"/>
          <w14:textFill>
            <w14:solidFill>
              <w14:schemeClr w14:val="tx1"/>
            </w14:solidFill>
          </w14:textFill>
        </w:rPr>
      </w:pPr>
    </w:p>
    <w:p>
      <w:pPr>
        <w:spacing w:line="3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甲方因业务发展需要，通过比选确定乙方为常年法律顾问</w:t>
      </w:r>
      <w:r>
        <w:rPr>
          <w:rFonts w:ascii="宋体" w:hAnsi="宋体"/>
          <w:color w:val="000000" w:themeColor="text1"/>
          <w:sz w:val="24"/>
          <w14:textFill>
            <w14:solidFill>
              <w14:schemeClr w14:val="tx1"/>
            </w14:solidFill>
          </w14:textFill>
        </w:rPr>
        <w:t>，经双方平等友好协商，达成如下协议：</w:t>
      </w:r>
    </w:p>
    <w:p>
      <w:pPr>
        <w:spacing w:line="320" w:lineRule="exact"/>
        <w:ind w:firstLine="480" w:firstLineChars="200"/>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1.合同文件的优先次序</w:t>
      </w:r>
    </w:p>
    <w:p>
      <w:pPr>
        <w:spacing w:line="3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1.1下列文件一起构成合同文件</w:t>
      </w:r>
    </w:p>
    <w:p>
      <w:pPr>
        <w:spacing w:line="3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1）合同协议书及各种合同附件（含比选评审期间和合同谈判过程中的澄清文件和补充资料）；</w:t>
      </w:r>
    </w:p>
    <w:p>
      <w:pPr>
        <w:spacing w:line="3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2）中选通知书；</w:t>
      </w:r>
    </w:p>
    <w:p>
      <w:pPr>
        <w:spacing w:line="3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3）比选申请文件及比选申请函；</w:t>
      </w:r>
    </w:p>
    <w:p>
      <w:pPr>
        <w:spacing w:line="3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4）比选文件；</w:t>
      </w:r>
    </w:p>
    <w:p>
      <w:pPr>
        <w:spacing w:line="3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5）其他合同文件。</w:t>
      </w:r>
    </w:p>
    <w:p>
      <w:pPr>
        <w:pStyle w:val="45"/>
        <w:spacing w:line="320" w:lineRule="exact"/>
        <w:ind w:firstLine="460" w:firstLineChars="192"/>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1.2上述文件互相补充和解释，如有不明确或不一致之处，以上述次序在先者为准；同一次序的文件以时间在后的为准。</w:t>
      </w:r>
    </w:p>
    <w:p>
      <w:pPr>
        <w:spacing w:line="320" w:lineRule="exact"/>
        <w:ind w:firstLine="480" w:firstLineChars="200"/>
        <w:rPr>
          <w:rFonts w:hAnsi="宋体"/>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甲方同意乙方组成的律师团队</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为甲方提供法律顾问服务。乙方指定</w:t>
      </w:r>
      <w:r>
        <w:rPr>
          <w:rFonts w:hint="eastAsia" w:hAnsi="宋体"/>
          <w:color w:val="000000" w:themeColor="text1"/>
          <w:sz w:val="24"/>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律师为日常联系人，负责服务工作的联系与对接。乙方应按照合法、公正、独立、优质、高效的原则为甲方提供服务，认真维护甲方的合法权益。</w:t>
      </w:r>
    </w:p>
    <w:p>
      <w:pPr>
        <w:spacing w:line="320" w:lineRule="exact"/>
        <w:ind w:firstLine="480" w:firstLineChars="200"/>
        <w:rPr>
          <w:rFonts w:ascii="宋体" w:hAnsi="宋体"/>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3.合同期限</w:t>
      </w:r>
      <w:r>
        <w:rPr>
          <w:rFonts w:hint="eastAsia" w:ascii="宋体" w:hAnsi="宋体"/>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从</w:t>
      </w:r>
      <w:r>
        <w:rPr>
          <w:rFonts w:ascii="宋体" w:hAnsi="宋体"/>
          <w:b/>
          <w:color w:val="000000" w:themeColor="text1"/>
          <w:sz w:val="24"/>
          <w14:textFill>
            <w14:solidFill>
              <w14:schemeClr w14:val="tx1"/>
            </w14:solidFill>
          </w14:textFill>
        </w:rPr>
        <w:t>20</w:t>
      </w:r>
      <w:r>
        <w:rPr>
          <w:rFonts w:hint="eastAsia" w:ascii="宋体" w:hAnsi="宋体"/>
          <w:b/>
          <w:color w:val="000000" w:themeColor="text1"/>
          <w:sz w:val="24"/>
          <w14:textFill>
            <w14:solidFill>
              <w14:schemeClr w14:val="tx1"/>
            </w14:solidFill>
          </w14:textFill>
        </w:rPr>
        <w:t>2</w:t>
      </w:r>
      <w:r>
        <w:rPr>
          <w:rFonts w:hint="eastAsia" w:ascii="宋体" w:hAnsi="宋体"/>
          <w:b/>
          <w:color w:val="000000" w:themeColor="text1"/>
          <w:sz w:val="24"/>
          <w:lang w:val="en-US" w:eastAsia="zh-CN"/>
          <w14:textFill>
            <w14:solidFill>
              <w14:schemeClr w14:val="tx1"/>
            </w14:solidFill>
          </w14:textFill>
        </w:rPr>
        <w:t>4</w:t>
      </w:r>
      <w:r>
        <w:rPr>
          <w:rFonts w:ascii="宋体" w:hAnsi="宋体"/>
          <w:b/>
          <w:color w:val="000000" w:themeColor="text1"/>
          <w:sz w:val="24"/>
          <w14:textFill>
            <w14:solidFill>
              <w14:schemeClr w14:val="tx1"/>
            </w14:solidFill>
          </w14:textFill>
        </w:rPr>
        <w:t>年</w:t>
      </w:r>
      <w:r>
        <w:rPr>
          <w:rFonts w:hint="eastAsia" w:ascii="宋体" w:hAnsi="宋体"/>
          <w:b/>
          <w:color w:val="000000" w:themeColor="text1"/>
          <w:sz w:val="24"/>
          <w:lang w:val="en-US" w:eastAsia="zh-CN"/>
          <w14:textFill>
            <w14:solidFill>
              <w14:schemeClr w14:val="tx1"/>
            </w14:solidFill>
          </w14:textFill>
        </w:rPr>
        <w:t>5</w:t>
      </w:r>
      <w:r>
        <w:rPr>
          <w:rFonts w:ascii="宋体" w:hAnsi="宋体"/>
          <w:b/>
          <w:color w:val="000000" w:themeColor="text1"/>
          <w:sz w:val="24"/>
          <w14:textFill>
            <w14:solidFill>
              <w14:schemeClr w14:val="tx1"/>
            </w14:solidFill>
          </w14:textFill>
        </w:rPr>
        <w:t>月</w:t>
      </w:r>
      <w:r>
        <w:rPr>
          <w:rFonts w:hint="eastAsia" w:ascii="宋体" w:hAnsi="宋体"/>
          <w:b/>
          <w:color w:val="000000" w:themeColor="text1"/>
          <w:sz w:val="24"/>
          <w:lang w:val="en-US" w:eastAsia="zh-CN"/>
          <w14:textFill>
            <w14:solidFill>
              <w14:schemeClr w14:val="tx1"/>
            </w14:solidFill>
          </w14:textFill>
        </w:rPr>
        <w:t>1</w:t>
      </w:r>
      <w:r>
        <w:rPr>
          <w:rFonts w:ascii="宋体" w:hAnsi="宋体"/>
          <w:b/>
          <w:color w:val="000000" w:themeColor="text1"/>
          <w:sz w:val="24"/>
          <w14:textFill>
            <w14:solidFill>
              <w14:schemeClr w14:val="tx1"/>
            </w14:solidFill>
          </w14:textFill>
        </w:rPr>
        <w:t>日起至2025年</w:t>
      </w:r>
      <w:r>
        <w:rPr>
          <w:rFonts w:hint="eastAsia" w:ascii="宋体" w:hAnsi="宋体"/>
          <w:b/>
          <w:color w:val="000000" w:themeColor="text1"/>
          <w:sz w:val="24"/>
          <w:lang w:val="en-US" w:eastAsia="zh-CN"/>
          <w14:textFill>
            <w14:solidFill>
              <w14:schemeClr w14:val="tx1"/>
            </w14:solidFill>
          </w14:textFill>
        </w:rPr>
        <w:t>4</w:t>
      </w:r>
      <w:r>
        <w:rPr>
          <w:rFonts w:ascii="宋体" w:hAnsi="宋体"/>
          <w:b/>
          <w:color w:val="000000" w:themeColor="text1"/>
          <w:sz w:val="24"/>
          <w14:textFill>
            <w14:solidFill>
              <w14:schemeClr w14:val="tx1"/>
            </w14:solidFill>
          </w14:textFill>
        </w:rPr>
        <w:t>月</w:t>
      </w:r>
      <w:r>
        <w:rPr>
          <w:rFonts w:hint="eastAsia" w:ascii="宋体" w:hAnsi="宋体"/>
          <w:b/>
          <w:color w:val="000000" w:themeColor="text1"/>
          <w:sz w:val="24"/>
          <w:lang w:val="en-US" w:eastAsia="zh-CN"/>
          <w14:textFill>
            <w14:solidFill>
              <w14:schemeClr w14:val="tx1"/>
            </w14:solidFill>
          </w14:textFill>
        </w:rPr>
        <w:t>30</w:t>
      </w:r>
      <w:r>
        <w:rPr>
          <w:rFonts w:ascii="宋体" w:hAnsi="宋体"/>
          <w:b/>
          <w:color w:val="000000" w:themeColor="text1"/>
          <w:sz w:val="24"/>
          <w14:textFill>
            <w14:solidFill>
              <w14:schemeClr w14:val="tx1"/>
            </w14:solidFill>
          </w14:textFill>
        </w:rPr>
        <w:t>日止</w:t>
      </w:r>
      <w:r>
        <w:rPr>
          <w:rFonts w:hint="eastAsia" w:ascii="宋体" w:hAnsi="宋体"/>
          <w:color w:val="000000" w:themeColor="text1"/>
          <w:sz w:val="24"/>
          <w14:textFill>
            <w14:solidFill>
              <w14:schemeClr w14:val="tx1"/>
            </w14:solidFill>
          </w14:textFill>
        </w:rPr>
        <w:t>，期限为</w:t>
      </w:r>
      <w:r>
        <w:rPr>
          <w:rFonts w:hint="eastAsia" w:ascii="宋体" w:hAnsi="宋体"/>
          <w:color w:val="000000" w:themeColor="text1"/>
          <w:sz w:val="24"/>
          <w:u w:val="single"/>
          <w:lang w:val="en-US" w:eastAsia="zh-CN"/>
          <w14:textFill>
            <w14:solidFill>
              <w14:schemeClr w14:val="tx1"/>
            </w14:solidFill>
          </w14:textFill>
        </w:rPr>
        <w:t>壹</w:t>
      </w:r>
      <w:r>
        <w:rPr>
          <w:rFonts w:ascii="宋体" w:hAnsi="宋体"/>
          <w:color w:val="000000" w:themeColor="text1"/>
          <w:sz w:val="24"/>
          <w:u w:val="single"/>
          <w14:textFill>
            <w14:solidFill>
              <w14:schemeClr w14:val="tx1"/>
            </w14:solidFill>
          </w14:textFill>
        </w:rPr>
        <w:t>年</w:t>
      </w:r>
      <w:r>
        <w:rPr>
          <w:rFonts w:hint="eastAsia" w:ascii="宋体" w:hAnsi="宋体"/>
          <w:color w:val="000000" w:themeColor="text1"/>
          <w:sz w:val="24"/>
          <w14:textFill>
            <w14:solidFill>
              <w14:schemeClr w14:val="tx1"/>
            </w14:solidFill>
          </w14:textFill>
        </w:rPr>
        <w:t>。合同期满，双方再议是否续约。</w:t>
      </w:r>
    </w:p>
    <w:p>
      <w:pPr>
        <w:spacing w:line="320" w:lineRule="exact"/>
        <w:ind w:firstLine="480" w:firstLineChars="200"/>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4.乙方的服务范围及工作内容</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乙方负责甲方的法律顾问服务工作范围为：</w:t>
      </w:r>
      <w:r>
        <w:rPr>
          <w:rFonts w:hint="eastAsia" w:cs="宋体"/>
          <w:bCs/>
          <w:color w:val="000000" w:themeColor="text1"/>
          <w:sz w:val="24"/>
          <w14:textFill>
            <w14:solidFill>
              <w14:schemeClr w14:val="tx1"/>
            </w14:solidFill>
          </w14:textFill>
        </w:rPr>
        <w:t>为</w:t>
      </w:r>
      <w:r>
        <w:rPr>
          <w:rFonts w:hint="eastAsia" w:ascii="宋体" w:hAnsi="宋体"/>
          <w:color w:val="000000" w:themeColor="text1"/>
          <w:sz w:val="24"/>
          <w:lang w:eastAsia="zh-CN"/>
          <w14:textFill>
            <w14:solidFill>
              <w14:schemeClr w14:val="tx1"/>
            </w14:solidFill>
          </w14:textFill>
        </w:rPr>
        <w:t>南宁市金盾道路清障有限责任公司</w:t>
      </w:r>
      <w:r>
        <w:rPr>
          <w:rFonts w:hint="eastAsia" w:cs="宋体"/>
          <w:bCs/>
          <w:color w:val="000000" w:themeColor="text1"/>
          <w:sz w:val="24"/>
          <w14:textFill>
            <w14:solidFill>
              <w14:schemeClr w14:val="tx1"/>
            </w14:solidFill>
          </w14:textFill>
        </w:rPr>
        <w:t>事务</w:t>
      </w:r>
      <w:r>
        <w:rPr>
          <w:rFonts w:hint="eastAsia" w:cs="宋体"/>
          <w:color w:val="000000" w:themeColor="text1"/>
          <w:sz w:val="24"/>
          <w14:textFill>
            <w14:solidFill>
              <w14:schemeClr w14:val="tx1"/>
            </w14:solidFill>
          </w14:textFill>
        </w:rPr>
        <w:t>提供日常法律顾问服务</w:t>
      </w:r>
      <w:r>
        <w:rPr>
          <w:rFonts w:hint="eastAsia" w:ascii="宋体" w:hAnsi="宋体"/>
          <w:color w:val="000000" w:themeColor="text1"/>
          <w:sz w:val="24"/>
          <w14:textFill>
            <w14:solidFill>
              <w14:schemeClr w14:val="tx1"/>
            </w14:solidFill>
          </w14:textFill>
        </w:rPr>
        <w:t>。</w:t>
      </w:r>
    </w:p>
    <w:p>
      <w:pPr>
        <w:spacing w:line="3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主要包括但不限于以下内容：</w:t>
      </w:r>
    </w:p>
    <w:p>
      <w:pPr>
        <w:spacing w:line="320" w:lineRule="exact"/>
        <w:ind w:firstLine="480" w:firstLineChars="200"/>
        <w:rPr>
          <w:rFonts w:ascii="宋体" w:hAnsi="宋体"/>
          <w:b/>
          <w:color w:val="auto"/>
          <w:sz w:val="24"/>
        </w:rPr>
      </w:pPr>
      <w:r>
        <w:rPr>
          <w:rFonts w:ascii="宋体" w:hAnsi="宋体"/>
          <w:b/>
          <w:color w:val="auto"/>
          <w:sz w:val="24"/>
        </w:rPr>
        <w:t>4.1日常法律咨询服务工作</w:t>
      </w:r>
    </w:p>
    <w:p>
      <w:pPr>
        <w:spacing w:line="320" w:lineRule="exact"/>
        <w:ind w:firstLine="480" w:firstLineChars="200"/>
        <w:rPr>
          <w:rFonts w:ascii="宋体" w:hAnsi="宋体"/>
          <w:color w:val="auto"/>
          <w:sz w:val="24"/>
        </w:rPr>
      </w:pPr>
      <w:r>
        <w:rPr>
          <w:rFonts w:ascii="宋体" w:hAnsi="宋体"/>
          <w:color w:val="auto"/>
          <w:sz w:val="24"/>
        </w:rPr>
        <w:t>4.1.1甲方需要了解或解答的法律问题，乙方应予以及时、准确、完整地答复。律师在工作过程中发现的重大问题，应主动向甲方提出意见和建议，并及时通报有关的法律、政策动态和信息。</w:t>
      </w:r>
    </w:p>
    <w:p>
      <w:pPr>
        <w:spacing w:line="320" w:lineRule="exact"/>
        <w:ind w:firstLine="480" w:firstLineChars="200"/>
        <w:rPr>
          <w:rFonts w:ascii="宋体" w:hAnsi="宋体"/>
          <w:color w:val="auto"/>
          <w:sz w:val="24"/>
        </w:rPr>
      </w:pPr>
      <w:r>
        <w:rPr>
          <w:rFonts w:ascii="宋体" w:hAnsi="宋体"/>
          <w:color w:val="auto"/>
          <w:sz w:val="24"/>
        </w:rPr>
        <w:t>4.1.2及时向甲方通报国家最新的法律、政策动态信息。</w:t>
      </w:r>
    </w:p>
    <w:p>
      <w:pPr>
        <w:spacing w:line="320" w:lineRule="exact"/>
        <w:ind w:firstLine="480" w:firstLineChars="200"/>
        <w:rPr>
          <w:rFonts w:ascii="宋体" w:hAnsi="宋体"/>
          <w:color w:val="auto"/>
          <w:sz w:val="24"/>
        </w:rPr>
      </w:pPr>
      <w:r>
        <w:rPr>
          <w:rFonts w:ascii="宋体" w:hAnsi="宋体"/>
          <w:color w:val="auto"/>
          <w:sz w:val="24"/>
        </w:rPr>
        <w:t>4.1.3协助甲方抓好普法教育工作，特别是结合甲方业务的实际情况，开展各种形式的专业法律知识教育，每年</w:t>
      </w:r>
      <w:r>
        <w:rPr>
          <w:rFonts w:hint="eastAsia" w:ascii="宋体" w:hAnsi="宋体"/>
          <w:color w:val="auto"/>
          <w:sz w:val="24"/>
        </w:rPr>
        <w:t>至少</w:t>
      </w:r>
      <w:r>
        <w:rPr>
          <w:rFonts w:ascii="宋体" w:hAnsi="宋体"/>
          <w:color w:val="auto"/>
          <w:sz w:val="24"/>
        </w:rPr>
        <w:t>举办</w:t>
      </w:r>
      <w:r>
        <w:rPr>
          <w:rFonts w:hint="eastAsia" w:ascii="宋体" w:hAnsi="宋体"/>
          <w:color w:val="auto"/>
          <w:sz w:val="24"/>
        </w:rPr>
        <w:t>二</w:t>
      </w:r>
      <w:r>
        <w:rPr>
          <w:rFonts w:ascii="宋体" w:hAnsi="宋体"/>
          <w:color w:val="auto"/>
          <w:sz w:val="24"/>
        </w:rPr>
        <w:t>次培训，帮助甲方提高其管理人员依法经营、防范经营法律风险的水平，尽可能避免或减少工作中的法律失误，甲方在举办培训班之前提前通知乙方并给予至少一周的准备时间，乙方培训律师执业年限不得少于5年。</w:t>
      </w:r>
    </w:p>
    <w:p>
      <w:pPr>
        <w:pStyle w:val="51"/>
        <w:spacing w:line="320" w:lineRule="exact"/>
        <w:ind w:firstLine="482"/>
        <w:rPr>
          <w:b/>
          <w:color w:val="auto"/>
          <w:sz w:val="24"/>
          <w:szCs w:val="24"/>
        </w:rPr>
      </w:pPr>
      <w:r>
        <w:rPr>
          <w:b/>
          <w:color w:val="auto"/>
          <w:sz w:val="24"/>
          <w:szCs w:val="24"/>
        </w:rPr>
        <w:t>4.2</w:t>
      </w:r>
      <w:r>
        <w:rPr>
          <w:rFonts w:hint="eastAsia"/>
          <w:b/>
          <w:color w:val="auto"/>
          <w:sz w:val="24"/>
          <w:szCs w:val="24"/>
        </w:rPr>
        <w:t>公司经营活动方面的法律服务工作</w:t>
      </w:r>
    </w:p>
    <w:p>
      <w:pPr>
        <w:spacing w:line="320" w:lineRule="exact"/>
        <w:ind w:firstLine="480" w:firstLineChars="200"/>
        <w:rPr>
          <w:color w:val="auto"/>
          <w:sz w:val="24"/>
        </w:rPr>
      </w:pPr>
      <w:r>
        <w:rPr>
          <w:color w:val="auto"/>
          <w:sz w:val="24"/>
        </w:rPr>
        <w:t>4.2.1根据甲方的要求，审核、修订甲方在生产、经营、管理方面的规章制度、重要决策和授权委托文件等，提供合法性审查意见，并根据需要出具法律意见书</w:t>
      </w:r>
      <w:r>
        <w:rPr>
          <w:rFonts w:hint="eastAsia"/>
          <w:color w:val="auto"/>
          <w:sz w:val="24"/>
        </w:rPr>
        <w:t>；</w:t>
      </w:r>
    </w:p>
    <w:p>
      <w:pPr>
        <w:pStyle w:val="51"/>
        <w:spacing w:line="320" w:lineRule="exact"/>
        <w:ind w:firstLine="480"/>
        <w:rPr>
          <w:rFonts w:ascii="宋体" w:hAnsi="宋体"/>
          <w:color w:val="auto"/>
          <w:sz w:val="24"/>
          <w:szCs w:val="24"/>
        </w:rPr>
      </w:pPr>
      <w:r>
        <w:rPr>
          <w:rFonts w:hint="eastAsia" w:ascii="宋体" w:hAnsi="宋体"/>
          <w:color w:val="auto"/>
          <w:sz w:val="24"/>
          <w:szCs w:val="24"/>
        </w:rPr>
        <w:t>4.2.2根据甲方要求，审核招标文件、合同、协议、对外发布函件、文稿、声明、指示、决定等文书，出具合法性审查意见，并根据需要出具法律意见书；</w:t>
      </w:r>
    </w:p>
    <w:p>
      <w:pPr>
        <w:pStyle w:val="51"/>
        <w:spacing w:line="320" w:lineRule="exact"/>
        <w:ind w:firstLine="480"/>
        <w:rPr>
          <w:color w:val="auto"/>
          <w:sz w:val="24"/>
          <w:szCs w:val="24"/>
        </w:rPr>
      </w:pPr>
      <w:r>
        <w:rPr>
          <w:color w:val="auto"/>
          <w:sz w:val="24"/>
          <w:szCs w:val="24"/>
        </w:rPr>
        <w:t>4.2.3</w:t>
      </w:r>
      <w:r>
        <w:rPr>
          <w:rFonts w:hint="eastAsia"/>
          <w:color w:val="auto"/>
          <w:sz w:val="24"/>
          <w:szCs w:val="24"/>
        </w:rPr>
        <w:t>对招投标过程中出现的法律风险、质疑、投诉等问题提出法律意见；</w:t>
      </w:r>
    </w:p>
    <w:p>
      <w:pPr>
        <w:pStyle w:val="51"/>
        <w:spacing w:line="320" w:lineRule="exact"/>
        <w:ind w:firstLine="480"/>
        <w:rPr>
          <w:color w:val="auto"/>
          <w:sz w:val="24"/>
          <w:szCs w:val="24"/>
        </w:rPr>
      </w:pPr>
      <w:r>
        <w:rPr>
          <w:color w:val="auto"/>
          <w:sz w:val="24"/>
          <w:szCs w:val="24"/>
        </w:rPr>
        <w:t>4.2.4</w:t>
      </w:r>
      <w:r>
        <w:rPr>
          <w:rFonts w:hint="eastAsia"/>
          <w:color w:val="auto"/>
          <w:sz w:val="24"/>
          <w:szCs w:val="24"/>
        </w:rPr>
        <w:t>应邀参加重大项目招标文件的审核；</w:t>
      </w:r>
    </w:p>
    <w:p>
      <w:pPr>
        <w:pStyle w:val="51"/>
        <w:spacing w:line="320" w:lineRule="exact"/>
        <w:ind w:firstLine="480"/>
        <w:rPr>
          <w:color w:val="auto"/>
          <w:sz w:val="24"/>
          <w:szCs w:val="24"/>
        </w:rPr>
      </w:pPr>
      <w:r>
        <w:rPr>
          <w:color w:val="auto"/>
          <w:sz w:val="24"/>
          <w:szCs w:val="24"/>
        </w:rPr>
        <w:t>4.2.5</w:t>
      </w:r>
      <w:r>
        <w:rPr>
          <w:rFonts w:hint="eastAsia"/>
          <w:color w:val="auto"/>
          <w:sz w:val="24"/>
          <w:szCs w:val="24"/>
        </w:rPr>
        <w:t>对合同签订及履约过程中出现的争议、签证、索赔等问题提出法律意见；</w:t>
      </w:r>
    </w:p>
    <w:p>
      <w:pPr>
        <w:pStyle w:val="51"/>
        <w:spacing w:line="320" w:lineRule="exact"/>
        <w:ind w:firstLine="480"/>
        <w:rPr>
          <w:color w:val="auto"/>
          <w:sz w:val="24"/>
          <w:szCs w:val="24"/>
        </w:rPr>
      </w:pPr>
      <w:r>
        <w:rPr>
          <w:color w:val="auto"/>
          <w:sz w:val="24"/>
          <w:szCs w:val="24"/>
        </w:rPr>
        <w:t>4.2.6</w:t>
      </w:r>
      <w:r>
        <w:rPr>
          <w:rFonts w:ascii="Times New Roman" w:hAnsi="Times New Roman"/>
          <w:color w:val="auto"/>
          <w:sz w:val="24"/>
        </w:rPr>
        <w:t>为甲方办理商标注册等事务时遇到的问题提供法律意见；</w:t>
      </w:r>
    </w:p>
    <w:p>
      <w:pPr>
        <w:pStyle w:val="51"/>
        <w:spacing w:line="320" w:lineRule="exact"/>
        <w:ind w:firstLine="480"/>
        <w:rPr>
          <w:color w:val="auto"/>
          <w:sz w:val="24"/>
          <w:szCs w:val="24"/>
        </w:rPr>
      </w:pPr>
      <w:r>
        <w:rPr>
          <w:rFonts w:hint="eastAsia"/>
          <w:color w:val="auto"/>
          <w:sz w:val="24"/>
          <w:szCs w:val="24"/>
        </w:rPr>
        <w:t>4.2.7应邀参加重大合同谈判；</w:t>
      </w:r>
    </w:p>
    <w:p>
      <w:pPr>
        <w:pStyle w:val="51"/>
        <w:spacing w:line="320" w:lineRule="exact"/>
        <w:ind w:firstLine="480"/>
        <w:rPr>
          <w:color w:val="auto"/>
          <w:sz w:val="24"/>
          <w:szCs w:val="24"/>
        </w:rPr>
      </w:pPr>
      <w:r>
        <w:rPr>
          <w:color w:val="auto"/>
          <w:sz w:val="24"/>
          <w:szCs w:val="24"/>
        </w:rPr>
        <w:t>4.2.</w:t>
      </w:r>
      <w:r>
        <w:rPr>
          <w:rFonts w:hint="eastAsia"/>
          <w:color w:val="auto"/>
          <w:sz w:val="24"/>
          <w:szCs w:val="24"/>
        </w:rPr>
        <w:t>8</w:t>
      </w:r>
      <w:r>
        <w:rPr>
          <w:rFonts w:ascii="Times New Roman" w:hAnsi="Times New Roman"/>
          <w:color w:val="auto"/>
          <w:sz w:val="24"/>
        </w:rPr>
        <w:t>为甲方和合作方的合作意向书等出具法律意见或法律意见书；</w:t>
      </w:r>
      <w:r>
        <w:rPr>
          <w:rFonts w:hint="eastAsia"/>
          <w:color w:val="auto"/>
          <w:sz w:val="24"/>
          <w:szCs w:val="24"/>
        </w:rPr>
        <w:t>；</w:t>
      </w:r>
    </w:p>
    <w:p>
      <w:pPr>
        <w:spacing w:line="320" w:lineRule="exact"/>
        <w:ind w:firstLine="480" w:firstLineChars="200"/>
        <w:rPr>
          <w:color w:val="auto"/>
          <w:sz w:val="24"/>
        </w:rPr>
      </w:pPr>
      <w:r>
        <w:rPr>
          <w:color w:val="auto"/>
          <w:sz w:val="24"/>
        </w:rPr>
        <w:t>4.2.</w:t>
      </w:r>
      <w:r>
        <w:rPr>
          <w:rFonts w:hint="eastAsia"/>
          <w:color w:val="auto"/>
          <w:sz w:val="24"/>
        </w:rPr>
        <w:t>9</w:t>
      </w:r>
      <w:r>
        <w:rPr>
          <w:color w:val="auto"/>
          <w:sz w:val="24"/>
        </w:rPr>
        <w:t>对甲方上报的纠纷提出法律解决意见，或对相关处理方案进行合法性审核；</w:t>
      </w:r>
    </w:p>
    <w:p>
      <w:pPr>
        <w:spacing w:line="320" w:lineRule="exact"/>
        <w:ind w:firstLine="480" w:firstLineChars="200"/>
        <w:rPr>
          <w:rFonts w:ascii="Calibri" w:hAnsi="Calibri"/>
          <w:color w:val="auto"/>
          <w:sz w:val="24"/>
        </w:rPr>
      </w:pPr>
      <w:r>
        <w:rPr>
          <w:color w:val="auto"/>
          <w:sz w:val="24"/>
        </w:rPr>
        <w:t>4.2.</w:t>
      </w:r>
      <w:r>
        <w:rPr>
          <w:rFonts w:hint="eastAsia"/>
          <w:color w:val="auto"/>
          <w:sz w:val="24"/>
        </w:rPr>
        <w:t>10</w:t>
      </w:r>
      <w:r>
        <w:rPr>
          <w:rFonts w:hint="eastAsia" w:ascii="Calibri" w:hAnsi="Calibri"/>
          <w:color w:val="auto"/>
          <w:sz w:val="24"/>
        </w:rPr>
        <w:t>按照甲方要求，列席重大会议或专题会议，或应邀出席甲方及其与其他单位的涉及法律事务的会议，并为往来文件中涉及资产、合同、纠纷及交易等问题提供咨询意见；</w:t>
      </w:r>
    </w:p>
    <w:p>
      <w:pPr>
        <w:spacing w:line="320" w:lineRule="exact"/>
        <w:ind w:firstLine="480" w:firstLineChars="200"/>
        <w:rPr>
          <w:color w:val="auto"/>
          <w:sz w:val="24"/>
        </w:rPr>
      </w:pPr>
      <w:r>
        <w:rPr>
          <w:color w:val="auto"/>
          <w:sz w:val="24"/>
        </w:rPr>
        <w:t>4.2.</w:t>
      </w:r>
      <w:r>
        <w:rPr>
          <w:rFonts w:hint="eastAsia"/>
          <w:color w:val="auto"/>
          <w:sz w:val="24"/>
        </w:rPr>
        <w:t>11</w:t>
      </w:r>
      <w:r>
        <w:rPr>
          <w:color w:val="auto"/>
          <w:sz w:val="24"/>
        </w:rPr>
        <w:t xml:space="preserve"> 必要时对公司重大诉讼、仲裁、知识产权纠纷、应急事件处理等提供法律意见；</w:t>
      </w:r>
    </w:p>
    <w:p>
      <w:pPr>
        <w:spacing w:line="320" w:lineRule="exact"/>
        <w:ind w:firstLine="480" w:firstLineChars="200"/>
        <w:rPr>
          <w:color w:val="auto"/>
          <w:sz w:val="24"/>
        </w:rPr>
      </w:pPr>
      <w:r>
        <w:rPr>
          <w:color w:val="auto"/>
          <w:sz w:val="24"/>
        </w:rPr>
        <w:t>4.2.</w:t>
      </w:r>
      <w:r>
        <w:rPr>
          <w:rFonts w:hint="eastAsia"/>
          <w:color w:val="auto"/>
          <w:sz w:val="24"/>
        </w:rPr>
        <w:t>12</w:t>
      </w:r>
      <w:r>
        <w:rPr>
          <w:color w:val="auto"/>
          <w:sz w:val="24"/>
        </w:rPr>
        <w:t>根据公司要求处理经营活动方面的非诉讼法律事务，包括进行侵权调查、发表律师声明、签发律师函、出具法律意见书，但侵权调查属于诉讼前置程序的除外。</w:t>
      </w:r>
    </w:p>
    <w:p>
      <w:pPr>
        <w:spacing w:line="320" w:lineRule="exact"/>
        <w:ind w:firstLine="480" w:firstLineChars="200"/>
        <w:rPr>
          <w:rFonts w:ascii="宋体" w:hAnsi="宋体"/>
          <w:b/>
          <w:color w:val="auto"/>
          <w:sz w:val="24"/>
        </w:rPr>
      </w:pPr>
      <w:r>
        <w:rPr>
          <w:rFonts w:ascii="宋体" w:hAnsi="宋体"/>
          <w:b/>
          <w:color w:val="auto"/>
          <w:sz w:val="24"/>
        </w:rPr>
        <w:t>4.3资源开发方面的法律服务</w:t>
      </w:r>
    </w:p>
    <w:p>
      <w:pPr>
        <w:spacing w:line="320" w:lineRule="exact"/>
        <w:ind w:firstLine="480" w:firstLineChars="200"/>
        <w:rPr>
          <w:rFonts w:hint="eastAsia" w:ascii="宋体" w:hAnsi="宋体" w:eastAsia="宋体" w:cs="Times New Roman"/>
          <w:color w:val="auto"/>
          <w:sz w:val="24"/>
        </w:rPr>
      </w:pPr>
      <w:r>
        <w:rPr>
          <w:rFonts w:hint="eastAsia" w:ascii="宋体" w:hAnsi="宋体" w:eastAsia="宋体" w:cs="Times New Roman"/>
          <w:color w:val="auto"/>
          <w:sz w:val="24"/>
        </w:rPr>
        <w:t>为</w:t>
      </w:r>
      <w:r>
        <w:rPr>
          <w:rFonts w:hint="eastAsia" w:ascii="宋体" w:hAnsi="宋体" w:eastAsia="宋体" w:cs="Times New Roman"/>
          <w:color w:val="auto"/>
          <w:sz w:val="24"/>
          <w:lang w:eastAsia="zh-CN"/>
        </w:rPr>
        <w:t>甲方</w:t>
      </w:r>
      <w:r>
        <w:rPr>
          <w:rFonts w:hint="eastAsia" w:ascii="宋体" w:hAnsi="宋体" w:eastAsia="宋体" w:cs="Times New Roman"/>
          <w:color w:val="auto"/>
          <w:sz w:val="24"/>
        </w:rPr>
        <w:t>业务范围内的资源开发及相关衍生资源开发提供法律咨询服务。</w:t>
      </w:r>
    </w:p>
    <w:p>
      <w:pPr>
        <w:spacing w:line="320" w:lineRule="exact"/>
        <w:ind w:firstLine="480" w:firstLineChars="200"/>
        <w:rPr>
          <w:rFonts w:ascii="宋体" w:hAnsi="宋体"/>
          <w:b/>
          <w:color w:val="auto"/>
          <w:sz w:val="24"/>
        </w:rPr>
      </w:pPr>
      <w:r>
        <w:rPr>
          <w:rFonts w:ascii="宋体" w:hAnsi="宋体"/>
          <w:b/>
          <w:color w:val="auto"/>
          <w:sz w:val="24"/>
        </w:rPr>
        <w:t>4.4</w:t>
      </w:r>
      <w:r>
        <w:rPr>
          <w:rFonts w:hint="eastAsia" w:ascii="宋体" w:hAnsi="宋体"/>
          <w:b/>
          <w:color w:val="auto"/>
          <w:sz w:val="24"/>
        </w:rPr>
        <w:t>融资、</w:t>
      </w:r>
      <w:r>
        <w:rPr>
          <w:rFonts w:ascii="宋体" w:hAnsi="宋体"/>
          <w:b/>
          <w:color w:val="auto"/>
          <w:sz w:val="24"/>
        </w:rPr>
        <w:t>投资、资产处置活动的法律服务</w:t>
      </w:r>
    </w:p>
    <w:p>
      <w:pPr>
        <w:pStyle w:val="51"/>
        <w:spacing w:line="320" w:lineRule="exact"/>
        <w:ind w:firstLine="480"/>
        <w:rPr>
          <w:rFonts w:ascii="Times New Roman" w:hAnsi="Times New Roman"/>
          <w:color w:val="auto"/>
          <w:sz w:val="24"/>
          <w:szCs w:val="24"/>
        </w:rPr>
      </w:pPr>
      <w:r>
        <w:rPr>
          <w:rFonts w:ascii="Times New Roman" w:hAnsi="Times New Roman"/>
          <w:color w:val="auto"/>
          <w:sz w:val="24"/>
          <w:szCs w:val="24"/>
        </w:rPr>
        <w:t>4.4.1为甲方的融资工作提供前期的法律咨询，必要时为融资合同、涉及的抵押、质押或保险问题及融资方式等提供法律意见；</w:t>
      </w:r>
    </w:p>
    <w:p>
      <w:pPr>
        <w:pStyle w:val="51"/>
        <w:spacing w:line="320" w:lineRule="exact"/>
        <w:ind w:firstLine="480"/>
        <w:rPr>
          <w:rFonts w:ascii="Times New Roman" w:hAnsi="Times New Roman"/>
          <w:color w:val="auto"/>
          <w:sz w:val="24"/>
          <w:szCs w:val="24"/>
        </w:rPr>
      </w:pPr>
      <w:r>
        <w:rPr>
          <w:rFonts w:ascii="Times New Roman" w:hAnsi="Times New Roman"/>
          <w:color w:val="auto"/>
          <w:sz w:val="24"/>
          <w:szCs w:val="24"/>
        </w:rPr>
        <w:t>4.4.2对项目开发提供前期法律咨询服务。</w:t>
      </w:r>
    </w:p>
    <w:p>
      <w:pPr>
        <w:spacing w:line="320" w:lineRule="exact"/>
        <w:ind w:firstLine="480" w:firstLineChars="200"/>
        <w:rPr>
          <w:rFonts w:ascii="宋体" w:hAnsi="宋体"/>
          <w:color w:val="auto"/>
          <w:sz w:val="24"/>
        </w:rPr>
      </w:pPr>
      <w:r>
        <w:rPr>
          <w:rFonts w:hint="eastAsia" w:ascii="宋体" w:hAnsi="宋体"/>
          <w:color w:val="auto"/>
          <w:sz w:val="24"/>
        </w:rPr>
        <w:t>4.4.3</w:t>
      </w:r>
      <w:r>
        <w:rPr>
          <w:rFonts w:ascii="宋体" w:hAnsi="宋体"/>
          <w:color w:val="auto"/>
          <w:sz w:val="24"/>
        </w:rPr>
        <w:t>对企业改制、设立、破产、解散、注销、合并、分立、增减注册资本、股权转让、股权投资、资产处置及项目投资后评价等事项提供法律意见，对国有资产管理相关规定要求出具法律意见书的事项，出具法律意见书；</w:t>
      </w:r>
    </w:p>
    <w:p>
      <w:pPr>
        <w:spacing w:line="320" w:lineRule="exact"/>
        <w:ind w:firstLine="480" w:firstLineChars="200"/>
        <w:rPr>
          <w:rFonts w:ascii="宋体" w:hAnsi="宋体"/>
          <w:color w:val="auto"/>
          <w:sz w:val="24"/>
        </w:rPr>
      </w:pPr>
      <w:r>
        <w:rPr>
          <w:rFonts w:ascii="宋体" w:hAnsi="宋体"/>
          <w:color w:val="auto"/>
          <w:sz w:val="24"/>
        </w:rPr>
        <w:t>4.4.</w:t>
      </w:r>
      <w:r>
        <w:rPr>
          <w:rFonts w:hint="eastAsia" w:ascii="宋体" w:hAnsi="宋体"/>
          <w:color w:val="auto"/>
          <w:sz w:val="24"/>
        </w:rPr>
        <w:t>4</w:t>
      </w:r>
      <w:r>
        <w:rPr>
          <w:rFonts w:ascii="宋体" w:hAnsi="宋体"/>
          <w:color w:val="auto"/>
          <w:sz w:val="24"/>
        </w:rPr>
        <w:t>为甲方及其所投资项目的合作协议、章程等法律文件的订立、修改、补充及解除进行审核，提出修改意见，参与重大投资、合作项目的谈判和起草,按照甲方要求出具法律意见。对国有资产管理相关规定要求对协议、章程等文件审查修改需出具法律意见书的事项，出具法律意见书。</w:t>
      </w:r>
    </w:p>
    <w:p>
      <w:pPr>
        <w:spacing w:line="320" w:lineRule="exact"/>
        <w:ind w:firstLine="480" w:firstLineChars="200"/>
        <w:rPr>
          <w:rFonts w:ascii="宋体" w:hAnsi="宋体"/>
          <w:color w:val="auto"/>
          <w:sz w:val="24"/>
        </w:rPr>
      </w:pPr>
      <w:r>
        <w:rPr>
          <w:rFonts w:hint="eastAsia" w:ascii="宋体" w:hAnsi="宋体"/>
          <w:color w:val="auto"/>
          <w:sz w:val="24"/>
        </w:rPr>
        <w:t>4.5 针对甲方的企业法律风险管理体系，提供合理合法性建议。</w:t>
      </w:r>
    </w:p>
    <w:p>
      <w:pPr>
        <w:spacing w:line="320" w:lineRule="exact"/>
        <w:ind w:firstLine="480" w:firstLineChars="200"/>
        <w:rPr>
          <w:rFonts w:ascii="宋体" w:hAnsi="宋体"/>
          <w:color w:val="auto"/>
          <w:sz w:val="24"/>
        </w:rPr>
      </w:pPr>
      <w:r>
        <w:rPr>
          <w:rFonts w:ascii="宋体" w:hAnsi="宋体"/>
          <w:color w:val="auto"/>
          <w:sz w:val="24"/>
        </w:rPr>
        <w:t xml:space="preserve">4.6 </w:t>
      </w:r>
      <w:r>
        <w:rPr>
          <w:rFonts w:hint="eastAsia" w:ascii="宋体" w:hAnsi="宋体"/>
          <w:color w:val="auto"/>
          <w:sz w:val="24"/>
        </w:rPr>
        <w:t>按照相关法律法规和上级单位的规定，为公司内部治理规范运作提供法律咨询和建议。</w:t>
      </w:r>
    </w:p>
    <w:p>
      <w:pPr>
        <w:spacing w:line="320" w:lineRule="exact"/>
        <w:ind w:firstLine="480" w:firstLineChars="200"/>
        <w:rPr>
          <w:rFonts w:ascii="宋体" w:hAnsi="宋体"/>
          <w:color w:val="auto"/>
          <w:sz w:val="24"/>
        </w:rPr>
      </w:pPr>
      <w:r>
        <w:rPr>
          <w:rFonts w:hint="eastAsia" w:ascii="宋体" w:hAnsi="宋体"/>
          <w:color w:val="auto"/>
          <w:sz w:val="24"/>
        </w:rPr>
        <w:t>4.7乙方所出具的法律意见书，应符合甲方及甲方上级单位的要求，格式及内容根据实际需要出具但应符合南宁市国资委《关于规范使用法律意见书的若干规范》等相关文件的要求。</w:t>
      </w:r>
    </w:p>
    <w:p>
      <w:pPr>
        <w:spacing w:line="320" w:lineRule="exact"/>
        <w:ind w:firstLine="480" w:firstLineChars="200"/>
        <w:rPr>
          <w:rFonts w:ascii="宋体" w:hAnsi="宋体"/>
          <w:color w:val="auto"/>
          <w:sz w:val="24"/>
        </w:rPr>
      </w:pPr>
      <w:r>
        <w:rPr>
          <w:rFonts w:ascii="宋体" w:hAnsi="宋体"/>
          <w:color w:val="auto"/>
          <w:sz w:val="24"/>
        </w:rPr>
        <w:t>4.8</w:t>
      </w:r>
      <w:r>
        <w:rPr>
          <w:rFonts w:hint="eastAsia" w:ascii="宋体" w:hAnsi="宋体"/>
          <w:color w:val="auto"/>
          <w:sz w:val="24"/>
        </w:rPr>
        <w:t>上述事项中，对于涉及甲方或甲方关联方重大投融资、并购、企业改制、重组、破产、股票发行、债券发行、上市等需要另行专项委托的法律服务，另行签订专项服务合同。</w:t>
      </w:r>
    </w:p>
    <w:p>
      <w:pPr>
        <w:spacing w:line="320" w:lineRule="exact"/>
        <w:ind w:firstLine="480" w:firstLineChars="200"/>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5.甲方权力义务</w:t>
      </w:r>
    </w:p>
    <w:p>
      <w:pPr>
        <w:spacing w:line="320" w:lineRule="exact"/>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5.1甲方应当向乙方充分披露与委托事项有关的背景信息，并提供有关资料、文件、证据、联系人及联系方式。除非另有书面指示，甲方提供给乙方的资料、文件、证据均应为复印件或复制品，原件应由甲方妥善保管。</w:t>
      </w:r>
    </w:p>
    <w:p>
      <w:pPr>
        <w:spacing w:line="320" w:lineRule="exact"/>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5.2甲方应保证向乙方所提供的信息均为真实、准确、完整的信息，所提供的资料、文件、证据均真实可靠，复印件及复制品与其原件完全一致。</w:t>
      </w:r>
    </w:p>
    <w:p>
      <w:pPr>
        <w:spacing w:line="320" w:lineRule="exact"/>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5.3甲方应为乙方提供法律服务提供一切必要的配合和条件。</w:t>
      </w:r>
    </w:p>
    <w:p>
      <w:pPr>
        <w:spacing w:line="320" w:lineRule="exact"/>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5.4需要乙方出席的会议、谈判、座谈等，甲方应尽早提前通知乙方并提交前述活动的必要书面文件，告知前述活动的内容、背景、联系人、时间、地点、出席人员名单等。</w:t>
      </w:r>
    </w:p>
    <w:p>
      <w:pPr>
        <w:spacing w:line="320" w:lineRule="exact"/>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5.5甲方应根据本合同及时支付法律服务费用。</w:t>
      </w:r>
    </w:p>
    <w:p>
      <w:pPr>
        <w:spacing w:line="320" w:lineRule="exact"/>
        <w:ind w:firstLine="480" w:firstLineChars="200"/>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6.乙方权利义务</w:t>
      </w:r>
    </w:p>
    <w:p>
      <w:pPr>
        <w:spacing w:line="320" w:lineRule="exact"/>
        <w:ind w:firstLine="480" w:firstLineChars="200"/>
        <w:rPr>
          <w:rFonts w:ascii="宋体" w:hAnsi="宋体"/>
          <w:color w:val="000000" w:themeColor="text1"/>
          <w:sz w:val="24"/>
          <w14:textFill>
            <w14:solidFill>
              <w14:schemeClr w14:val="tx1"/>
            </w14:solidFill>
          </w14:textFill>
        </w:rPr>
      </w:pPr>
      <w:r>
        <w:rPr>
          <w:rFonts w:ascii="宋体" w:hAnsi="宋体" w:cs="宋体"/>
          <w:bCs/>
          <w:color w:val="000000" w:themeColor="text1"/>
          <w:kern w:val="36"/>
          <w:sz w:val="24"/>
          <w14:textFill>
            <w14:solidFill>
              <w14:schemeClr w14:val="tx1"/>
            </w14:solidFill>
          </w14:textFill>
        </w:rPr>
        <w:t>6.1乙方</w:t>
      </w:r>
      <w:r>
        <w:rPr>
          <w:rFonts w:hint="eastAsia" w:ascii="宋体" w:hAnsi="宋体" w:cs="宋体"/>
          <w:bCs/>
          <w:color w:val="000000" w:themeColor="text1"/>
          <w:kern w:val="36"/>
          <w:sz w:val="24"/>
          <w14:textFill>
            <w14:solidFill>
              <w14:schemeClr w14:val="tx1"/>
            </w14:solidFill>
          </w14:textFill>
        </w:rPr>
        <w:t>律师</w:t>
      </w:r>
      <w:r>
        <w:rPr>
          <w:rFonts w:ascii="宋体" w:hAnsi="宋体" w:cs="宋体"/>
          <w:bCs/>
          <w:color w:val="000000" w:themeColor="text1"/>
          <w:kern w:val="36"/>
          <w:sz w:val="24"/>
          <w14:textFill>
            <w14:solidFill>
              <w14:schemeClr w14:val="tx1"/>
            </w14:solidFill>
          </w14:textFill>
        </w:rPr>
        <w:t>按照律师行业公认的业务标准和道德规范，勤勉尽责地为甲方提供高效、优质的法律服务。</w:t>
      </w:r>
    </w:p>
    <w:p>
      <w:pPr>
        <w:spacing w:line="3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6.2</w:t>
      </w:r>
      <w:r>
        <w:rPr>
          <w:rFonts w:hint="eastAsia" w:ascii="宋体" w:hAnsi="宋体"/>
          <w:bCs/>
          <w:color w:val="000000" w:themeColor="text1"/>
          <w:sz w:val="24"/>
          <w14:textFill>
            <w14:solidFill>
              <w14:schemeClr w14:val="tx1"/>
            </w14:solidFill>
          </w14:textFill>
        </w:rPr>
        <w:t>乙方应设置应急电话</w:t>
      </w: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保证在</w:t>
      </w:r>
      <w:r>
        <w:rPr>
          <w:rFonts w:ascii="宋体" w:hAnsi="宋体"/>
          <w:bCs/>
          <w:color w:val="000000" w:themeColor="text1"/>
          <w:sz w:val="24"/>
          <w14:textFill>
            <w14:solidFill>
              <w14:schemeClr w14:val="tx1"/>
            </w14:solidFill>
          </w14:textFill>
        </w:rPr>
        <w:t>24小时内及时高效地提供法律顾问服务。如</w:t>
      </w:r>
      <w:r>
        <w:rPr>
          <w:rFonts w:hint="eastAsia" w:ascii="宋体" w:hAnsi="宋体"/>
          <w:bCs/>
          <w:color w:val="000000" w:themeColor="text1"/>
          <w:sz w:val="24"/>
          <w14:textFill>
            <w14:solidFill>
              <w14:schemeClr w14:val="tx1"/>
            </w14:solidFill>
          </w14:textFill>
        </w:rPr>
        <w:t>遇</w:t>
      </w:r>
      <w:r>
        <w:rPr>
          <w:rFonts w:ascii="宋体" w:hAnsi="宋体"/>
          <w:bCs/>
          <w:color w:val="000000" w:themeColor="text1"/>
          <w:sz w:val="24"/>
          <w14:textFill>
            <w14:solidFill>
              <w14:schemeClr w14:val="tx1"/>
            </w14:solidFill>
          </w14:textFill>
        </w:rPr>
        <w:t>紧急事件，乙方应</w:t>
      </w:r>
      <w:r>
        <w:rPr>
          <w:rFonts w:hint="eastAsia" w:ascii="宋体" w:hAnsi="宋体"/>
          <w:bCs/>
          <w:color w:val="000000" w:themeColor="text1"/>
          <w:sz w:val="24"/>
          <w14:textFill>
            <w14:solidFill>
              <w14:schemeClr w14:val="tx1"/>
            </w14:solidFill>
          </w14:textFill>
        </w:rPr>
        <w:t>尽快</w:t>
      </w:r>
      <w:r>
        <w:rPr>
          <w:rFonts w:ascii="宋体" w:hAnsi="宋体"/>
          <w:bCs/>
          <w:color w:val="000000" w:themeColor="text1"/>
          <w:sz w:val="24"/>
          <w14:textFill>
            <w14:solidFill>
              <w14:schemeClr w14:val="tx1"/>
            </w14:solidFill>
          </w14:textFill>
        </w:rPr>
        <w:t>处理甲方委托之事项。</w:t>
      </w:r>
    </w:p>
    <w:p>
      <w:pPr>
        <w:spacing w:line="320" w:lineRule="exact"/>
        <w:ind w:firstLine="480" w:firstLineChars="200"/>
        <w:rPr>
          <w:rFonts w:ascii="宋体" w:hAnsi="宋体"/>
          <w:bCs/>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6.3本着互相支持、共同发展的精神，与甲方保持经常性的业务接触。在接到甲方要求提供法律服务的通知后，</w:t>
      </w:r>
      <w:r>
        <w:rPr>
          <w:rFonts w:hint="eastAsia" w:ascii="宋体" w:hAnsi="宋体"/>
          <w:bCs/>
          <w:color w:val="000000" w:themeColor="text1"/>
          <w:sz w:val="24"/>
          <w14:textFill>
            <w14:solidFill>
              <w14:schemeClr w14:val="tx1"/>
            </w14:solidFill>
          </w14:textFill>
        </w:rPr>
        <w:t>如有必要，乙方应安排律师到现场提供服务。</w:t>
      </w:r>
    </w:p>
    <w:p>
      <w:pPr>
        <w:spacing w:line="3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6.4</w:t>
      </w:r>
      <w:r>
        <w:rPr>
          <w:rFonts w:hint="eastAsia" w:ascii="宋体" w:hAnsi="宋体"/>
          <w:bCs/>
          <w:color w:val="000000" w:themeColor="text1"/>
          <w:sz w:val="24"/>
          <w14:textFill>
            <w14:solidFill>
              <w14:schemeClr w14:val="tx1"/>
            </w14:solidFill>
          </w14:textFill>
        </w:rPr>
        <w:t>乙方应根据具体项目情况指派专人与甲方法律事务部门进行联系，需要审查的合同或者咨询的问题及发生的具体问题或者纠纷，由律师会同甲方专门人员进行详细调查了解后作出法律建议或者出具法律意见书；涉及较为重大的事项，由律师会同项目工程的高级管理人员、相关部门、具体经办人员及有关方面共同召开会议，进行研究分析。</w:t>
      </w:r>
    </w:p>
    <w:p>
      <w:pPr>
        <w:spacing w:line="3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6.5每月乙方派出一名律师到甲方办公处所</w:t>
      </w:r>
      <w:r>
        <w:rPr>
          <w:rFonts w:hint="eastAsia" w:ascii="宋体" w:hAnsi="宋体"/>
          <w:color w:val="000000" w:themeColor="text1"/>
          <w:sz w:val="24"/>
          <w14:textFill>
            <w14:solidFill>
              <w14:schemeClr w14:val="tx1"/>
            </w14:solidFill>
          </w14:textFill>
        </w:rPr>
        <w:t>坐</w:t>
      </w:r>
      <w:r>
        <w:rPr>
          <w:rFonts w:ascii="宋体" w:hAnsi="宋体"/>
          <w:color w:val="000000" w:themeColor="text1"/>
          <w:sz w:val="24"/>
          <w14:textFill>
            <w14:solidFill>
              <w14:schemeClr w14:val="tx1"/>
            </w14:solidFill>
          </w14:textFill>
        </w:rPr>
        <w:t>班至少半个工作日</w:t>
      </w:r>
      <w:r>
        <w:rPr>
          <w:rFonts w:hint="eastAsia" w:ascii="宋体" w:hAnsi="宋体"/>
          <w:color w:val="000000" w:themeColor="text1"/>
          <w:sz w:val="24"/>
          <w14:textFill>
            <w14:solidFill>
              <w14:schemeClr w14:val="tx1"/>
            </w14:solidFill>
          </w14:textFill>
        </w:rPr>
        <w:t>（团队律师轮流坐班，本年度内每位律师至少坐班2次）。</w:t>
      </w:r>
    </w:p>
    <w:p>
      <w:pPr>
        <w:spacing w:line="3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6.6需要派出律师到外地协助甲方处理法律事务的，乙方可利用自身拥有的便利交通条件，在最短的时间内到达目的地。</w:t>
      </w:r>
    </w:p>
    <w:p>
      <w:pPr>
        <w:spacing w:line="3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6.7乙方律师不得超越代理权限，如违反而给甲方造成损失应承担相应的赔偿责任。</w:t>
      </w:r>
    </w:p>
    <w:p>
      <w:pPr>
        <w:spacing w:line="320" w:lineRule="exact"/>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6.8乙方应根据甲方的工作需要指派不限于本合同签订时所确定的顾问团队人员进行法律咨询，并不因此增加报酬。</w:t>
      </w:r>
    </w:p>
    <w:p>
      <w:pPr>
        <w:spacing w:line="320" w:lineRule="exact"/>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6.9乙方应</w:t>
      </w:r>
      <w:r>
        <w:rPr>
          <w:rFonts w:hint="eastAsia" w:ascii="宋体" w:hAnsi="宋体"/>
          <w:bCs/>
          <w:color w:val="000000" w:themeColor="text1"/>
          <w:sz w:val="24"/>
          <w14:textFill>
            <w14:solidFill>
              <w14:schemeClr w14:val="tx1"/>
            </w14:solidFill>
          </w14:textFill>
        </w:rPr>
        <w:t>严格遵守律师职业道德及执业规范，保守对在承办委托事务过程中所接触或掌握的一切信息予以保密</w:t>
      </w:r>
      <w:r>
        <w:rPr>
          <w:rFonts w:ascii="宋体" w:hAnsi="宋体"/>
          <w:bCs/>
          <w:color w:val="000000" w:themeColor="text1"/>
          <w:sz w:val="24"/>
          <w14:textFill>
            <w14:solidFill>
              <w14:schemeClr w14:val="tx1"/>
            </w14:solidFill>
          </w14:textFill>
        </w:rPr>
        <w:t>。</w:t>
      </w:r>
    </w:p>
    <w:p>
      <w:pPr>
        <w:spacing w:line="320" w:lineRule="exact"/>
        <w:ind w:firstLine="480" w:firstLineChars="200"/>
        <w:rPr>
          <w:rFonts w:ascii="宋体" w:hAnsi="宋体"/>
          <w:b/>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6.10对于甲方需要了解或解答的法律问题，由乙方两名或两名以上律师共同研究，并予以及时、准确、完整的答复，必要时，乙方召开业务会议扩大讨论。乙方在工作过程中发现的重大法律问题，应主动向甲方发出</w:t>
      </w:r>
      <w:r>
        <w:rPr>
          <w:rFonts w:hint="eastAsia" w:ascii="宋体" w:hAnsi="宋体"/>
          <w:bCs/>
          <w:color w:val="000000" w:themeColor="text1"/>
          <w:sz w:val="24"/>
          <w14:textFill>
            <w14:solidFill>
              <w14:schemeClr w14:val="tx1"/>
            </w14:solidFill>
          </w14:textFill>
        </w:rPr>
        <w:t>书面法律意见</w:t>
      </w:r>
      <w:r>
        <w:rPr>
          <w:rFonts w:ascii="宋体" w:hAnsi="宋体"/>
          <w:bCs/>
          <w:color w:val="000000" w:themeColor="text1"/>
          <w:sz w:val="24"/>
          <w14:textFill>
            <w14:solidFill>
              <w14:schemeClr w14:val="tx1"/>
            </w14:solidFill>
          </w14:textFill>
        </w:rPr>
        <w:t>，提出意见和建议，并及时通报有关的法律、政策动态及信息。</w:t>
      </w:r>
      <w:r>
        <w:rPr>
          <w:rFonts w:hint="eastAsia" w:ascii="宋体" w:hAnsi="宋体"/>
          <w:b/>
          <w:bCs/>
          <w:color w:val="auto"/>
          <w:sz w:val="24"/>
        </w:rPr>
        <w:t>对于乙方接受的法律咨询的时限控制及要求为：（1）甲方要求审核及修订的一般合同，应在1个日历天内完成；修改的重大、疑难、复杂合同，应在3个日历天内完成；紧急合同应在收到文件的24小时完成；招投标类文件，应在7个日历天内完成。（2）甲方经营管理及重大决策，应在3个日历天内提供法律意见；修改和审查的规章制度，应在7个日历天内提供法律意见或修改意见；甲方要求紧急处理的事项，应在24小时内出具法律意见。（3）涉及一般法律咨询及时解答，最长不超出2个日历天。（4）涉及需要审阅大量文件并出具法律意见书的其他事务，应尽快予以解答，最长不应超出3个日历天,特殊案件酌情延长,但最长不能超过7个日历天。（5）法律咨询回复意见必须由乙方出具该意见的律师签章并加盖乙方公章。</w:t>
      </w:r>
    </w:p>
    <w:p>
      <w:pPr>
        <w:spacing w:line="320" w:lineRule="exact"/>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6.11乙方所</w:t>
      </w:r>
      <w:r>
        <w:rPr>
          <w:rFonts w:hint="eastAsia" w:ascii="宋体" w:hAnsi="宋体"/>
          <w:bCs/>
          <w:color w:val="000000" w:themeColor="text1"/>
          <w:sz w:val="24"/>
          <w14:textFill>
            <w14:solidFill>
              <w14:schemeClr w14:val="tx1"/>
            </w14:solidFill>
          </w14:textFill>
        </w:rPr>
        <w:t>作出的分析及意见应提前预见其所涉及的法律问题及法律风险，同时应充分考虑法律、法规的规定和司法实践的情况，提出符合甲方最大利益的方案。</w:t>
      </w:r>
    </w:p>
    <w:p>
      <w:pPr>
        <w:spacing w:line="320" w:lineRule="exact"/>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6.12接受甲方委托后，乙方不得为与甲方有利益冲突的利害关系人提供法律服务，如乙方发现已承揽业务中有与甲方有利益冲突的利害关系人，应主动向甲方提出，非经双方同意，乙方不得代理任何冲突一方与对方诉讼或仲裁。</w:t>
      </w:r>
    </w:p>
    <w:p>
      <w:pPr>
        <w:spacing w:line="320" w:lineRule="exact"/>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6.13如因</w:t>
      </w:r>
      <w:r>
        <w:rPr>
          <w:rFonts w:hint="eastAsia" w:ascii="宋体" w:hAnsi="宋体"/>
          <w:bCs/>
          <w:color w:val="000000" w:themeColor="text1"/>
          <w:sz w:val="24"/>
          <w14:textFill>
            <w14:solidFill>
              <w14:schemeClr w14:val="tx1"/>
            </w14:solidFill>
          </w14:textFill>
        </w:rPr>
        <w:t>乙方律师工作上的故意或过错造成甲方经济损失的，乙方应当向甲方承担全部赔偿责任。</w:t>
      </w:r>
    </w:p>
    <w:p>
      <w:pPr>
        <w:spacing w:line="3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6.14 甲方要求</w:t>
      </w:r>
      <w:r>
        <w:rPr>
          <w:rFonts w:ascii="宋体" w:hAnsi="宋体"/>
          <w:bCs/>
          <w:color w:val="000000" w:themeColor="text1"/>
          <w:sz w:val="24"/>
          <w14:textFill>
            <w14:solidFill>
              <w14:schemeClr w14:val="tx1"/>
            </w14:solidFill>
          </w14:textFill>
        </w:rPr>
        <w:t>乙方出席的会议、谈判、座谈</w:t>
      </w:r>
      <w:r>
        <w:rPr>
          <w:rFonts w:hint="eastAsia" w:ascii="宋体" w:hAnsi="宋体"/>
          <w:bCs/>
          <w:color w:val="000000" w:themeColor="text1"/>
          <w:sz w:val="24"/>
          <w14:textFill>
            <w14:solidFill>
              <w14:schemeClr w14:val="tx1"/>
            </w14:solidFill>
          </w14:textFill>
        </w:rPr>
        <w:t>等，乙方应指派团队律师参加，所涉及事项重大的，应由团队主要负责人参加。</w:t>
      </w:r>
    </w:p>
    <w:p>
      <w:pPr>
        <w:spacing w:line="320" w:lineRule="exact"/>
        <w:ind w:firstLine="480" w:firstLineChars="200"/>
        <w:rPr>
          <w:rFonts w:ascii="宋体" w:hAnsi="宋体"/>
          <w:b/>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 xml:space="preserve">6.15 </w:t>
      </w:r>
      <w:r>
        <w:rPr>
          <w:rFonts w:hint="eastAsia" w:ascii="宋体" w:hAnsi="宋体"/>
          <w:b/>
          <w:bCs/>
          <w:color w:val="000000" w:themeColor="text1"/>
          <w:sz w:val="24"/>
          <w14:textFill>
            <w14:solidFill>
              <w14:schemeClr w14:val="tx1"/>
            </w14:solidFill>
          </w14:textFill>
        </w:rPr>
        <w:t>乙方每年至少向甲方出具两次法律服务工作报告，包含年底法律服务工作总结报告。</w:t>
      </w:r>
    </w:p>
    <w:p>
      <w:pPr>
        <w:spacing w:line="320" w:lineRule="exact"/>
        <w:ind w:firstLine="480" w:firstLineChars="200"/>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7.法律</w:t>
      </w:r>
      <w:r>
        <w:rPr>
          <w:rFonts w:hint="eastAsia" w:ascii="宋体" w:hAnsi="宋体"/>
          <w:b/>
          <w:color w:val="000000" w:themeColor="text1"/>
          <w:sz w:val="24"/>
          <w14:textFill>
            <w14:solidFill>
              <w14:schemeClr w14:val="tx1"/>
            </w14:solidFill>
          </w14:textFill>
        </w:rPr>
        <w:t>顾问</w:t>
      </w:r>
      <w:r>
        <w:rPr>
          <w:rFonts w:ascii="宋体" w:hAnsi="宋体"/>
          <w:b/>
          <w:color w:val="000000" w:themeColor="text1"/>
          <w:sz w:val="24"/>
          <w14:textFill>
            <w14:solidFill>
              <w14:schemeClr w14:val="tx1"/>
            </w14:solidFill>
          </w14:textFill>
        </w:rPr>
        <w:t>服务费用及支付</w:t>
      </w:r>
    </w:p>
    <w:p>
      <w:pPr>
        <w:spacing w:line="3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乙方担任甲方法律顾问期间，甲方除向乙方固定支付一定数额的顾问费外，在委托律师承办其他专项法律事务时应按专项合同的约定另外支付代理费。具体费用商定如下：</w:t>
      </w:r>
    </w:p>
    <w:p>
      <w:pPr>
        <w:spacing w:line="3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7.1本合同法律</w:t>
      </w:r>
      <w:r>
        <w:rPr>
          <w:rFonts w:hint="eastAsia" w:ascii="宋体" w:hAnsi="宋体"/>
          <w:color w:val="000000" w:themeColor="text1"/>
          <w:sz w:val="24"/>
          <w14:textFill>
            <w14:solidFill>
              <w14:schemeClr w14:val="tx1"/>
            </w14:solidFill>
          </w14:textFill>
        </w:rPr>
        <w:t>顾问</w:t>
      </w:r>
      <w:r>
        <w:rPr>
          <w:rFonts w:ascii="宋体" w:hAnsi="宋体"/>
          <w:color w:val="000000" w:themeColor="text1"/>
          <w:sz w:val="24"/>
          <w14:textFill>
            <w14:solidFill>
              <w14:schemeClr w14:val="tx1"/>
            </w14:solidFill>
          </w14:textFill>
        </w:rPr>
        <w:t>服务费用及支付方式</w:t>
      </w:r>
    </w:p>
    <w:p>
      <w:pPr>
        <w:spacing w:line="3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7.1.1</w:t>
      </w:r>
      <w:r>
        <w:rPr>
          <w:rFonts w:hint="eastAsia"/>
          <w:color w:val="000000" w:themeColor="text1"/>
          <w:sz w:val="24"/>
          <w14:textFill>
            <w14:solidFill>
              <w14:schemeClr w14:val="tx1"/>
            </w14:solidFill>
          </w14:textFill>
        </w:rPr>
        <w:t>本合同中，甲方应支付乙方法律顾问服务费</w:t>
      </w:r>
      <w:r>
        <w:rPr>
          <w:rFonts w:hint="eastAsia" w:ascii="宋体" w:hAnsi="宋体"/>
          <w:color w:val="000000" w:themeColor="text1"/>
          <w:sz w:val="24"/>
          <w14:textFill>
            <w14:solidFill>
              <w14:schemeClr w14:val="tx1"/>
            </w14:solidFill>
          </w14:textFill>
        </w:rPr>
        <w:t>含税价共计人民币</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元整（¥</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w:t>
      </w:r>
    </w:p>
    <w:p>
      <w:pPr>
        <w:spacing w:line="3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7.1.2本合同</w:t>
      </w:r>
      <w:r>
        <w:rPr>
          <w:rFonts w:hint="eastAsia" w:ascii="宋体" w:hAnsi="宋体"/>
          <w:color w:val="000000" w:themeColor="text1"/>
          <w:sz w:val="24"/>
          <w14:textFill>
            <w14:solidFill>
              <w14:schemeClr w14:val="tx1"/>
            </w14:solidFill>
          </w14:textFill>
        </w:rPr>
        <w:t>生效</w:t>
      </w:r>
      <w:r>
        <w:rPr>
          <w:rFonts w:ascii="宋体" w:hAnsi="宋体"/>
          <w:color w:val="000000" w:themeColor="text1"/>
          <w:sz w:val="24"/>
          <w14:textFill>
            <w14:solidFill>
              <w14:schemeClr w14:val="tx1"/>
            </w14:solidFill>
          </w14:textFill>
        </w:rPr>
        <w:t>之日起一个月内，甲方将</w:t>
      </w:r>
      <w:r>
        <w:rPr>
          <w:rFonts w:hint="eastAsia" w:ascii="宋体" w:hAnsi="宋体"/>
          <w:color w:val="000000" w:themeColor="text1"/>
          <w:sz w:val="24"/>
          <w14:textFill>
            <w14:solidFill>
              <w14:schemeClr w14:val="tx1"/>
            </w14:solidFill>
          </w14:textFill>
        </w:rPr>
        <w:t>法律</w:t>
      </w:r>
      <w:r>
        <w:rPr>
          <w:rFonts w:ascii="宋体" w:hAnsi="宋体"/>
          <w:color w:val="000000" w:themeColor="text1"/>
          <w:sz w:val="24"/>
          <w14:textFill>
            <w14:solidFill>
              <w14:schemeClr w14:val="tx1"/>
            </w14:solidFill>
          </w14:textFill>
        </w:rPr>
        <w:t>顾问</w:t>
      </w:r>
      <w:r>
        <w:rPr>
          <w:rFonts w:hint="eastAsia" w:ascii="宋体" w:hAnsi="宋体"/>
          <w:color w:val="000000" w:themeColor="text1"/>
          <w:sz w:val="24"/>
          <w14:textFill>
            <w14:solidFill>
              <w14:schemeClr w14:val="tx1"/>
            </w14:solidFill>
          </w14:textFill>
        </w:rPr>
        <w:t>服务</w:t>
      </w:r>
      <w:r>
        <w:rPr>
          <w:rFonts w:ascii="宋体" w:hAnsi="宋体"/>
          <w:color w:val="000000" w:themeColor="text1"/>
          <w:sz w:val="24"/>
          <w14:textFill>
            <w14:solidFill>
              <w14:schemeClr w14:val="tx1"/>
            </w14:solidFill>
          </w14:textFill>
        </w:rPr>
        <w:t>费的30%支付给乙方</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合同服务满半年后，甲方将</w:t>
      </w:r>
      <w:r>
        <w:rPr>
          <w:rFonts w:hint="eastAsia" w:ascii="宋体" w:hAnsi="宋体"/>
          <w:color w:val="000000" w:themeColor="text1"/>
          <w:sz w:val="24"/>
          <w14:textFill>
            <w14:solidFill>
              <w14:schemeClr w14:val="tx1"/>
            </w14:solidFill>
          </w14:textFill>
        </w:rPr>
        <w:t>法律</w:t>
      </w:r>
      <w:r>
        <w:rPr>
          <w:rFonts w:ascii="宋体" w:hAnsi="宋体"/>
          <w:color w:val="000000" w:themeColor="text1"/>
          <w:sz w:val="24"/>
          <w14:textFill>
            <w14:solidFill>
              <w14:schemeClr w14:val="tx1"/>
            </w14:solidFill>
          </w14:textFill>
        </w:rPr>
        <w:t>顾问</w:t>
      </w:r>
      <w:r>
        <w:rPr>
          <w:rFonts w:hint="eastAsia" w:ascii="宋体" w:hAnsi="宋体"/>
          <w:color w:val="000000" w:themeColor="text1"/>
          <w:sz w:val="24"/>
          <w14:textFill>
            <w14:solidFill>
              <w14:schemeClr w14:val="tx1"/>
            </w14:solidFill>
          </w14:textFill>
        </w:rPr>
        <w:t>服务</w:t>
      </w:r>
      <w:r>
        <w:rPr>
          <w:rFonts w:ascii="宋体" w:hAnsi="宋体"/>
          <w:color w:val="000000" w:themeColor="text1"/>
          <w:sz w:val="24"/>
          <w14:textFill>
            <w14:solidFill>
              <w14:schemeClr w14:val="tx1"/>
            </w14:solidFill>
          </w14:textFill>
        </w:rPr>
        <w:t>费的</w:t>
      </w: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0%支付给乙方</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合同期满，如无服务质量问题，</w:t>
      </w:r>
      <w:r>
        <w:rPr>
          <w:rFonts w:hint="eastAsia" w:ascii="宋体" w:hAnsi="宋体"/>
          <w:color w:val="000000" w:themeColor="text1"/>
          <w:sz w:val="24"/>
          <w14:textFill>
            <w14:solidFill>
              <w14:schemeClr w14:val="tx1"/>
            </w14:solidFill>
          </w14:textFill>
        </w:rPr>
        <w:t>在乙方提交结算材料并经甲方审核无误后，由</w:t>
      </w:r>
      <w:r>
        <w:rPr>
          <w:rFonts w:ascii="宋体" w:hAnsi="宋体"/>
          <w:color w:val="000000" w:themeColor="text1"/>
          <w:sz w:val="24"/>
          <w14:textFill>
            <w14:solidFill>
              <w14:schemeClr w14:val="tx1"/>
            </w14:solidFill>
          </w14:textFill>
        </w:rPr>
        <w:t>甲方一次性支付剩余款项。</w:t>
      </w:r>
    </w:p>
    <w:p>
      <w:pPr>
        <w:spacing w:line="3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上述法律顾问服务费用乙方均需要向甲方提交合同计量申请相关材料和</w:t>
      </w:r>
      <w:r>
        <w:rPr>
          <w:rFonts w:hint="eastAsia" w:ascii="宋体" w:hAnsi="宋体"/>
          <w:color w:val="000000" w:themeColor="text1"/>
          <w:sz w:val="24"/>
          <w14:textFill>
            <w14:solidFill>
              <w14:schemeClr w14:val="tx1"/>
            </w14:solidFill>
          </w14:textFill>
        </w:rPr>
        <w:t>请款报告</w:t>
      </w:r>
      <w:r>
        <w:rPr>
          <w:rFonts w:hint="eastAsia"/>
          <w:color w:val="000000" w:themeColor="text1"/>
          <w:sz w:val="24"/>
          <w14:textFill>
            <w14:solidFill>
              <w14:schemeClr w14:val="tx1"/>
            </w14:solidFill>
          </w14:textFill>
        </w:rPr>
        <w:t>，经甲方审批同意后甲方通知乙方开具增值税专用发票，甲方收到有效发票后30个工作日内向</w:t>
      </w:r>
      <w:r>
        <w:rPr>
          <w:rFonts w:hint="eastAsia" w:ascii="宋体" w:hAnsi="宋体"/>
          <w:color w:val="000000" w:themeColor="text1"/>
          <w:sz w:val="24"/>
          <w14:textFill>
            <w14:solidFill>
              <w14:schemeClr w14:val="tx1"/>
            </w14:solidFill>
          </w14:textFill>
        </w:rPr>
        <w:t>乙方支付。</w:t>
      </w:r>
    </w:p>
    <w:p>
      <w:pPr>
        <w:spacing w:line="3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7.2甲方委托乙方承办诉讼、仲裁、行政复议、行政听证</w:t>
      </w:r>
      <w:r>
        <w:rPr>
          <w:rFonts w:hint="eastAsia" w:ascii="宋体" w:hAnsi="宋体"/>
          <w:color w:val="000000" w:themeColor="text1"/>
          <w:sz w:val="24"/>
          <w14:textFill>
            <w14:solidFill>
              <w14:schemeClr w14:val="tx1"/>
            </w14:solidFill>
          </w14:textFill>
        </w:rPr>
        <w:t>、尽职调查</w:t>
      </w:r>
      <w:r>
        <w:rPr>
          <w:rFonts w:ascii="宋体" w:hAnsi="宋体"/>
          <w:color w:val="000000" w:themeColor="text1"/>
          <w:sz w:val="24"/>
          <w14:textFill>
            <w14:solidFill>
              <w14:schemeClr w14:val="tx1"/>
            </w14:solidFill>
          </w14:textFill>
        </w:rPr>
        <w:t>或者其他专项法律服务等法律事务的，双方</w:t>
      </w:r>
      <w:r>
        <w:rPr>
          <w:rFonts w:hint="eastAsia" w:ascii="宋体" w:hAnsi="宋体" w:cs="Arial"/>
          <w:color w:val="000000" w:themeColor="text1"/>
          <w:sz w:val="24"/>
          <w14:textFill>
            <w14:solidFill>
              <w14:schemeClr w14:val="tx1"/>
            </w14:solidFill>
          </w14:textFill>
        </w:rPr>
        <w:t>另行签订委托代理合同并支付代理费，</w:t>
      </w:r>
      <w:r>
        <w:rPr>
          <w:rFonts w:hint="eastAsia" w:ascii="宋体" w:hAnsi="宋体"/>
          <w:color w:val="000000" w:themeColor="text1"/>
          <w:sz w:val="24"/>
          <w:lang w:val="en-US" w:eastAsia="zh-CN"/>
          <w14:textFill>
            <w14:solidFill>
              <w14:schemeClr w14:val="tx1"/>
            </w14:solidFill>
          </w14:textFill>
        </w:rPr>
        <w:t>乙方应在物价与司法行政部门规定律师收费标准的基础上给予不低于80%的优惠，特殊情况可根据标的大小、案件疑难、复杂程度或工作量大小等因素，</w:t>
      </w:r>
      <w:r>
        <w:rPr>
          <w:rFonts w:hint="eastAsia" w:ascii="宋体" w:hAnsi="宋体" w:cs="Arial"/>
          <w:color w:val="000000" w:themeColor="text1"/>
          <w:sz w:val="24"/>
          <w14:textFill>
            <w14:solidFill>
              <w14:schemeClr w14:val="tx1"/>
            </w14:solidFill>
          </w14:textFill>
        </w:rPr>
        <w:t>双方</w:t>
      </w:r>
      <w:r>
        <w:rPr>
          <w:rFonts w:hint="eastAsia" w:ascii="宋体" w:hAnsi="宋体" w:cs="Arial"/>
          <w:color w:val="000000" w:themeColor="text1"/>
          <w:sz w:val="24"/>
          <w:lang w:val="en-US" w:eastAsia="zh-CN"/>
          <w14:textFill>
            <w14:solidFill>
              <w14:schemeClr w14:val="tx1"/>
            </w14:solidFill>
          </w14:textFill>
        </w:rPr>
        <w:t>另行</w:t>
      </w:r>
      <w:r>
        <w:rPr>
          <w:rFonts w:hint="eastAsia" w:ascii="宋体" w:hAnsi="宋体" w:cs="Arial"/>
          <w:color w:val="000000" w:themeColor="text1"/>
          <w:sz w:val="24"/>
          <w14:textFill>
            <w14:solidFill>
              <w14:schemeClr w14:val="tx1"/>
            </w14:solidFill>
          </w14:textFill>
        </w:rPr>
        <w:t>协商确定</w:t>
      </w:r>
      <w:r>
        <w:rPr>
          <w:rFonts w:hint="eastAsia" w:ascii="宋体" w:hAnsi="宋体" w:cs="Arial"/>
          <w:color w:val="000000" w:themeColor="text1"/>
          <w:sz w:val="24"/>
          <w:lang w:val="en-US" w:eastAsia="zh-CN"/>
          <w14:textFill>
            <w14:solidFill>
              <w14:schemeClr w14:val="tx1"/>
            </w14:solidFill>
          </w14:textFill>
        </w:rPr>
        <w:t>合理费用</w:t>
      </w:r>
      <w:r>
        <w:rPr>
          <w:rFonts w:hint="eastAsia" w:ascii="宋体" w:hAnsi="宋体" w:cs="Arial"/>
          <w:color w:val="000000" w:themeColor="text1"/>
          <w:sz w:val="24"/>
          <w14:textFill>
            <w14:solidFill>
              <w14:schemeClr w14:val="tx1"/>
            </w14:solidFill>
          </w14:textFill>
        </w:rPr>
        <w:t>。</w:t>
      </w:r>
    </w:p>
    <w:p>
      <w:pPr>
        <w:spacing w:line="320" w:lineRule="exact"/>
        <w:ind w:firstLine="480" w:firstLineChars="200"/>
        <w:rPr>
          <w:rFonts w:ascii="宋体" w:hAnsi="宋体" w:cs="宋体"/>
          <w:bCs/>
          <w:color w:val="000000" w:themeColor="text1"/>
          <w:kern w:val="36"/>
          <w:sz w:val="24"/>
          <w14:textFill>
            <w14:solidFill>
              <w14:schemeClr w14:val="tx1"/>
            </w14:solidFill>
          </w14:textFill>
        </w:rPr>
      </w:pPr>
      <w:r>
        <w:rPr>
          <w:rFonts w:ascii="宋体" w:hAnsi="宋体"/>
          <w:color w:val="000000" w:themeColor="text1"/>
          <w:sz w:val="24"/>
          <w14:textFill>
            <w14:solidFill>
              <w14:schemeClr w14:val="tx1"/>
            </w14:solidFill>
          </w14:textFill>
        </w:rPr>
        <w:t>7.3</w:t>
      </w:r>
      <w:r>
        <w:rPr>
          <w:rFonts w:hint="eastAsia" w:ascii="宋体" w:hAnsi="宋体" w:cs="宋体"/>
          <w:bCs/>
          <w:color w:val="000000" w:themeColor="text1"/>
          <w:kern w:val="36"/>
          <w:sz w:val="24"/>
          <w14:textFill>
            <w14:solidFill>
              <w14:schemeClr w14:val="tx1"/>
            </w14:solidFill>
          </w14:textFill>
        </w:rPr>
        <w:t>因处理甲方法律事务而需要向法院等国家机关、相关部门交纳的费用，如向法院交纳的诉讼费、向有关部门交纳的调查费查档费、复印费等费用，由甲方承担。</w:t>
      </w:r>
    </w:p>
    <w:p>
      <w:pPr>
        <w:spacing w:line="320" w:lineRule="exact"/>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7.4乙方为完成甲方指派的事务出差外地所发生的与办理事务相关的费用由甲方承担</w:t>
      </w:r>
      <w:r>
        <w:rPr>
          <w:rFonts w:hint="eastAsia" w:ascii="宋体" w:hAnsi="宋体"/>
          <w:bCs/>
          <w:color w:val="000000" w:themeColor="text1"/>
          <w:sz w:val="24"/>
          <w14:textFill>
            <w14:solidFill>
              <w14:schemeClr w14:val="tx1"/>
            </w14:solidFill>
          </w14:textFill>
        </w:rPr>
        <w:t>，</w:t>
      </w:r>
      <w:r>
        <w:rPr>
          <w:rFonts w:hint="eastAsia" w:ascii="宋体" w:hAnsi="宋体" w:cs="宋体"/>
          <w:bCs/>
          <w:color w:val="000000" w:themeColor="text1"/>
          <w:kern w:val="36"/>
          <w:sz w:val="24"/>
          <w14:textFill>
            <w14:solidFill>
              <w14:schemeClr w14:val="tx1"/>
            </w14:solidFill>
          </w14:textFill>
        </w:rPr>
        <w:t>但事先费用预算必须征得甲方同意</w:t>
      </w:r>
      <w:r>
        <w:rPr>
          <w:rFonts w:ascii="宋体" w:hAnsi="宋体"/>
          <w:bCs/>
          <w:color w:val="000000" w:themeColor="text1"/>
          <w:sz w:val="24"/>
          <w14:textFill>
            <w14:solidFill>
              <w14:schemeClr w14:val="tx1"/>
            </w14:solidFill>
          </w14:textFill>
        </w:rPr>
        <w:t>。</w:t>
      </w:r>
    </w:p>
    <w:p>
      <w:pPr>
        <w:spacing w:line="320" w:lineRule="exact"/>
        <w:ind w:firstLine="480" w:firstLineChars="200"/>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7.5乙方受甲方委托出席的会议、谈判、座谈等未离开本市内的交通费、通信费、资料费等由乙方自行承担。</w:t>
      </w:r>
    </w:p>
    <w:p>
      <w:pPr>
        <w:spacing w:line="320" w:lineRule="exact"/>
        <w:ind w:firstLine="480" w:firstLineChars="200"/>
        <w:rPr>
          <w:rFonts w:ascii="宋体" w:hAnsi="宋体"/>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7.6双方均有义务对服务费金额保密。</w:t>
      </w:r>
    </w:p>
    <w:p>
      <w:pPr>
        <w:spacing w:line="400" w:lineRule="exact"/>
        <w:ind w:firstLine="480" w:firstLineChars="2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8.保密条款</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针对乙方在咨询过程及完成咨询委托事项过程中所知悉或持有的甲方及与甲方相关的商业秘密、技术秘密、法律信息等应负保密义务，具体约定如下：</w:t>
      </w:r>
    </w:p>
    <w:p>
      <w:pPr>
        <w:spacing w:line="400" w:lineRule="exact"/>
        <w:ind w:firstLine="480" w:firstLineChars="200"/>
        <w:rPr>
          <w:rFonts w:ascii="宋体" w:hAnsi="宋体"/>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8.1</w:t>
      </w:r>
      <w:r>
        <w:rPr>
          <w:rFonts w:hint="eastAsia" w:ascii="宋体" w:hAnsi="宋体"/>
          <w:b/>
          <w:bCs/>
          <w:color w:val="000000" w:themeColor="text1"/>
          <w:sz w:val="24"/>
          <w14:textFill>
            <w14:solidFill>
              <w14:schemeClr w14:val="tx1"/>
            </w14:solidFill>
          </w14:textFill>
        </w:rPr>
        <w:t>保密事项范围</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保密事项范围包括：乙方在接受咨询委托过程中接触到的甲方提供或告知的尚未为公众所知悉的商业秘密、技术秘密、法律信息等，包括但不限于：文件和批复、合作意向书、各类合同合作协议、会议纪要、会议决议、内部汇报材料、谈判方案、财务资料、定价资料、</w:t>
      </w:r>
      <w:r>
        <w:rPr>
          <w:rFonts w:ascii="宋体" w:hAnsi="宋体"/>
          <w:color w:val="000000" w:themeColor="text1"/>
          <w:sz w:val="24"/>
          <w14:textFill>
            <w14:solidFill>
              <w14:schemeClr w14:val="tx1"/>
            </w14:solidFill>
          </w14:textFill>
        </w:rPr>
        <w:t>客户名单、行销计划、采购资料、进货渠道</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技术方案、工程设计、制造方法、配方、工艺流程、技术指标、计算机软件、数据库、技术文档、相关的函电等。</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8.2保密事项排除范围：</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需保密的信息范围不含以下内容：</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8.2.1本合同签订时，已经为公众所知的信息；</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8.2.2本合同签订后，非因归责于乙方的责任事由而为公众所知的信息；</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8.2.3根据法律规定及政府有关部门要求需公开的信息和资料；</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8.2.4经甲方事先书面同意予以公开的信息。</w:t>
      </w:r>
    </w:p>
    <w:p>
      <w:pPr>
        <w:spacing w:line="400" w:lineRule="exact"/>
        <w:ind w:firstLine="480" w:firstLineChars="20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8.3</w:t>
      </w:r>
      <w:r>
        <w:rPr>
          <w:rFonts w:hint="eastAsia" w:ascii="宋体" w:hAnsi="宋体"/>
          <w:bCs/>
          <w:color w:val="000000" w:themeColor="text1"/>
          <w:sz w:val="24"/>
          <w14:textFill>
            <w14:solidFill>
              <w14:schemeClr w14:val="tx1"/>
            </w14:solidFill>
          </w14:textFill>
        </w:rPr>
        <w:t>承担保密义务的人员范围</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承担保密义务的人员范围包括：乙方在接受咨询委托事项过程中，派出的经办人员以及其他因工作关系而可能获悉保密事项的人员。</w:t>
      </w:r>
    </w:p>
    <w:p>
      <w:pPr>
        <w:spacing w:line="400" w:lineRule="exact"/>
        <w:ind w:firstLine="480" w:firstLineChars="200"/>
        <w:rPr>
          <w:rFonts w:ascii="宋体" w:hAnsi="宋体"/>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8.4</w:t>
      </w:r>
      <w:r>
        <w:rPr>
          <w:rFonts w:hint="eastAsia" w:ascii="宋体" w:hAnsi="宋体"/>
          <w:bCs/>
          <w:color w:val="000000" w:themeColor="text1"/>
          <w:sz w:val="24"/>
          <w14:textFill>
            <w14:solidFill>
              <w14:schemeClr w14:val="tx1"/>
            </w14:solidFill>
          </w14:textFill>
        </w:rPr>
        <w:t>保密信息的使用</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乙方对保密事项的使用只限于与甲方委托业务有关的目的加以使用，而不得为任何其他目的加以利用。</w:t>
      </w:r>
    </w:p>
    <w:p>
      <w:pPr>
        <w:spacing w:line="400" w:lineRule="exact"/>
        <w:ind w:firstLine="480" w:firstLineChars="200"/>
        <w:rPr>
          <w:rFonts w:ascii="宋体" w:hAnsi="宋体"/>
          <w:b/>
          <w:bCs/>
          <w:color w:val="000000" w:themeColor="text1"/>
          <w:sz w:val="24"/>
          <w14:textFill>
            <w14:solidFill>
              <w14:schemeClr w14:val="tx1"/>
            </w14:solidFill>
          </w14:textFill>
        </w:rPr>
      </w:pPr>
      <w:r>
        <w:rPr>
          <w:rFonts w:hint="eastAsia" w:ascii="宋体" w:hAnsi="宋体"/>
          <w:b w:val="0"/>
          <w:bCs w:val="0"/>
          <w:color w:val="000000" w:themeColor="text1"/>
          <w:sz w:val="24"/>
          <w14:textFill>
            <w14:solidFill>
              <w14:schemeClr w14:val="tx1"/>
            </w14:solidFill>
          </w14:textFill>
        </w:rPr>
        <w:t>8.5</w:t>
      </w:r>
      <w:r>
        <w:rPr>
          <w:rFonts w:hint="eastAsia" w:ascii="宋体" w:hAnsi="宋体"/>
          <w:bCs/>
          <w:color w:val="000000" w:themeColor="text1"/>
          <w:sz w:val="24"/>
          <w14:textFill>
            <w14:solidFill>
              <w14:schemeClr w14:val="tx1"/>
            </w14:solidFill>
          </w14:textFill>
        </w:rPr>
        <w:t>保密义务的具体内容</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8.5.1乙方</w:t>
      </w:r>
      <w:r>
        <w:rPr>
          <w:rFonts w:ascii="宋体" w:hAnsi="宋体"/>
          <w:color w:val="000000" w:themeColor="text1"/>
          <w:sz w:val="24"/>
          <w14:textFill>
            <w14:solidFill>
              <w14:schemeClr w14:val="tx1"/>
            </w14:solidFill>
          </w14:textFill>
        </w:rPr>
        <w:t>应本着谨慎、诚实的态度，采取任何必要、合理的措施，维护</w:t>
      </w:r>
      <w:r>
        <w:rPr>
          <w:rFonts w:hint="eastAsia" w:ascii="宋体" w:hAnsi="宋体"/>
          <w:color w:val="000000" w:themeColor="text1"/>
          <w:sz w:val="24"/>
          <w14:textFill>
            <w14:solidFill>
              <w14:schemeClr w14:val="tx1"/>
            </w14:solidFill>
          </w14:textFill>
        </w:rPr>
        <w:t>在咨询委托过程中</w:t>
      </w:r>
      <w:r>
        <w:rPr>
          <w:rFonts w:ascii="宋体" w:hAnsi="宋体"/>
          <w:color w:val="000000" w:themeColor="text1"/>
          <w:sz w:val="24"/>
          <w14:textFill>
            <w14:solidFill>
              <w14:schemeClr w14:val="tx1"/>
            </w14:solidFill>
          </w14:textFill>
        </w:rPr>
        <w:t>知悉或者持有的任何属于</w:t>
      </w:r>
      <w:r>
        <w:rPr>
          <w:rFonts w:hint="eastAsia" w:ascii="宋体" w:hAnsi="宋体"/>
          <w:color w:val="000000" w:themeColor="text1"/>
          <w:sz w:val="24"/>
          <w14:textFill>
            <w14:solidFill>
              <w14:schemeClr w14:val="tx1"/>
            </w14:solidFill>
          </w14:textFill>
        </w:rPr>
        <w:t>甲方或与甲方相关的保密事项</w:t>
      </w:r>
      <w:r>
        <w:rPr>
          <w:rFonts w:ascii="宋体" w:hAnsi="宋体"/>
          <w:color w:val="000000" w:themeColor="text1"/>
          <w:sz w:val="24"/>
          <w14:textFill>
            <w14:solidFill>
              <w14:schemeClr w14:val="tx1"/>
            </w14:solidFill>
          </w14:textFill>
        </w:rPr>
        <w:t>，以保持其机密性。</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8.5.2乙方</w:t>
      </w:r>
      <w:r>
        <w:rPr>
          <w:rFonts w:ascii="宋体" w:hAnsi="宋体"/>
          <w:color w:val="000000" w:themeColor="text1"/>
          <w:sz w:val="24"/>
          <w14:textFill>
            <w14:solidFill>
              <w14:schemeClr w14:val="tx1"/>
            </w14:solidFill>
          </w14:textFill>
        </w:rPr>
        <w:t>必须遵守</w:t>
      </w:r>
      <w:r>
        <w:rPr>
          <w:rFonts w:hint="eastAsia" w:ascii="宋体" w:hAnsi="宋体"/>
          <w:color w:val="000000" w:themeColor="text1"/>
          <w:sz w:val="24"/>
          <w14:textFill>
            <w14:solidFill>
              <w14:schemeClr w14:val="tx1"/>
            </w14:solidFill>
          </w14:textFill>
        </w:rPr>
        <w:t>甲方</w:t>
      </w:r>
      <w:r>
        <w:rPr>
          <w:rFonts w:ascii="宋体" w:hAnsi="宋体"/>
          <w:color w:val="000000" w:themeColor="text1"/>
          <w:sz w:val="24"/>
          <w14:textFill>
            <w14:solidFill>
              <w14:schemeClr w14:val="tx1"/>
            </w14:solidFill>
          </w14:textFill>
        </w:rPr>
        <w:t>规定的任何成文或不成文的保密规章、制度，履行与其工作岗位相应的保密职责。</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8.5.3</w:t>
      </w:r>
      <w:r>
        <w:rPr>
          <w:rFonts w:ascii="宋体" w:hAnsi="宋体"/>
          <w:color w:val="000000" w:themeColor="text1"/>
          <w:sz w:val="24"/>
          <w14:textFill>
            <w14:solidFill>
              <w14:schemeClr w14:val="tx1"/>
            </w14:solidFill>
          </w14:textFill>
        </w:rPr>
        <w:t>除了</w:t>
      </w:r>
      <w:r>
        <w:rPr>
          <w:rFonts w:hint="eastAsia" w:ascii="宋体" w:hAnsi="宋体"/>
          <w:color w:val="000000" w:themeColor="text1"/>
          <w:sz w:val="24"/>
          <w14:textFill>
            <w14:solidFill>
              <w14:schemeClr w14:val="tx1"/>
            </w14:solidFill>
          </w14:textFill>
        </w:rPr>
        <w:t>完成委托事项</w:t>
      </w:r>
      <w:r>
        <w:rPr>
          <w:rFonts w:ascii="宋体" w:hAnsi="宋体"/>
          <w:color w:val="000000" w:themeColor="text1"/>
          <w:sz w:val="24"/>
          <w14:textFill>
            <w14:solidFill>
              <w14:schemeClr w14:val="tx1"/>
            </w14:solidFill>
          </w14:textFill>
        </w:rPr>
        <w:t>的需要之外，</w:t>
      </w:r>
      <w:r>
        <w:rPr>
          <w:rFonts w:hint="eastAsia" w:ascii="宋体" w:hAnsi="宋体"/>
          <w:color w:val="000000" w:themeColor="text1"/>
          <w:sz w:val="24"/>
          <w14:textFill>
            <w14:solidFill>
              <w14:schemeClr w14:val="tx1"/>
            </w14:solidFill>
          </w14:textFill>
        </w:rPr>
        <w:t>乙方</w:t>
      </w:r>
      <w:r>
        <w:rPr>
          <w:rFonts w:ascii="宋体" w:hAnsi="宋体"/>
          <w:color w:val="000000" w:themeColor="text1"/>
          <w:sz w:val="24"/>
          <w14:textFill>
            <w14:solidFill>
              <w14:schemeClr w14:val="tx1"/>
            </w14:solidFill>
          </w14:textFill>
        </w:rPr>
        <w:t>承诺，未经</w:t>
      </w:r>
      <w:r>
        <w:rPr>
          <w:rFonts w:hint="eastAsia" w:ascii="宋体" w:hAnsi="宋体"/>
          <w:color w:val="000000" w:themeColor="text1"/>
          <w:sz w:val="24"/>
          <w14:textFill>
            <w14:solidFill>
              <w14:schemeClr w14:val="tx1"/>
            </w14:solidFill>
          </w14:textFill>
        </w:rPr>
        <w:t>甲方</w:t>
      </w:r>
      <w:r>
        <w:rPr>
          <w:rFonts w:ascii="宋体" w:hAnsi="宋体"/>
          <w:color w:val="000000" w:themeColor="text1"/>
          <w:sz w:val="24"/>
          <w14:textFill>
            <w14:solidFill>
              <w14:schemeClr w14:val="tx1"/>
            </w14:solidFill>
          </w14:textFill>
        </w:rPr>
        <w:t>同意，不得以泄露、公布、发布、出版、传授、转让或者其他任何方式使任何第三方知悉属于</w:t>
      </w:r>
      <w:r>
        <w:rPr>
          <w:rFonts w:hint="eastAsia" w:ascii="宋体" w:hAnsi="宋体"/>
          <w:color w:val="000000" w:themeColor="text1"/>
          <w:sz w:val="24"/>
          <w14:textFill>
            <w14:solidFill>
              <w14:schemeClr w14:val="tx1"/>
            </w14:solidFill>
          </w14:textFill>
        </w:rPr>
        <w:t>甲方或者与甲方相关保密事项</w:t>
      </w:r>
      <w:r>
        <w:rPr>
          <w:rFonts w:ascii="宋体" w:hAnsi="宋体"/>
          <w:color w:val="000000" w:themeColor="text1"/>
          <w:sz w:val="24"/>
          <w14:textFill>
            <w14:solidFill>
              <w14:schemeClr w14:val="tx1"/>
            </w14:solidFill>
          </w14:textFill>
        </w:rPr>
        <w:t>，也不得在履行职务之外使用这些秘密信息。</w:t>
      </w:r>
    </w:p>
    <w:p>
      <w:pPr>
        <w:spacing w:line="400" w:lineRule="exact"/>
        <w:ind w:firstLine="480" w:firstLineChars="200"/>
        <w:rPr>
          <w:rFonts w:ascii="宋体" w:hAnsi="宋体"/>
          <w:b/>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8.6赔偿责任</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乙方不履行本保密条款、过失或故意泄露其知悉的甲方保密事项或者在擅自协议约定的工作内容之外使用甲方保密事项从而甲方造成损失的，乙方应承担相应的赔偿责任。</w:t>
      </w:r>
    </w:p>
    <w:p>
      <w:pPr>
        <w:spacing w:line="400" w:lineRule="exact"/>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8.7期限</w:t>
      </w:r>
    </w:p>
    <w:p>
      <w:pPr>
        <w:spacing w:line="320" w:lineRule="exact"/>
        <w:ind w:firstLine="480" w:firstLineChars="200"/>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乙方承担保密义务自其知悉相应的保密事项之日起，且其保密义务不因本合同的终止而终止。</w:t>
      </w:r>
    </w:p>
    <w:p>
      <w:pPr>
        <w:spacing w:line="400" w:lineRule="exact"/>
        <w:ind w:firstLine="480"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9</w:t>
      </w:r>
      <w:r>
        <w:rPr>
          <w:rFonts w:ascii="宋体" w:hAnsi="宋体"/>
          <w:b/>
          <w:color w:val="000000" w:themeColor="text1"/>
          <w:sz w:val="24"/>
          <w14:textFill>
            <w14:solidFill>
              <w14:schemeClr w14:val="tx1"/>
            </w14:solidFill>
          </w14:textFill>
        </w:rPr>
        <w:t>.违约责任</w:t>
      </w:r>
    </w:p>
    <w:p>
      <w:pPr>
        <w:spacing w:line="400" w:lineRule="exact"/>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9</w:t>
      </w:r>
      <w:r>
        <w:rPr>
          <w:rFonts w:ascii="宋体" w:hAnsi="宋体"/>
          <w:bCs/>
          <w:color w:val="000000" w:themeColor="text1"/>
          <w:sz w:val="24"/>
          <w14:textFill>
            <w14:solidFill>
              <w14:schemeClr w14:val="tx1"/>
            </w14:solidFill>
          </w14:textFill>
        </w:rPr>
        <w:t>.1甲方未按合同约定支付服务费的，乙方有权暂停工作，</w:t>
      </w:r>
      <w:r>
        <w:rPr>
          <w:rFonts w:hint="eastAsia" w:ascii="宋体" w:hAnsi="宋体"/>
          <w:bCs/>
          <w:color w:val="000000" w:themeColor="text1"/>
          <w:sz w:val="24"/>
          <w14:textFill>
            <w14:solidFill>
              <w14:schemeClr w14:val="tx1"/>
            </w14:solidFill>
          </w14:textFill>
        </w:rPr>
        <w:t>由于甲方原因造成</w:t>
      </w:r>
      <w:r>
        <w:rPr>
          <w:rFonts w:ascii="宋体" w:hAnsi="宋体"/>
          <w:bCs/>
          <w:color w:val="000000" w:themeColor="text1"/>
          <w:sz w:val="24"/>
          <w14:textFill>
            <w14:solidFill>
              <w14:schemeClr w14:val="tx1"/>
            </w14:solidFill>
          </w14:textFill>
        </w:rPr>
        <w:t>超过30</w:t>
      </w:r>
      <w:r>
        <w:rPr>
          <w:rFonts w:hint="eastAsia" w:ascii="宋体" w:hAnsi="宋体"/>
          <w:bCs/>
          <w:color w:val="000000" w:themeColor="text1"/>
          <w:sz w:val="24"/>
          <w14:textFill>
            <w14:solidFill>
              <w14:schemeClr w14:val="tx1"/>
            </w14:solidFill>
          </w14:textFill>
        </w:rPr>
        <w:t>日</w:t>
      </w:r>
      <w:r>
        <w:rPr>
          <w:rFonts w:ascii="宋体" w:hAnsi="宋体"/>
          <w:bCs/>
          <w:color w:val="000000" w:themeColor="text1"/>
          <w:sz w:val="24"/>
          <w14:textFill>
            <w14:solidFill>
              <w14:schemeClr w14:val="tx1"/>
            </w14:solidFill>
          </w14:textFill>
        </w:rPr>
        <w:t>不支付的，乙方有权单方解除合同，并有权要求甲方支付已经提供法律服务期间的费用。</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9</w:t>
      </w:r>
      <w:r>
        <w:rPr>
          <w:rFonts w:ascii="宋体" w:hAnsi="宋体"/>
          <w:bCs/>
          <w:color w:val="000000" w:themeColor="text1"/>
          <w:sz w:val="24"/>
          <w14:textFill>
            <w14:solidFill>
              <w14:schemeClr w14:val="tx1"/>
            </w14:solidFill>
          </w14:textFill>
        </w:rPr>
        <w:t>.2合同签订后，甲方无正当理由提前解除合同的，已经支付的服务费不予退还，尚未支付的应继续支付；乙方无正当理由拒绝为甲方提供服务的</w:t>
      </w:r>
      <w:r>
        <w:rPr>
          <w:rFonts w:hint="eastAsia" w:ascii="宋体" w:hAnsi="宋体"/>
          <w:bCs/>
          <w:color w:val="000000" w:themeColor="text1"/>
          <w:sz w:val="24"/>
          <w14:textFill>
            <w14:solidFill>
              <w14:schemeClr w14:val="tx1"/>
            </w14:solidFill>
          </w14:textFill>
        </w:rPr>
        <w:t>、对甲方委托的工作出现重大偏差或误判的、不服从甲方工作安排两次及以上的、不按约定时限完成相应工作两次及以上的，</w:t>
      </w:r>
      <w:r>
        <w:rPr>
          <w:rFonts w:ascii="宋体" w:hAnsi="宋体"/>
          <w:bCs/>
          <w:color w:val="000000" w:themeColor="text1"/>
          <w:sz w:val="24"/>
          <w14:textFill>
            <w14:solidFill>
              <w14:schemeClr w14:val="tx1"/>
            </w14:solidFill>
          </w14:textFill>
        </w:rPr>
        <w:t>甲方有权解除合同，并要求退还</w:t>
      </w:r>
      <w:r>
        <w:rPr>
          <w:rFonts w:hint="eastAsia" w:ascii="宋体" w:hAnsi="宋体"/>
          <w:bCs/>
          <w:color w:val="000000" w:themeColor="text1"/>
          <w:sz w:val="24"/>
          <w14:textFill>
            <w14:solidFill>
              <w14:schemeClr w14:val="tx1"/>
            </w14:solidFill>
          </w14:textFill>
        </w:rPr>
        <w:t>未服务期间的费用，并要求乙方承担由此造成的相关损失。</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r>
        <w:rPr>
          <w:rFonts w:ascii="宋体" w:hAnsi="宋体"/>
          <w:color w:val="000000" w:themeColor="text1"/>
          <w:sz w:val="24"/>
          <w14:textFill>
            <w14:solidFill>
              <w14:schemeClr w14:val="tx1"/>
            </w14:solidFill>
          </w14:textFill>
        </w:rPr>
        <w:t>.3乙方不履行或不适当履行服务职责，甲方有权扣除乙方的顾问</w:t>
      </w:r>
      <w:r>
        <w:rPr>
          <w:rFonts w:hint="eastAsia" w:ascii="宋体" w:hAnsi="宋体" w:cs="宋体-方正超大字符集"/>
          <w:color w:val="000000" w:themeColor="text1"/>
          <w:sz w:val="24"/>
          <w14:textFill>
            <w14:solidFill>
              <w14:schemeClr w14:val="tx1"/>
            </w14:solidFill>
          </w14:textFill>
        </w:rPr>
        <w:t>费余款；</w:t>
      </w:r>
      <w:r>
        <w:rPr>
          <w:rFonts w:hint="eastAsia" w:ascii="宋体" w:hAnsi="宋体"/>
          <w:color w:val="000000" w:themeColor="text1"/>
          <w:sz w:val="24"/>
          <w14:textFill>
            <w14:solidFill>
              <w14:schemeClr w14:val="tx1"/>
            </w14:solidFill>
          </w14:textFill>
        </w:rPr>
        <w:t>造成甲方经济损失的，依法予以赔偿。</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r>
        <w:rPr>
          <w:rFonts w:ascii="宋体" w:hAnsi="宋体"/>
          <w:color w:val="000000" w:themeColor="text1"/>
          <w:sz w:val="24"/>
          <w14:textFill>
            <w14:solidFill>
              <w14:schemeClr w14:val="tx1"/>
            </w14:solidFill>
          </w14:textFill>
        </w:rPr>
        <w:t>.4乙方未能按本合同第</w:t>
      </w:r>
      <w:r>
        <w:rPr>
          <w:rFonts w:hint="eastAsia" w:ascii="宋体" w:hAnsi="宋体"/>
          <w:color w:val="000000" w:themeColor="text1"/>
          <w:sz w:val="24"/>
          <w14:textFill>
            <w14:solidFill>
              <w14:schemeClr w14:val="tx1"/>
            </w14:solidFill>
          </w14:textFill>
        </w:rPr>
        <w:t>六条约定时限完成相应工作业务的，每逾期一天应按本合同顾问费总额万分之一的标准向甲方支付违约金。</w:t>
      </w:r>
    </w:p>
    <w:p>
      <w:pPr>
        <w:spacing w:line="400" w:lineRule="exact"/>
        <w:ind w:firstLine="480" w:firstLineChars="20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r>
        <w:rPr>
          <w:rFonts w:ascii="宋体" w:hAnsi="宋体"/>
          <w:color w:val="000000" w:themeColor="text1"/>
          <w:sz w:val="24"/>
          <w14:textFill>
            <w14:solidFill>
              <w14:schemeClr w14:val="tx1"/>
            </w14:solidFill>
          </w14:textFill>
        </w:rPr>
        <w:t>.5</w:t>
      </w:r>
      <w:r>
        <w:rPr>
          <w:rFonts w:hint="eastAsia" w:ascii="宋体" w:hAnsi="宋体"/>
          <w:bCs/>
          <w:color w:val="000000" w:themeColor="text1"/>
          <w:sz w:val="24"/>
          <w14:textFill>
            <w14:solidFill>
              <w14:schemeClr w14:val="tx1"/>
            </w14:solidFill>
          </w14:textFill>
        </w:rPr>
        <w:t>甲方对乙方到甲方办公处所坐班情况进行考勤。乙方每缺勤一次，视同乙方违约，甲方有权对乙方处以违约扣款</w:t>
      </w:r>
      <w:r>
        <w:rPr>
          <w:rFonts w:ascii="宋体" w:hAnsi="宋体"/>
          <w:bCs/>
          <w:color w:val="000000" w:themeColor="text1"/>
          <w:sz w:val="24"/>
          <w14:textFill>
            <w14:solidFill>
              <w14:schemeClr w14:val="tx1"/>
            </w14:solidFill>
          </w14:textFill>
        </w:rPr>
        <w:t>500元/次，所扣金额在本合同顾问费余款中扣除。</w:t>
      </w:r>
    </w:p>
    <w:p>
      <w:pPr>
        <w:spacing w:line="400" w:lineRule="exact"/>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9</w:t>
      </w:r>
      <w:r>
        <w:rPr>
          <w:rFonts w:ascii="宋体" w:hAnsi="宋体"/>
          <w:bCs/>
          <w:color w:val="000000" w:themeColor="text1"/>
          <w:sz w:val="24"/>
          <w14:textFill>
            <w14:solidFill>
              <w14:schemeClr w14:val="tx1"/>
            </w14:solidFill>
          </w14:textFill>
        </w:rPr>
        <w:t>.6乙方在本合同内确定的项目团队律师不应更换，如未经甲方同意擅自更换项目团队人员的，甲方将视其违约，并处以1万元/每人的违约金</w:t>
      </w:r>
      <w:r>
        <w:rPr>
          <w:rFonts w:hint="eastAsia" w:ascii="宋体" w:hAnsi="宋体"/>
          <w:bCs/>
          <w:color w:val="000000" w:themeColor="text1"/>
          <w:sz w:val="24"/>
          <w14:textFill>
            <w14:solidFill>
              <w14:schemeClr w14:val="tx1"/>
            </w14:solidFill>
          </w14:textFill>
        </w:rPr>
        <w:t>，如遇顾问律师开庭、出差在外或其他客观障碍确实不能提供服务时，经甲方同意，乙方可临时指派本所其他律师替代，但乙方增加团队服务律师的不受上述规定限制。</w:t>
      </w:r>
    </w:p>
    <w:p>
      <w:pPr>
        <w:spacing w:line="400" w:lineRule="exact"/>
        <w:ind w:firstLine="480"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10</w:t>
      </w:r>
      <w:r>
        <w:rPr>
          <w:rFonts w:ascii="宋体" w:hAnsi="宋体"/>
          <w:b/>
          <w:color w:val="000000" w:themeColor="text1"/>
          <w:sz w:val="24"/>
          <w14:textFill>
            <w14:solidFill>
              <w14:schemeClr w14:val="tx1"/>
            </w14:solidFill>
          </w14:textFill>
        </w:rPr>
        <w:t>.其他约定</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r>
        <w:rPr>
          <w:rFonts w:ascii="宋体" w:hAnsi="宋体"/>
          <w:color w:val="000000" w:themeColor="text1"/>
          <w:sz w:val="24"/>
          <w14:textFill>
            <w14:solidFill>
              <w14:schemeClr w14:val="tx1"/>
            </w14:solidFill>
          </w14:textFill>
        </w:rPr>
        <w:t>.1本合同未尽事宜，双方另行以书面形式商定；如协商未能解决争议，任何一方均可提交</w:t>
      </w:r>
      <w:r>
        <w:rPr>
          <w:rFonts w:hint="eastAsia" w:ascii="宋体" w:hAnsi="宋体"/>
          <w:color w:val="000000" w:themeColor="text1"/>
          <w:sz w:val="24"/>
          <w14:textFill>
            <w14:solidFill>
              <w14:schemeClr w14:val="tx1"/>
            </w14:solidFill>
          </w14:textFill>
        </w:rPr>
        <w:t>甲方所在地人民法院处理，产生的律师费、诉讼费由责任方承担。</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r>
        <w:rPr>
          <w:rFonts w:ascii="宋体" w:hAnsi="宋体"/>
          <w:color w:val="000000" w:themeColor="text1"/>
          <w:sz w:val="24"/>
          <w14:textFill>
            <w14:solidFill>
              <w14:schemeClr w14:val="tx1"/>
            </w14:solidFill>
          </w14:textFill>
        </w:rPr>
        <w:t>.2本合同正本一式</w:t>
      </w:r>
      <w:r>
        <w:rPr>
          <w:rFonts w:hint="eastAsia" w:ascii="宋体" w:hAnsi="宋体"/>
          <w:color w:val="000000" w:themeColor="text1"/>
          <w:sz w:val="24"/>
          <w14:textFill>
            <w14:solidFill>
              <w14:schemeClr w14:val="tx1"/>
            </w14:solidFill>
          </w14:textFill>
        </w:rPr>
        <w:t>伍</w:t>
      </w:r>
      <w:r>
        <w:rPr>
          <w:rFonts w:ascii="宋体" w:hAnsi="宋体"/>
          <w:color w:val="000000" w:themeColor="text1"/>
          <w:sz w:val="24"/>
          <w14:textFill>
            <w14:solidFill>
              <w14:schemeClr w14:val="tx1"/>
            </w14:solidFill>
          </w14:textFill>
        </w:rPr>
        <w:t>份，甲方执</w:t>
      </w:r>
      <w:r>
        <w:rPr>
          <w:rFonts w:hint="eastAsia" w:ascii="宋体" w:hAnsi="宋体"/>
          <w:color w:val="000000" w:themeColor="text1"/>
          <w:sz w:val="24"/>
          <w14:textFill>
            <w14:solidFill>
              <w14:schemeClr w14:val="tx1"/>
            </w14:solidFill>
          </w14:textFill>
        </w:rPr>
        <w:t>叁</w:t>
      </w:r>
      <w:r>
        <w:rPr>
          <w:rFonts w:ascii="宋体" w:hAnsi="宋体"/>
          <w:color w:val="000000" w:themeColor="text1"/>
          <w:sz w:val="24"/>
          <w14:textFill>
            <w14:solidFill>
              <w14:schemeClr w14:val="tx1"/>
            </w14:solidFill>
          </w14:textFill>
        </w:rPr>
        <w:t>份，乙方执</w:t>
      </w:r>
      <w:r>
        <w:rPr>
          <w:rFonts w:hint="eastAsia" w:ascii="宋体" w:hAnsi="宋体"/>
          <w:color w:val="000000" w:themeColor="text1"/>
          <w:sz w:val="24"/>
          <w14:textFill>
            <w14:solidFill>
              <w14:schemeClr w14:val="tx1"/>
            </w14:solidFill>
          </w14:textFill>
        </w:rPr>
        <w:t>贰</w:t>
      </w:r>
      <w:r>
        <w:rPr>
          <w:rFonts w:ascii="宋体" w:hAnsi="宋体"/>
          <w:color w:val="000000" w:themeColor="text1"/>
          <w:sz w:val="24"/>
          <w14:textFill>
            <w14:solidFill>
              <w14:schemeClr w14:val="tx1"/>
            </w14:solidFill>
          </w14:textFill>
        </w:rPr>
        <w:t>份，每份具有同等法律效力。本合同自双方代表签字、单位盖章之日起生效。</w:t>
      </w:r>
    </w:p>
    <w:p>
      <w:pPr>
        <w:spacing w:line="400" w:lineRule="exact"/>
        <w:ind w:firstLine="480" w:firstLineChars="200"/>
        <w:rPr>
          <w:rFonts w:ascii="宋体" w:hAnsi="宋体"/>
          <w:color w:val="000000" w:themeColor="text1"/>
          <w:sz w:val="24"/>
          <w14:textFill>
            <w14:solidFill>
              <w14:schemeClr w14:val="tx1"/>
            </w14:solidFill>
          </w14:textFill>
        </w:rPr>
      </w:pPr>
    </w:p>
    <w:p>
      <w:pPr>
        <w:adjustRightInd w:val="0"/>
        <w:snapToGrid w:val="0"/>
        <w:spacing w:line="320" w:lineRule="exact"/>
        <w:ind w:firstLine="480" w:firstLineChars="200"/>
        <w:outlineLvl w:val="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附件：律师联系方式。</w:t>
      </w:r>
    </w:p>
    <w:p>
      <w:pPr>
        <w:adjustRightInd w:val="0"/>
        <w:snapToGrid w:val="0"/>
        <w:spacing w:line="320" w:lineRule="exact"/>
        <w:outlineLvl w:val="2"/>
        <w:rPr>
          <w:rFonts w:ascii="宋体" w:hAnsi="宋体"/>
          <w:color w:val="000000" w:themeColor="text1"/>
          <w:sz w:val="24"/>
          <w14:textFill>
            <w14:solidFill>
              <w14:schemeClr w14:val="tx1"/>
            </w14:solidFill>
          </w14:textFill>
        </w:rPr>
      </w:pPr>
    </w:p>
    <w:p>
      <w:pPr>
        <w:adjustRightInd w:val="0"/>
        <w:snapToGrid w:val="0"/>
        <w:spacing w:line="320" w:lineRule="exact"/>
        <w:outlineLvl w:val="2"/>
        <w:rPr>
          <w:rFonts w:ascii="宋体" w:hAnsi="宋体"/>
          <w:color w:val="000000" w:themeColor="text1"/>
          <w:sz w:val="24"/>
          <w14:textFill>
            <w14:solidFill>
              <w14:schemeClr w14:val="tx1"/>
            </w14:solidFill>
          </w14:textFill>
        </w:rPr>
      </w:pPr>
    </w:p>
    <w:p>
      <w:pPr>
        <w:adjustRightInd w:val="0"/>
        <w:snapToGrid w:val="0"/>
        <w:spacing w:line="320" w:lineRule="exact"/>
        <w:outlineLvl w:val="2"/>
        <w:rPr>
          <w:rFonts w:ascii="宋体" w:hAnsi="宋体"/>
          <w:color w:val="000000" w:themeColor="text1"/>
          <w:sz w:val="24"/>
          <w14:textFill>
            <w14:solidFill>
              <w14:schemeClr w14:val="tx1"/>
            </w14:solidFill>
          </w14:textFill>
        </w:rPr>
      </w:pPr>
    </w:p>
    <w:p>
      <w:pPr>
        <w:adjustRightInd w:val="0"/>
        <w:snapToGrid w:val="0"/>
        <w:spacing w:line="320" w:lineRule="exact"/>
        <w:outlineLvl w:val="2"/>
        <w:rPr>
          <w:rFonts w:ascii="宋体" w:hAnsi="宋体"/>
          <w:color w:val="000000" w:themeColor="text1"/>
          <w:sz w:val="24"/>
          <w14:textFill>
            <w14:solidFill>
              <w14:schemeClr w14:val="tx1"/>
            </w14:solidFill>
          </w14:textFill>
        </w:rPr>
      </w:pPr>
    </w:p>
    <w:p>
      <w:pPr>
        <w:adjustRightInd w:val="0"/>
        <w:snapToGrid w:val="0"/>
        <w:spacing w:line="320" w:lineRule="exact"/>
        <w:outlineLvl w:val="2"/>
        <w:rPr>
          <w:rFonts w:ascii="宋体" w:hAnsi="宋体"/>
          <w:color w:val="000000" w:themeColor="text1"/>
          <w:sz w:val="24"/>
          <w14:textFill>
            <w14:solidFill>
              <w14:schemeClr w14:val="tx1"/>
            </w14:solidFill>
          </w14:textFill>
        </w:rPr>
      </w:pPr>
    </w:p>
    <w:p>
      <w:pPr>
        <w:adjustRightInd w:val="0"/>
        <w:snapToGrid w:val="0"/>
        <w:spacing w:line="320" w:lineRule="exact"/>
        <w:outlineLvl w:val="2"/>
        <w:rPr>
          <w:rFonts w:ascii="宋体" w:hAnsi="宋体"/>
          <w:color w:val="000000" w:themeColor="text1"/>
          <w:sz w:val="24"/>
          <w14:textFill>
            <w14:solidFill>
              <w14:schemeClr w14:val="tx1"/>
            </w14:solidFill>
          </w14:textFill>
        </w:rPr>
      </w:pPr>
    </w:p>
    <w:p>
      <w:pPr>
        <w:adjustRightInd w:val="0"/>
        <w:snapToGrid w:val="0"/>
        <w:spacing w:line="320" w:lineRule="exact"/>
        <w:outlineLvl w:val="2"/>
        <w:rPr>
          <w:rFonts w:ascii="宋体" w:hAnsi="宋体"/>
          <w:color w:val="000000" w:themeColor="text1"/>
          <w:sz w:val="24"/>
          <w14:textFill>
            <w14:solidFill>
              <w14:schemeClr w14:val="tx1"/>
            </w14:solidFill>
          </w14:textFill>
        </w:rPr>
      </w:pPr>
    </w:p>
    <w:p>
      <w:pPr>
        <w:adjustRightInd w:val="0"/>
        <w:snapToGrid w:val="0"/>
        <w:spacing w:line="320" w:lineRule="exact"/>
        <w:outlineLvl w:val="2"/>
        <w:rPr>
          <w:rFonts w:ascii="宋体" w:hAnsi="宋体"/>
          <w:color w:val="000000" w:themeColor="text1"/>
          <w:sz w:val="24"/>
          <w14:textFill>
            <w14:solidFill>
              <w14:schemeClr w14:val="tx1"/>
            </w14:solidFill>
          </w14:textFill>
        </w:rPr>
      </w:pPr>
    </w:p>
    <w:p>
      <w:pPr>
        <w:adjustRightInd w:val="0"/>
        <w:snapToGrid w:val="0"/>
        <w:spacing w:line="320" w:lineRule="exact"/>
        <w:outlineLvl w:val="2"/>
        <w:rPr>
          <w:rFonts w:ascii="宋体" w:hAnsi="宋体"/>
          <w:color w:val="000000" w:themeColor="text1"/>
          <w:sz w:val="24"/>
          <w14:textFill>
            <w14:solidFill>
              <w14:schemeClr w14:val="tx1"/>
            </w14:solidFill>
          </w14:textFill>
        </w:rPr>
      </w:pPr>
    </w:p>
    <w:p>
      <w:pPr>
        <w:adjustRightInd w:val="0"/>
        <w:snapToGrid w:val="0"/>
        <w:spacing w:line="320" w:lineRule="exact"/>
        <w:outlineLvl w:val="2"/>
        <w:rPr>
          <w:rFonts w:ascii="宋体" w:hAnsi="宋体"/>
          <w:color w:val="000000" w:themeColor="text1"/>
          <w:sz w:val="24"/>
          <w14:textFill>
            <w14:solidFill>
              <w14:schemeClr w14:val="tx1"/>
            </w14:solidFill>
          </w14:textFill>
        </w:rPr>
      </w:pPr>
    </w:p>
    <w:p>
      <w:pPr>
        <w:spacing w:line="400" w:lineRule="exact"/>
        <w:ind w:hanging="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（以下无正文）</w:t>
      </w:r>
    </w:p>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（本页签章页）</w:t>
      </w:r>
    </w:p>
    <w:p>
      <w:pPr>
        <w:adjustRightInd w:val="0"/>
        <w:snapToGrid w:val="0"/>
        <w:spacing w:line="320" w:lineRule="exact"/>
        <w:outlineLvl w:val="2"/>
        <w:rPr>
          <w:rFonts w:ascii="宋体" w:hAnsi="宋体"/>
          <w:color w:val="000000" w:themeColor="text1"/>
          <w:sz w:val="24"/>
          <w14:textFill>
            <w14:solidFill>
              <w14:schemeClr w14:val="tx1"/>
            </w14:solidFill>
          </w14:textFill>
        </w:rPr>
      </w:pPr>
    </w:p>
    <w:tbl>
      <w:tblPr>
        <w:tblStyle w:val="27"/>
        <w:tblW w:w="0" w:type="auto"/>
        <w:tblInd w:w="0" w:type="dxa"/>
        <w:tblLayout w:type="autofit"/>
        <w:tblCellMar>
          <w:top w:w="0" w:type="dxa"/>
          <w:left w:w="108" w:type="dxa"/>
          <w:bottom w:w="0" w:type="dxa"/>
          <w:right w:w="108" w:type="dxa"/>
        </w:tblCellMar>
      </w:tblPr>
      <w:tblGrid>
        <w:gridCol w:w="4717"/>
        <w:gridCol w:w="4718"/>
      </w:tblGrid>
      <w:tr>
        <w:tblPrEx>
          <w:tblCellMar>
            <w:top w:w="0" w:type="dxa"/>
            <w:left w:w="108" w:type="dxa"/>
            <w:bottom w:w="0" w:type="dxa"/>
            <w:right w:w="108" w:type="dxa"/>
          </w:tblCellMar>
        </w:tblPrEx>
        <w:tc>
          <w:tcPr>
            <w:tcW w:w="4717" w:type="dxa"/>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甲方：</w:t>
            </w:r>
            <w:r>
              <w:rPr>
                <w:rFonts w:hint="eastAsia" w:ascii="宋体" w:hAnsi="宋体"/>
                <w:color w:val="000000" w:themeColor="text1"/>
                <w:sz w:val="24"/>
                <w:lang w:eastAsia="zh-CN"/>
                <w14:textFill>
                  <w14:solidFill>
                    <w14:schemeClr w14:val="tx1"/>
                  </w14:solidFill>
                </w14:textFill>
              </w:rPr>
              <w:t>南宁市金盾道路清障有限责任公司</w:t>
            </w:r>
            <w:r>
              <w:rPr>
                <w:rFonts w:hint="eastAsia" w:ascii="宋体" w:hAnsi="宋体"/>
                <w:color w:val="000000" w:themeColor="text1"/>
                <w:sz w:val="24"/>
                <w14:textFill>
                  <w14:solidFill>
                    <w14:schemeClr w14:val="tx1"/>
                  </w14:solidFill>
                </w14:textFill>
              </w:rPr>
              <w:t xml:space="preserve"> </w:t>
            </w:r>
          </w:p>
        </w:tc>
        <w:tc>
          <w:tcPr>
            <w:tcW w:w="4718" w:type="dxa"/>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乙方：</w:t>
            </w:r>
          </w:p>
        </w:tc>
      </w:tr>
      <w:tr>
        <w:tblPrEx>
          <w:tblCellMar>
            <w:top w:w="0" w:type="dxa"/>
            <w:left w:w="108" w:type="dxa"/>
            <w:bottom w:w="0" w:type="dxa"/>
            <w:right w:w="108" w:type="dxa"/>
          </w:tblCellMar>
        </w:tblPrEx>
        <w:tc>
          <w:tcPr>
            <w:tcW w:w="4717" w:type="dxa"/>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w:t>
            </w:r>
          </w:p>
        </w:tc>
        <w:tc>
          <w:tcPr>
            <w:tcW w:w="4718" w:type="dxa"/>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负责人：</w:t>
            </w:r>
          </w:p>
        </w:tc>
      </w:tr>
      <w:tr>
        <w:tblPrEx>
          <w:tblCellMar>
            <w:top w:w="0" w:type="dxa"/>
            <w:left w:w="108" w:type="dxa"/>
            <w:bottom w:w="0" w:type="dxa"/>
            <w:right w:w="108" w:type="dxa"/>
          </w:tblCellMar>
        </w:tblPrEx>
        <w:tc>
          <w:tcPr>
            <w:tcW w:w="4717" w:type="dxa"/>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委托代理人：</w:t>
            </w:r>
          </w:p>
        </w:tc>
        <w:tc>
          <w:tcPr>
            <w:tcW w:w="4718" w:type="dxa"/>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委托代理人：</w:t>
            </w:r>
          </w:p>
        </w:tc>
      </w:tr>
      <w:tr>
        <w:tblPrEx>
          <w:tblCellMar>
            <w:top w:w="0" w:type="dxa"/>
            <w:left w:w="108" w:type="dxa"/>
            <w:bottom w:w="0" w:type="dxa"/>
            <w:right w:w="108" w:type="dxa"/>
          </w:tblCellMar>
        </w:tblPrEx>
        <w:tc>
          <w:tcPr>
            <w:tcW w:w="4717" w:type="dxa"/>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地址：南宁市</w:t>
            </w:r>
            <w:r>
              <w:rPr>
                <w:rFonts w:hint="eastAsia" w:ascii="宋体" w:hAnsi="宋体"/>
                <w:color w:val="000000" w:themeColor="text1"/>
                <w:sz w:val="24"/>
                <w:lang w:eastAsia="zh-CN"/>
                <w14:textFill>
                  <w14:solidFill>
                    <w14:schemeClr w14:val="tx1"/>
                  </w14:solidFill>
                </w14:textFill>
              </w:rPr>
              <w:t>有谊路</w:t>
            </w:r>
            <w:r>
              <w:rPr>
                <w:rFonts w:hint="eastAsia" w:ascii="宋体" w:hAnsi="宋体"/>
                <w:color w:val="000000" w:themeColor="text1"/>
                <w:sz w:val="24"/>
                <w:lang w:val="en-US" w:eastAsia="zh-CN"/>
                <w14:textFill>
                  <w14:solidFill>
                    <w14:schemeClr w14:val="tx1"/>
                  </w14:solidFill>
                </w14:textFill>
              </w:rPr>
              <w:t>21-6</w:t>
            </w:r>
            <w:r>
              <w:rPr>
                <w:rFonts w:ascii="宋体" w:hAnsi="宋体"/>
                <w:color w:val="000000" w:themeColor="text1"/>
                <w:sz w:val="24"/>
                <w14:textFill>
                  <w14:solidFill>
                    <w14:schemeClr w14:val="tx1"/>
                  </w14:solidFill>
                </w14:textFill>
              </w:rPr>
              <w:t>号</w:t>
            </w:r>
          </w:p>
        </w:tc>
        <w:tc>
          <w:tcPr>
            <w:tcW w:w="4718" w:type="dxa"/>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地址：</w:t>
            </w:r>
          </w:p>
        </w:tc>
      </w:tr>
      <w:tr>
        <w:tblPrEx>
          <w:tblCellMar>
            <w:top w:w="0" w:type="dxa"/>
            <w:left w:w="108" w:type="dxa"/>
            <w:bottom w:w="0" w:type="dxa"/>
            <w:right w:w="108" w:type="dxa"/>
          </w:tblCellMar>
        </w:tblPrEx>
        <w:tc>
          <w:tcPr>
            <w:tcW w:w="4717" w:type="dxa"/>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联系电话：</w:t>
            </w:r>
          </w:p>
        </w:tc>
        <w:tc>
          <w:tcPr>
            <w:tcW w:w="4718" w:type="dxa"/>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联系电话：</w:t>
            </w:r>
          </w:p>
        </w:tc>
      </w:tr>
      <w:tr>
        <w:tblPrEx>
          <w:tblCellMar>
            <w:top w:w="0" w:type="dxa"/>
            <w:left w:w="108" w:type="dxa"/>
            <w:bottom w:w="0" w:type="dxa"/>
            <w:right w:w="108" w:type="dxa"/>
          </w:tblCellMar>
        </w:tblPrEx>
        <w:tc>
          <w:tcPr>
            <w:tcW w:w="4717" w:type="dxa"/>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开户银行：</w:t>
            </w:r>
          </w:p>
        </w:tc>
        <w:tc>
          <w:tcPr>
            <w:tcW w:w="4718" w:type="dxa"/>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开户银行：</w:t>
            </w:r>
          </w:p>
        </w:tc>
      </w:tr>
      <w:tr>
        <w:tblPrEx>
          <w:tblCellMar>
            <w:top w:w="0" w:type="dxa"/>
            <w:left w:w="108" w:type="dxa"/>
            <w:bottom w:w="0" w:type="dxa"/>
            <w:right w:w="108" w:type="dxa"/>
          </w:tblCellMar>
        </w:tblPrEx>
        <w:tc>
          <w:tcPr>
            <w:tcW w:w="4717" w:type="dxa"/>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银行账号：</w:t>
            </w:r>
          </w:p>
        </w:tc>
        <w:tc>
          <w:tcPr>
            <w:tcW w:w="4718" w:type="dxa"/>
          </w:tcPr>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银行账号：</w:t>
            </w:r>
          </w:p>
        </w:tc>
      </w:tr>
      <w:tr>
        <w:tblPrEx>
          <w:tblCellMar>
            <w:top w:w="0" w:type="dxa"/>
            <w:left w:w="108" w:type="dxa"/>
            <w:bottom w:w="0" w:type="dxa"/>
            <w:right w:w="108" w:type="dxa"/>
          </w:tblCellMar>
        </w:tblPrEx>
        <w:tc>
          <w:tcPr>
            <w:tcW w:w="4717" w:type="dxa"/>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签订日期： 年 月 日</w:t>
            </w:r>
          </w:p>
        </w:tc>
        <w:tc>
          <w:tcPr>
            <w:tcW w:w="4718" w:type="dxa"/>
          </w:tcPr>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签订日期： 年 月 日</w:t>
            </w:r>
          </w:p>
        </w:tc>
      </w:tr>
      <w:tr>
        <w:tblPrEx>
          <w:tblCellMar>
            <w:top w:w="0" w:type="dxa"/>
            <w:left w:w="108" w:type="dxa"/>
            <w:bottom w:w="0" w:type="dxa"/>
            <w:right w:w="108" w:type="dxa"/>
          </w:tblCellMar>
        </w:tblPrEx>
        <w:tc>
          <w:tcPr>
            <w:tcW w:w="4717" w:type="dxa"/>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合同签订地：南宁市</w:t>
            </w:r>
            <w:r>
              <w:rPr>
                <w:rFonts w:hint="eastAsia" w:ascii="宋体" w:hAnsi="宋体"/>
                <w:color w:val="000000" w:themeColor="text1"/>
                <w:sz w:val="24"/>
                <w:lang w:eastAsia="zh-CN"/>
                <w14:textFill>
                  <w14:solidFill>
                    <w14:schemeClr w14:val="tx1"/>
                  </w14:solidFill>
                </w14:textFill>
              </w:rPr>
              <w:t>友谊路</w:t>
            </w:r>
            <w:r>
              <w:rPr>
                <w:rFonts w:hint="eastAsia" w:ascii="宋体" w:hAnsi="宋体"/>
                <w:color w:val="000000" w:themeColor="text1"/>
                <w:sz w:val="24"/>
                <w:lang w:val="en-US" w:eastAsia="zh-CN"/>
                <w14:textFill>
                  <w14:solidFill>
                    <w14:schemeClr w14:val="tx1"/>
                  </w14:solidFill>
                </w14:textFill>
              </w:rPr>
              <w:t>26-1</w:t>
            </w:r>
            <w:r>
              <w:rPr>
                <w:rFonts w:ascii="宋体" w:hAnsi="宋体"/>
                <w:color w:val="000000" w:themeColor="text1"/>
                <w:sz w:val="24"/>
                <w14:textFill>
                  <w14:solidFill>
                    <w14:schemeClr w14:val="tx1"/>
                  </w14:solidFill>
                </w14:textFill>
              </w:rPr>
              <w:t>号</w:t>
            </w:r>
          </w:p>
        </w:tc>
        <w:tc>
          <w:tcPr>
            <w:tcW w:w="4718" w:type="dxa"/>
          </w:tcPr>
          <w:p>
            <w:pPr>
              <w:spacing w:line="400" w:lineRule="exact"/>
              <w:rPr>
                <w:rFonts w:ascii="宋体" w:hAnsi="宋体"/>
                <w:color w:val="000000" w:themeColor="text1"/>
                <w:sz w:val="24"/>
                <w14:textFill>
                  <w14:solidFill>
                    <w14:schemeClr w14:val="tx1"/>
                  </w14:solidFill>
                </w14:textFill>
              </w:rPr>
            </w:pPr>
          </w:p>
        </w:tc>
      </w:tr>
    </w:tbl>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320" w:lineRule="exact"/>
        <w:rPr>
          <w:rFonts w:ascii="宋体" w:hAnsi="宋体"/>
          <w:color w:val="000000" w:themeColor="text1"/>
          <w:sz w:val="24"/>
          <w14:textFill>
            <w14:solidFill>
              <w14:schemeClr w14:val="tx1"/>
            </w14:solidFill>
          </w14:textFill>
        </w:rPr>
      </w:pPr>
    </w:p>
    <w:p>
      <w:pPr>
        <w:spacing w:line="400" w:lineRule="exact"/>
        <w:rPr>
          <w:b/>
          <w:color w:val="000000" w:themeColor="text1"/>
          <w:sz w:val="24"/>
          <w14:textFill>
            <w14:solidFill>
              <w14:schemeClr w14:val="tx1"/>
            </w14:solidFill>
          </w14:textFill>
        </w:rPr>
      </w:pPr>
    </w:p>
    <w:p>
      <w:pPr>
        <w:spacing w:line="400" w:lineRule="exact"/>
        <w:rPr>
          <w:b/>
          <w:color w:val="000000" w:themeColor="text1"/>
          <w:sz w:val="24"/>
          <w14:textFill>
            <w14:solidFill>
              <w14:schemeClr w14:val="tx1"/>
            </w14:solidFill>
          </w14:textFill>
        </w:rPr>
      </w:pPr>
    </w:p>
    <w:p>
      <w:pPr>
        <w:spacing w:line="400" w:lineRule="exact"/>
        <w:rPr>
          <w:b/>
          <w:color w:val="000000" w:themeColor="text1"/>
          <w:sz w:val="24"/>
          <w14:textFill>
            <w14:solidFill>
              <w14:schemeClr w14:val="tx1"/>
            </w14:solidFill>
          </w14:textFill>
        </w:rPr>
      </w:pPr>
    </w:p>
    <w:p>
      <w:pPr>
        <w:spacing w:line="400" w:lineRule="exact"/>
        <w:rPr>
          <w:b/>
          <w:color w:val="000000" w:themeColor="text1"/>
          <w:sz w:val="24"/>
          <w14:textFill>
            <w14:solidFill>
              <w14:schemeClr w14:val="tx1"/>
            </w14:solidFill>
          </w14:textFill>
        </w:rPr>
      </w:pPr>
    </w:p>
    <w:p>
      <w:pPr>
        <w:pStyle w:val="2"/>
        <w:numPr>
          <w:ilvl w:val="0"/>
          <w:numId w:val="1"/>
        </w:numPr>
        <w:rPr>
          <w:rFonts w:ascii="宋体" w:hAnsi="宋体" w:cs="宋体"/>
          <w:color w:val="000000" w:themeColor="text1"/>
          <w:szCs w:val="28"/>
          <w14:textFill>
            <w14:solidFill>
              <w14:schemeClr w14:val="tx1"/>
            </w14:solidFill>
          </w14:textFill>
        </w:rPr>
      </w:pPr>
      <w:bookmarkStart w:id="208" w:name="_Toc27378"/>
      <w:bookmarkStart w:id="209" w:name="_Toc461525321"/>
      <w:bookmarkStart w:id="210" w:name="_Toc20710"/>
      <w:bookmarkStart w:id="211" w:name="_Toc24668"/>
      <w:bookmarkStart w:id="212" w:name="_Toc23661"/>
      <w:bookmarkStart w:id="213" w:name="_Toc15172"/>
      <w:bookmarkStart w:id="214" w:name="_Toc16386"/>
      <w:bookmarkStart w:id="215" w:name="_Toc29471"/>
      <w:bookmarkStart w:id="216" w:name="_Toc26692"/>
      <w:bookmarkStart w:id="217" w:name="_Toc1897"/>
      <w:bookmarkStart w:id="218" w:name="_Toc32280"/>
      <w:bookmarkStart w:id="219" w:name="_Toc471482369"/>
      <w:bookmarkStart w:id="220" w:name="_Toc6779"/>
      <w:r>
        <w:rPr>
          <w:rFonts w:hint="eastAsia" w:ascii="宋体" w:hAnsi="宋体" w:cs="宋体"/>
          <w:color w:val="000000" w:themeColor="text1"/>
          <w:szCs w:val="28"/>
          <w14:textFill>
            <w14:solidFill>
              <w14:schemeClr w14:val="tx1"/>
            </w14:solidFill>
          </w14:textFill>
        </w:rPr>
        <w:t>比选</w:t>
      </w:r>
      <w:bookmarkEnd w:id="206"/>
      <w:bookmarkEnd w:id="207"/>
      <w:r>
        <w:rPr>
          <w:rFonts w:hint="eastAsia" w:ascii="宋体" w:hAnsi="宋体" w:cs="宋体"/>
          <w:color w:val="000000" w:themeColor="text1"/>
          <w:szCs w:val="28"/>
          <w14:textFill>
            <w14:solidFill>
              <w14:schemeClr w14:val="tx1"/>
            </w14:solidFill>
          </w14:textFill>
        </w:rPr>
        <w:t>申请文件（格式）</w:t>
      </w:r>
      <w:bookmarkEnd w:id="208"/>
      <w:bookmarkEnd w:id="209"/>
      <w:bookmarkEnd w:id="210"/>
      <w:bookmarkEnd w:id="211"/>
      <w:bookmarkEnd w:id="212"/>
      <w:bookmarkEnd w:id="213"/>
      <w:bookmarkEnd w:id="214"/>
      <w:bookmarkEnd w:id="215"/>
      <w:bookmarkEnd w:id="216"/>
      <w:bookmarkEnd w:id="217"/>
      <w:bookmarkEnd w:id="218"/>
      <w:bookmarkEnd w:id="219"/>
      <w:bookmarkEnd w:id="220"/>
      <w:bookmarkStart w:id="221" w:name="_Toc114052391"/>
    </w:p>
    <w:p>
      <w:pPr>
        <w:jc w:val="center"/>
        <w:rPr>
          <w:rFonts w:ascii="宋体" w:hAnsi="宋体" w:cs="宋体"/>
          <w:color w:val="000000" w:themeColor="text1"/>
          <w:szCs w:val="28"/>
          <w14:textFill>
            <w14:solidFill>
              <w14:schemeClr w14:val="tx1"/>
            </w14:solidFill>
          </w14:textFill>
        </w:rPr>
      </w:pPr>
    </w:p>
    <w:p>
      <w:pPr>
        <w:ind w:right="753"/>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（封面格式）</w:t>
      </w: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项目比选申请文件</w:t>
      </w:r>
    </w:p>
    <w:p>
      <w:pPr>
        <w:ind w:right="753"/>
        <w:jc w:val="center"/>
        <w:rPr>
          <w:color w:val="000000" w:themeColor="text1"/>
          <w:sz w:val="28"/>
          <w:szCs w:val="28"/>
          <w14:textFill>
            <w14:solidFill>
              <w14:schemeClr w14:val="tx1"/>
            </w14:solidFill>
          </w14:textFill>
        </w:rPr>
      </w:pPr>
      <w:bookmarkStart w:id="222" w:name="_Toc31417"/>
      <w:bookmarkStart w:id="223" w:name="_Toc24727"/>
      <w:bookmarkStart w:id="224" w:name="_Toc6045"/>
      <w:bookmarkStart w:id="225" w:name="_Toc16428"/>
      <w:bookmarkStart w:id="226" w:name="_Toc18503"/>
      <w:bookmarkStart w:id="227" w:name="_Toc10669"/>
      <w:bookmarkStart w:id="228" w:name="_Toc12677"/>
      <w:bookmarkStart w:id="229" w:name="_Toc461525322"/>
      <w:bookmarkStart w:id="230" w:name="_Toc22529"/>
      <w:r>
        <w:rPr>
          <w:color w:val="000000" w:themeColor="text1"/>
          <w:sz w:val="28"/>
          <w:szCs w:val="28"/>
          <w14:textFill>
            <w14:solidFill>
              <w14:schemeClr w14:val="tx1"/>
            </w14:solidFill>
          </w14:textFill>
        </w:rPr>
        <w:t>资格审查部分</w:t>
      </w:r>
      <w:bookmarkEnd w:id="222"/>
      <w:bookmarkEnd w:id="223"/>
      <w:bookmarkEnd w:id="224"/>
      <w:bookmarkEnd w:id="225"/>
      <w:bookmarkEnd w:id="226"/>
      <w:bookmarkEnd w:id="227"/>
      <w:bookmarkEnd w:id="228"/>
      <w:bookmarkEnd w:id="229"/>
      <w:bookmarkEnd w:id="230"/>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比选申</w:t>
      </w:r>
      <w:bookmarkEnd w:id="221"/>
      <w:r>
        <w:rPr>
          <w:rFonts w:hint="eastAsia" w:ascii="宋体" w:hAnsi="宋体" w:cs="宋体"/>
          <w:color w:val="000000" w:themeColor="text1"/>
          <w:sz w:val="28"/>
          <w:szCs w:val="28"/>
          <w14:textFill>
            <w14:solidFill>
              <w14:schemeClr w14:val="tx1"/>
            </w14:solidFill>
          </w14:textFill>
        </w:rPr>
        <w:t>请</w:t>
      </w:r>
      <w:bookmarkStart w:id="231" w:name="_Toc114052392"/>
      <w:r>
        <w:rPr>
          <w:rFonts w:hint="eastAsia" w:ascii="宋体" w:hAnsi="宋体" w:cs="宋体"/>
          <w:color w:val="000000" w:themeColor="text1"/>
          <w:sz w:val="28"/>
          <w:szCs w:val="28"/>
          <w14:textFill>
            <w14:solidFill>
              <w14:schemeClr w14:val="tx1"/>
            </w14:solidFill>
          </w14:textFill>
        </w:rPr>
        <w:t>人：</w:t>
      </w:r>
      <w:bookmarkEnd w:id="231"/>
      <w:r>
        <w:rPr>
          <w:rFonts w:hint="eastAsia" w:ascii="宋体" w:hAnsi="宋体" w:cs="宋体"/>
          <w:color w:val="000000" w:themeColor="text1"/>
          <w:sz w:val="28"/>
          <w:szCs w:val="28"/>
          <w14:textFill>
            <w14:solidFill>
              <w14:schemeClr w14:val="tx1"/>
            </w14:solidFill>
          </w14:textFill>
        </w:rPr>
        <w:t>（盖律所公章）</w:t>
      </w: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负责人或委托代</w:t>
      </w:r>
      <w:bookmarkStart w:id="232" w:name="_Toc333307122"/>
      <w:r>
        <w:rPr>
          <w:rFonts w:hint="eastAsia" w:ascii="宋体" w:hAnsi="宋体" w:cs="宋体"/>
          <w:color w:val="000000" w:themeColor="text1"/>
          <w:sz w:val="28"/>
          <w:szCs w:val="28"/>
          <w14:textFill>
            <w14:solidFill>
              <w14:schemeClr w14:val="tx1"/>
            </w14:solidFill>
          </w14:textFill>
        </w:rPr>
        <w:t>理人</w:t>
      </w:r>
      <w:bookmarkEnd w:id="232"/>
      <w:r>
        <w:rPr>
          <w:rFonts w:hint="eastAsia" w:ascii="宋体" w:hAnsi="宋体" w:cs="宋体"/>
          <w:color w:val="000000" w:themeColor="text1"/>
          <w:sz w:val="28"/>
          <w:szCs w:val="28"/>
          <w14:textFill>
            <w14:solidFill>
              <w14:schemeClr w14:val="tx1"/>
            </w14:solidFill>
          </w14:textFill>
        </w:rPr>
        <w:t>：（签字或盖章）</w:t>
      </w: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电话/传真：</w:t>
      </w: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地址：</w:t>
      </w:r>
    </w:p>
    <w:p>
      <w:pPr>
        <w:ind w:right="753" w:firstLine="1260" w:firstLineChars="450"/>
        <w:jc w:val="righ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年 月 日</w:t>
      </w:r>
    </w:p>
    <w:p>
      <w:pPr>
        <w:ind w:right="753" w:firstLine="1260" w:firstLineChars="450"/>
        <w:jc w:val="left"/>
        <w:rPr>
          <w:rFonts w:ascii="宋体" w:hAnsi="宋体" w:cs="宋体"/>
          <w:color w:val="000000" w:themeColor="text1"/>
          <w:sz w:val="28"/>
          <w:szCs w:val="28"/>
          <w14:textFill>
            <w14:solidFill>
              <w14:schemeClr w14:val="tx1"/>
            </w14:solidFill>
          </w14:textFill>
        </w:rPr>
      </w:pPr>
    </w:p>
    <w:p>
      <w:pPr>
        <w:ind w:right="753" w:firstLine="1260" w:firstLineChars="450"/>
        <w:jc w:val="left"/>
        <w:rPr>
          <w:rFonts w:ascii="宋体" w:hAnsi="宋体" w:cs="宋体"/>
          <w:color w:val="000000" w:themeColor="text1"/>
          <w:sz w:val="28"/>
          <w:szCs w:val="28"/>
          <w14:textFill>
            <w14:solidFill>
              <w14:schemeClr w14:val="tx1"/>
            </w14:solidFill>
          </w14:textFill>
        </w:rPr>
      </w:pPr>
    </w:p>
    <w:p>
      <w:pPr>
        <w:pStyle w:val="13"/>
        <w:rPr>
          <w:color w:val="000000" w:themeColor="text1"/>
          <w14:textFill>
            <w14:solidFill>
              <w14:schemeClr w14:val="tx1"/>
            </w14:solidFill>
          </w14:textFill>
        </w:rPr>
      </w:pPr>
      <w:bookmarkStart w:id="233" w:name="_Toc461525323"/>
      <w:bookmarkStart w:id="234" w:name="_Toc7849"/>
    </w:p>
    <w:p>
      <w:pPr>
        <w:keepNext/>
        <w:keepLines/>
        <w:spacing w:before="260" w:after="260" w:line="413" w:lineRule="auto"/>
        <w:jc w:val="center"/>
        <w:outlineLvl w:val="1"/>
        <w:rPr>
          <w:rFonts w:ascii="Arial" w:hAnsi="Arial"/>
          <w:color w:val="000000" w:themeColor="text1"/>
          <w:kern w:val="0"/>
          <w:sz w:val="28"/>
          <w:szCs w:val="20"/>
          <w14:textFill>
            <w14:solidFill>
              <w14:schemeClr w14:val="tx1"/>
            </w14:solidFill>
          </w14:textFill>
        </w:rPr>
      </w:pPr>
      <w:bookmarkStart w:id="235" w:name="_Toc7031"/>
      <w:bookmarkStart w:id="236" w:name="_Toc16191"/>
      <w:bookmarkStart w:id="237" w:name="_Toc28967"/>
      <w:bookmarkStart w:id="238" w:name="_Toc471482370"/>
      <w:bookmarkStart w:id="239" w:name="_Toc24695"/>
      <w:bookmarkStart w:id="240" w:name="_Toc29495"/>
      <w:bookmarkStart w:id="241" w:name="_Toc17090"/>
      <w:bookmarkStart w:id="242" w:name="_Toc7514"/>
      <w:bookmarkStart w:id="243" w:name="_Toc13042"/>
      <w:r>
        <w:rPr>
          <w:rFonts w:hint="eastAsia" w:ascii="Arial" w:hAnsi="Arial"/>
          <w:color w:val="000000" w:themeColor="text1"/>
          <w:kern w:val="0"/>
          <w:sz w:val="28"/>
          <w:szCs w:val="20"/>
          <w14:textFill>
            <w14:solidFill>
              <w14:schemeClr w14:val="tx1"/>
            </w14:solidFill>
          </w14:textFill>
        </w:rPr>
        <w:t>一、资格审查文件目录</w:t>
      </w:r>
    </w:p>
    <w:p>
      <w:pPr>
        <w:ind w:right="753" w:firstLine="240" w:firstLineChars="100"/>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诚信声明（原件）；</w:t>
      </w:r>
    </w:p>
    <w:p>
      <w:pPr>
        <w:ind w:right="753" w:firstLine="240" w:firstLineChars="100"/>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比选函（原件）；</w:t>
      </w:r>
    </w:p>
    <w:p>
      <w:pPr>
        <w:ind w:right="753" w:firstLine="240" w:firstLineChars="100"/>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律师事务所执业许可证（复印件加盖律所公章）；</w:t>
      </w:r>
    </w:p>
    <w:p>
      <w:pPr>
        <w:ind w:right="753" w:firstLine="240" w:firstLineChars="100"/>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律师事务所负责人身份证</w:t>
      </w:r>
      <w:r>
        <w:rPr>
          <w:rFonts w:hint="eastAsia" w:ascii="宋体" w:hAnsi="宋体" w:cs="宋体"/>
          <w:color w:val="000000" w:themeColor="text1"/>
          <w:sz w:val="24"/>
          <w14:textFill>
            <w14:solidFill>
              <w14:schemeClr w14:val="tx1"/>
            </w14:solidFill>
          </w14:textFill>
        </w:rPr>
        <w:t>明</w:t>
      </w:r>
      <w:r>
        <w:rPr>
          <w:rFonts w:ascii="宋体" w:hAnsi="宋体" w:cs="宋体"/>
          <w:color w:val="000000" w:themeColor="text1"/>
          <w:sz w:val="24"/>
          <w14:textFill>
            <w14:solidFill>
              <w14:schemeClr w14:val="tx1"/>
            </w14:solidFill>
          </w14:textFill>
        </w:rPr>
        <w:t>（复印件加盖律所公章）；</w:t>
      </w:r>
    </w:p>
    <w:p>
      <w:pPr>
        <w:ind w:right="753" w:firstLine="240" w:firstLineChars="100"/>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比选申请文件签署授权委托书（原件）</w:t>
      </w:r>
    </w:p>
    <w:p>
      <w:pPr>
        <w:ind w:right="753" w:firstLine="240" w:firstLineChars="100"/>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授权代表人身份证（复印件加盖单位公章）</w:t>
      </w:r>
    </w:p>
    <w:p>
      <w:pPr>
        <w:ind w:right="753" w:firstLine="240" w:firstLineChars="100"/>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其他。</w:t>
      </w:r>
    </w:p>
    <w:p>
      <w:pPr>
        <w:ind w:right="-21" w:firstLine="240" w:firstLineChars="1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备注：以上材料均需加盖单位公章，并按照目录顺序编排，标注页码</w:t>
      </w:r>
    </w:p>
    <w:bookmarkEnd w:id="233"/>
    <w:bookmarkEnd w:id="234"/>
    <w:bookmarkEnd w:id="235"/>
    <w:bookmarkEnd w:id="236"/>
    <w:bookmarkEnd w:id="237"/>
    <w:bookmarkEnd w:id="238"/>
    <w:bookmarkEnd w:id="239"/>
    <w:bookmarkEnd w:id="240"/>
    <w:bookmarkEnd w:id="241"/>
    <w:bookmarkEnd w:id="242"/>
    <w:bookmarkEnd w:id="243"/>
    <w:p>
      <w:pPr>
        <w:jc w:val="left"/>
        <w:rPr>
          <w:rFonts w:ascii="宋体" w:hAnsi="宋体" w:cs="宋体"/>
          <w:color w:val="000000" w:themeColor="text1"/>
          <w:szCs w:val="28"/>
          <w14:textFill>
            <w14:solidFill>
              <w14:schemeClr w14:val="tx1"/>
            </w14:solidFill>
          </w14:textFill>
        </w:rPr>
      </w:pPr>
    </w:p>
    <w:p>
      <w:pPr>
        <w:jc w:val="left"/>
        <w:rPr>
          <w:rFonts w:ascii="宋体" w:hAnsi="宋体" w:cs="宋体"/>
          <w:color w:val="000000" w:themeColor="text1"/>
          <w:szCs w:val="28"/>
          <w14:textFill>
            <w14:solidFill>
              <w14:schemeClr w14:val="tx1"/>
            </w14:solidFill>
          </w14:textFill>
        </w:rPr>
      </w:pPr>
    </w:p>
    <w:p>
      <w:pPr>
        <w:jc w:val="left"/>
        <w:rPr>
          <w:rFonts w:ascii="宋体" w:hAnsi="宋体" w:cs="宋体"/>
          <w:color w:val="000000" w:themeColor="text1"/>
          <w:szCs w:val="28"/>
          <w14:textFill>
            <w14:solidFill>
              <w14:schemeClr w14:val="tx1"/>
            </w14:solidFill>
          </w14:textFill>
        </w:rPr>
      </w:pPr>
    </w:p>
    <w:p>
      <w:pPr>
        <w:spacing w:line="560" w:lineRule="exact"/>
        <w:ind w:firstLine="420" w:firstLineChars="200"/>
        <w:jc w:val="left"/>
        <w:rPr>
          <w:rFonts w:ascii="宋体" w:hAnsi="宋体"/>
          <w:b/>
          <w:bCs/>
          <w:color w:val="000000" w:themeColor="text1"/>
          <w:sz w:val="28"/>
          <w:szCs w:val="28"/>
          <w14:textFill>
            <w14:solidFill>
              <w14:schemeClr w14:val="tx1"/>
            </w14:solidFill>
          </w14:textFill>
        </w:rPr>
      </w:pPr>
      <w:bookmarkStart w:id="244" w:name="_Toc461525324"/>
      <w:bookmarkStart w:id="245" w:name="_Toc1582"/>
      <w:bookmarkStart w:id="246" w:name="_Toc27423"/>
      <w:r>
        <w:rPr>
          <w:color w:val="000000" w:themeColor="text1"/>
          <w14:textFill>
            <w14:solidFill>
              <w14:schemeClr w14:val="tx1"/>
            </w14:solidFill>
          </w14:textFill>
        </w:rPr>
        <w:br w:type="page"/>
      </w:r>
      <w:bookmarkEnd w:id="244"/>
      <w:bookmarkEnd w:id="245"/>
      <w:bookmarkEnd w:id="246"/>
      <w:bookmarkStart w:id="247" w:name="_Toc32325"/>
      <w:bookmarkStart w:id="248" w:name="_Toc461525329"/>
      <w:bookmarkStart w:id="249" w:name="_Toc14714"/>
      <w:bookmarkStart w:id="250" w:name="_Toc26924"/>
      <w:bookmarkStart w:id="251" w:name="_Toc17531"/>
      <w:bookmarkStart w:id="252" w:name="_Toc15465"/>
      <w:bookmarkStart w:id="253" w:name="_Toc15071"/>
      <w:bookmarkStart w:id="254" w:name="_Toc18804"/>
      <w:bookmarkStart w:id="255" w:name="_Toc24466"/>
      <w:bookmarkStart w:id="256" w:name="_Toc29655"/>
      <w:bookmarkStart w:id="257" w:name="_Toc29347"/>
      <w:bookmarkStart w:id="258" w:name="_Toc30157"/>
      <w:r>
        <w:rPr>
          <w:rFonts w:hint="eastAsia" w:ascii="宋体" w:hAnsi="宋体"/>
          <w:b/>
          <w:bCs/>
          <w:color w:val="000000" w:themeColor="text1"/>
          <w:sz w:val="28"/>
          <w:szCs w:val="28"/>
          <w14:textFill>
            <w14:solidFill>
              <w14:schemeClr w14:val="tx1"/>
            </w14:solidFill>
          </w14:textFill>
        </w:rPr>
        <w:t>1.诚信声明</w:t>
      </w:r>
    </w:p>
    <w:p>
      <w:pPr>
        <w:spacing w:line="560" w:lineRule="exact"/>
        <w:ind w:firstLine="420" w:firstLineChars="200"/>
        <w:rPr>
          <w:rFonts w:ascii="宋体" w:hAnsi="宋体"/>
          <w:color w:val="000000" w:themeColor="text1"/>
          <w14:textFill>
            <w14:solidFill>
              <w14:schemeClr w14:val="tx1"/>
            </w14:solidFill>
          </w14:textFill>
        </w:rPr>
      </w:pPr>
    </w:p>
    <w:p>
      <w:pPr>
        <w:spacing w:line="360" w:lineRule="auto"/>
        <w:ind w:firstLine="470" w:firstLineChars="19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本人（法定代表人、身份证号码）郑重声明：</w:t>
      </w:r>
    </w:p>
    <w:p>
      <w:pPr>
        <w:spacing w:line="360" w:lineRule="auto"/>
        <w:ind w:firstLine="470" w:firstLineChars="19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（1）本律所参加</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采购项目比选活动所提交的所有资料、填写数据及所包含的附件资料内容是真实的、合法的、有效的；</w:t>
      </w:r>
    </w:p>
    <w:p>
      <w:pPr>
        <w:spacing w:line="360" w:lineRule="auto"/>
        <w:ind w:firstLine="470" w:firstLineChars="19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（2）本律所未被国家、广西壮族自治区、南宁市相关行政主管部门通报停止投标活动，无犯罪行贿记录；</w:t>
      </w:r>
    </w:p>
    <w:p>
      <w:pPr>
        <w:spacing w:line="360" w:lineRule="auto"/>
        <w:ind w:firstLine="470" w:firstLineChars="19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（3）同时，我在此所作的声明也是真实有效的，并愿意对在比选过程中有关部门的调查结果承担责任；</w:t>
      </w:r>
    </w:p>
    <w:p>
      <w:pPr>
        <w:spacing w:line="360" w:lineRule="auto"/>
        <w:ind w:firstLine="470" w:firstLineChars="19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（4）本律所提交的所有比选申请资料如有不实，愿接受相关部门依据有关法律法规给予的处罚。</w:t>
      </w:r>
    </w:p>
    <w:p>
      <w:pPr>
        <w:spacing w:line="360" w:lineRule="auto"/>
        <w:ind w:firstLine="470" w:firstLineChars="196"/>
        <w:rPr>
          <w:rFonts w:ascii="宋体" w:hAnsi="宋体"/>
          <w:color w:val="000000" w:themeColor="text1"/>
          <w:sz w:val="24"/>
          <w14:textFill>
            <w14:solidFill>
              <w14:schemeClr w14:val="tx1"/>
            </w14:solidFill>
          </w14:textFill>
        </w:rPr>
      </w:pPr>
    </w:p>
    <w:p>
      <w:pPr>
        <w:spacing w:line="360" w:lineRule="auto"/>
        <w:ind w:firstLine="470" w:firstLineChars="196"/>
        <w:rPr>
          <w:rFonts w:ascii="宋体" w:hAnsi="宋体"/>
          <w:color w:val="000000" w:themeColor="text1"/>
          <w:sz w:val="24"/>
          <w14:textFill>
            <w14:solidFill>
              <w14:schemeClr w14:val="tx1"/>
            </w14:solidFill>
          </w14:textFill>
        </w:rPr>
      </w:pPr>
    </w:p>
    <w:p>
      <w:pPr>
        <w:spacing w:line="360" w:lineRule="auto"/>
        <w:ind w:firstLine="470" w:firstLineChars="19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比选申请人（公章）</w:t>
      </w:r>
    </w:p>
    <w:p>
      <w:pPr>
        <w:spacing w:line="360" w:lineRule="auto"/>
        <w:ind w:firstLine="470" w:firstLineChars="196"/>
        <w:rPr>
          <w:rFonts w:ascii="宋体" w:hAnsi="宋体"/>
          <w:color w:val="000000" w:themeColor="text1"/>
          <w:sz w:val="24"/>
          <w14:textFill>
            <w14:solidFill>
              <w14:schemeClr w14:val="tx1"/>
            </w14:solidFill>
          </w14:textFill>
        </w:rPr>
      </w:pPr>
    </w:p>
    <w:p>
      <w:pPr>
        <w:spacing w:line="360" w:lineRule="auto"/>
        <w:ind w:firstLine="470" w:firstLineChars="19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负责人（签字或盖章）：</w:t>
      </w:r>
    </w:p>
    <w:p>
      <w:pPr>
        <w:spacing w:line="360" w:lineRule="auto"/>
        <w:ind w:firstLine="470" w:firstLineChars="196"/>
        <w:rPr>
          <w:rFonts w:ascii="宋体" w:hAnsi="宋体"/>
          <w:color w:val="000000" w:themeColor="text1"/>
          <w:sz w:val="24"/>
          <w14:textFill>
            <w14:solidFill>
              <w14:schemeClr w14:val="tx1"/>
            </w14:solidFill>
          </w14:textFill>
        </w:rPr>
      </w:pPr>
    </w:p>
    <w:p>
      <w:pPr>
        <w:spacing w:line="360" w:lineRule="auto"/>
        <w:ind w:firstLine="470" w:firstLineChars="196"/>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　　年   月  日</w:t>
      </w:r>
    </w:p>
    <w:p>
      <w:pPr>
        <w:spacing w:line="360" w:lineRule="auto"/>
        <w:ind w:firstLine="470" w:firstLineChars="196"/>
        <w:rPr>
          <w:color w:val="000000" w:themeColor="text1"/>
          <w:sz w:val="24"/>
          <w14:textFill>
            <w14:solidFill>
              <w14:schemeClr w14:val="tx1"/>
            </w14:solidFill>
          </w14:textFill>
        </w:rPr>
      </w:pPr>
    </w:p>
    <w:p>
      <w:pPr>
        <w:spacing w:line="360" w:lineRule="auto"/>
        <w:ind w:firstLine="470" w:firstLineChars="196"/>
        <w:rPr>
          <w:color w:val="000000" w:themeColor="text1"/>
          <w:sz w:val="24"/>
          <w14:textFill>
            <w14:solidFill>
              <w14:schemeClr w14:val="tx1"/>
            </w14:solidFill>
          </w14:textFill>
        </w:rPr>
      </w:pPr>
    </w:p>
    <w:p>
      <w:pPr>
        <w:spacing w:line="360" w:lineRule="auto"/>
        <w:ind w:firstLine="470" w:firstLineChars="196"/>
        <w:rPr>
          <w:color w:val="000000" w:themeColor="text1"/>
          <w:sz w:val="24"/>
          <w14:textFill>
            <w14:solidFill>
              <w14:schemeClr w14:val="tx1"/>
            </w14:solidFill>
          </w14:textFill>
        </w:rPr>
      </w:pPr>
    </w:p>
    <w:p>
      <w:pPr>
        <w:spacing w:line="360" w:lineRule="auto"/>
        <w:ind w:firstLine="470" w:firstLineChars="196"/>
        <w:rPr>
          <w:color w:val="000000" w:themeColor="text1"/>
          <w:sz w:val="24"/>
          <w14:textFill>
            <w14:solidFill>
              <w14:schemeClr w14:val="tx1"/>
            </w14:solidFill>
          </w14:textFill>
        </w:rPr>
      </w:pPr>
    </w:p>
    <w:p>
      <w:pPr>
        <w:spacing w:line="360" w:lineRule="auto"/>
        <w:ind w:firstLine="470" w:firstLineChars="196"/>
        <w:rPr>
          <w:color w:val="000000" w:themeColor="text1"/>
          <w:sz w:val="24"/>
          <w14:textFill>
            <w14:solidFill>
              <w14:schemeClr w14:val="tx1"/>
            </w14:solidFill>
          </w14:textFill>
        </w:rPr>
      </w:pPr>
    </w:p>
    <w:p>
      <w:pPr>
        <w:spacing w:line="360" w:lineRule="auto"/>
        <w:ind w:firstLine="470" w:firstLineChars="196"/>
        <w:rPr>
          <w:color w:val="000000" w:themeColor="text1"/>
          <w:sz w:val="24"/>
          <w14:textFill>
            <w14:solidFill>
              <w14:schemeClr w14:val="tx1"/>
            </w14:solidFill>
          </w14:textFill>
        </w:rPr>
      </w:pPr>
    </w:p>
    <w:p>
      <w:pPr>
        <w:spacing w:line="360" w:lineRule="auto"/>
        <w:ind w:firstLine="470" w:firstLineChars="196"/>
        <w:rPr>
          <w:color w:val="000000" w:themeColor="text1"/>
          <w:sz w:val="24"/>
          <w14:textFill>
            <w14:solidFill>
              <w14:schemeClr w14:val="tx1"/>
            </w14:solidFill>
          </w14:textFill>
        </w:rPr>
      </w:pPr>
    </w:p>
    <w:p>
      <w:pPr>
        <w:spacing w:line="360" w:lineRule="auto"/>
        <w:ind w:firstLine="470" w:firstLineChars="196"/>
        <w:rPr>
          <w:color w:val="000000" w:themeColor="text1"/>
          <w:sz w:val="24"/>
          <w14:textFill>
            <w14:solidFill>
              <w14:schemeClr w14:val="tx1"/>
            </w14:solidFill>
          </w14:textFill>
        </w:rPr>
      </w:pPr>
    </w:p>
    <w:p>
      <w:pPr>
        <w:spacing w:line="360" w:lineRule="auto"/>
        <w:ind w:firstLine="470" w:firstLineChars="196"/>
        <w:rPr>
          <w:color w:val="000000" w:themeColor="text1"/>
          <w:sz w:val="24"/>
          <w14:textFill>
            <w14:solidFill>
              <w14:schemeClr w14:val="tx1"/>
            </w14:solidFill>
          </w14:textFill>
        </w:rPr>
      </w:pPr>
    </w:p>
    <w:p>
      <w:pPr>
        <w:spacing w:line="360" w:lineRule="auto"/>
        <w:ind w:firstLine="470" w:firstLineChars="196"/>
        <w:rPr>
          <w:color w:val="000000" w:themeColor="text1"/>
          <w:sz w:val="24"/>
          <w14:textFill>
            <w14:solidFill>
              <w14:schemeClr w14:val="tx1"/>
            </w14:solidFill>
          </w14:textFill>
        </w:rPr>
      </w:pPr>
    </w:p>
    <w:bookmarkEnd w:id="247"/>
    <w:bookmarkEnd w:id="248"/>
    <w:bookmarkEnd w:id="249"/>
    <w:bookmarkEnd w:id="250"/>
    <w:bookmarkEnd w:id="251"/>
    <w:bookmarkEnd w:id="252"/>
    <w:bookmarkEnd w:id="253"/>
    <w:bookmarkEnd w:id="254"/>
    <w:bookmarkEnd w:id="255"/>
    <w:bookmarkEnd w:id="256"/>
    <w:bookmarkEnd w:id="257"/>
    <w:bookmarkEnd w:id="258"/>
    <w:p>
      <w:pPr>
        <w:pStyle w:val="5"/>
        <w:jc w:val="left"/>
        <w:rPr>
          <w:rFonts w:ascii="宋体" w:hAnsi="宋体"/>
          <w:b/>
          <w:bCs/>
          <w:color w:val="000000" w:themeColor="text1"/>
          <w:kern w:val="2"/>
          <w:szCs w:val="28"/>
          <w14:textFill>
            <w14:solidFill>
              <w14:schemeClr w14:val="tx1"/>
            </w14:solidFill>
          </w14:textFill>
        </w:rPr>
      </w:pPr>
      <w:bookmarkStart w:id="259" w:name="_Toc16756"/>
      <w:bookmarkStart w:id="260" w:name="_Toc25670"/>
      <w:bookmarkStart w:id="261" w:name="_Toc3498"/>
      <w:bookmarkStart w:id="262" w:name="_Toc750"/>
      <w:bookmarkStart w:id="263" w:name="_Toc6606"/>
      <w:bookmarkStart w:id="264" w:name="_Toc7760"/>
      <w:bookmarkStart w:id="265" w:name="_Toc32075"/>
      <w:bookmarkStart w:id="266" w:name="_Toc19937"/>
      <w:bookmarkStart w:id="267" w:name="_Toc28436"/>
      <w:r>
        <w:rPr>
          <w:rFonts w:ascii="宋体" w:hAnsi="宋体"/>
          <w:b/>
          <w:bCs/>
          <w:color w:val="000000" w:themeColor="text1"/>
          <w:kern w:val="2"/>
          <w:szCs w:val="28"/>
          <w14:textFill>
            <w14:solidFill>
              <w14:schemeClr w14:val="tx1"/>
            </w14:solidFill>
          </w14:textFill>
        </w:rPr>
        <w:t>2</w:t>
      </w:r>
      <w:r>
        <w:rPr>
          <w:rFonts w:hint="eastAsia" w:ascii="宋体" w:hAnsi="宋体"/>
          <w:b/>
          <w:bCs/>
          <w:color w:val="000000" w:themeColor="text1"/>
          <w:kern w:val="2"/>
          <w:szCs w:val="28"/>
          <w14:textFill>
            <w14:solidFill>
              <w14:schemeClr w14:val="tx1"/>
            </w14:solidFill>
          </w14:textFill>
        </w:rPr>
        <w:t>.比选函（格式）</w:t>
      </w:r>
    </w:p>
    <w:p>
      <w:pPr>
        <w:spacing w:line="360" w:lineRule="auto"/>
        <w:ind w:right="564" w:rightChars="269" w:firstLine="482"/>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致：</w:t>
      </w:r>
      <w:r>
        <w:rPr>
          <w:rFonts w:hint="eastAsia" w:ascii="宋体" w:hAnsi="宋体" w:cs="宋体"/>
          <w:color w:val="000000" w:themeColor="text1"/>
          <w:sz w:val="24"/>
          <w:lang w:eastAsia="zh-CN"/>
          <w14:textFill>
            <w14:solidFill>
              <w14:schemeClr w14:val="tx1"/>
            </w14:solidFill>
          </w14:textFill>
        </w:rPr>
        <w:t>南宁市金盾道路清障有限责任公司</w:t>
      </w:r>
    </w:p>
    <w:p>
      <w:pPr>
        <w:spacing w:line="360" w:lineRule="auto"/>
        <w:ind w:right="-21" w:rightChars="-10" w:firstLine="482"/>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根据贵方提供的</w:t>
      </w:r>
      <w:r>
        <w:rPr>
          <w:rFonts w:hint="eastAsia" w:ascii="宋体" w:hAnsi="宋体" w:cs="宋体"/>
          <w:color w:val="000000" w:themeColor="text1"/>
          <w:sz w:val="24"/>
          <w:lang w:eastAsia="zh-CN"/>
          <w14:textFill>
            <w14:solidFill>
              <w14:schemeClr w14:val="tx1"/>
            </w14:solidFill>
          </w14:textFill>
        </w:rPr>
        <w:t>南宁市金盾道路清障有限责任公司</w:t>
      </w:r>
      <w:r>
        <w:rPr>
          <w:rFonts w:hint="eastAsia" w:ascii="宋体" w:hAnsi="宋体" w:cs="宋体"/>
          <w:color w:val="000000" w:themeColor="text1"/>
          <w:sz w:val="24"/>
          <w:lang w:val="en-US" w:eastAsia="zh-CN"/>
          <w14:textFill>
            <w14:solidFill>
              <w14:schemeClr w14:val="tx1"/>
            </w14:solidFill>
          </w14:textFill>
        </w:rPr>
        <w:t>2024年</w:t>
      </w:r>
      <w:r>
        <w:rPr>
          <w:rFonts w:hint="eastAsia" w:ascii="宋体" w:hAnsi="宋体" w:cs="宋体"/>
          <w:color w:val="000000" w:themeColor="text1"/>
          <w:sz w:val="24"/>
          <w14:textFill>
            <w14:solidFill>
              <w14:schemeClr w14:val="tx1"/>
            </w14:solidFill>
          </w14:textFill>
        </w:rPr>
        <w:t>常年</w:t>
      </w:r>
      <w:r>
        <w:rPr>
          <w:rFonts w:ascii="宋体" w:hAnsi="宋体" w:cs="宋体"/>
          <w:color w:val="000000" w:themeColor="text1"/>
          <w:sz w:val="24"/>
          <w14:textFill>
            <w14:solidFill>
              <w14:schemeClr w14:val="tx1"/>
            </w14:solidFill>
          </w14:textFill>
        </w:rPr>
        <w:t>法律顾问比选文件，我方正式授权下述签字人（姓名和职务）全权代表我方（比选申请人全称）参加贵方组织的有关比选活动，并提交下述文件：</w:t>
      </w:r>
    </w:p>
    <w:p>
      <w:pPr>
        <w:spacing w:line="360" w:lineRule="auto"/>
        <w:ind w:right="564" w:rightChars="269"/>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一、资格审查文件正本一份，副本</w:t>
      </w:r>
      <w:r>
        <w:rPr>
          <w:rFonts w:hint="eastAsia" w:ascii="宋体" w:hAnsi="宋体" w:cs="宋体"/>
          <w:color w:val="000000" w:themeColor="text1"/>
          <w:sz w:val="24"/>
          <w14:textFill>
            <w14:solidFill>
              <w14:schemeClr w14:val="tx1"/>
            </w14:solidFill>
          </w14:textFill>
        </w:rPr>
        <w:t>四</w:t>
      </w:r>
      <w:r>
        <w:rPr>
          <w:rFonts w:ascii="宋体" w:hAnsi="宋体" w:cs="宋体"/>
          <w:color w:val="000000" w:themeColor="text1"/>
          <w:sz w:val="24"/>
          <w14:textFill>
            <w14:solidFill>
              <w14:schemeClr w14:val="tx1"/>
            </w14:solidFill>
          </w14:textFill>
        </w:rPr>
        <w:t>份</w:t>
      </w:r>
    </w:p>
    <w:p>
      <w:pPr>
        <w:spacing w:line="360" w:lineRule="auto"/>
        <w:ind w:right="564" w:rightChars="269"/>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二、商务部</w:t>
      </w:r>
      <w:r>
        <w:rPr>
          <w:rFonts w:hint="eastAsia" w:ascii="宋体" w:hAnsi="宋体" w:cs="宋体"/>
          <w:color w:val="000000" w:themeColor="text1"/>
          <w:sz w:val="24"/>
          <w14:textFill>
            <w14:solidFill>
              <w14:schemeClr w14:val="tx1"/>
            </w14:solidFill>
          </w14:textFill>
        </w:rPr>
        <w:t>分文件正本一份，副本四份</w:t>
      </w:r>
    </w:p>
    <w:p>
      <w:pPr>
        <w:spacing w:line="360" w:lineRule="auto"/>
        <w:ind w:right="564" w:rightChars="269"/>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三、技术部分文件正本一份，副本四份</w:t>
      </w:r>
    </w:p>
    <w:p>
      <w:pPr>
        <w:spacing w:line="360" w:lineRule="auto"/>
        <w:ind w:right="564" w:rightChars="269" w:firstLine="420"/>
        <w:jc w:val="left"/>
        <w:rPr>
          <w:rFonts w:ascii="宋体" w:hAnsi="宋体" w:cs="宋体"/>
          <w:color w:val="000000" w:themeColor="text1"/>
          <w:sz w:val="24"/>
          <w14:textFill>
            <w14:solidFill>
              <w14:schemeClr w14:val="tx1"/>
            </w14:solidFill>
          </w14:textFill>
        </w:rPr>
      </w:pPr>
    </w:p>
    <w:p>
      <w:pPr>
        <w:spacing w:line="360" w:lineRule="auto"/>
        <w:ind w:right="564" w:rightChars="269" w:firstLine="420"/>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据此函，签字</w:t>
      </w:r>
      <w:r>
        <w:rPr>
          <w:rFonts w:hint="eastAsia" w:ascii="宋体" w:hAnsi="宋体" w:cs="宋体"/>
          <w:color w:val="000000" w:themeColor="text1"/>
          <w:sz w:val="24"/>
          <w14:textFill>
            <w14:solidFill>
              <w14:schemeClr w14:val="tx1"/>
            </w14:solidFill>
          </w14:textFill>
        </w:rPr>
        <w:t>人兹宣布同意如下：</w:t>
      </w:r>
    </w:p>
    <w:p>
      <w:pPr>
        <w:spacing w:line="360" w:lineRule="auto"/>
        <w:ind w:right="-21" w:rightChars="-10"/>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1</w:t>
      </w:r>
      <w:r>
        <w:rPr>
          <w:rFonts w:hint="eastAsia" w:ascii="宋体" w:hAnsi="宋体" w:cs="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我方同意在比选申请人须知规定的提交比选申请文件截止日期起遵循本比选文件，并在比选申请文件有效期满之前均具有约束力，并有可能中选</w:t>
      </w:r>
      <w:r>
        <w:rPr>
          <w:rFonts w:hint="eastAsia" w:ascii="宋体" w:hAnsi="宋体" w:cs="宋体"/>
          <w:color w:val="000000" w:themeColor="text1"/>
          <w:sz w:val="24"/>
          <w14:textFill>
            <w14:solidFill>
              <w14:schemeClr w14:val="tx1"/>
            </w14:solidFill>
          </w14:textFill>
        </w:rPr>
        <w:t>。</w:t>
      </w:r>
    </w:p>
    <w:p>
      <w:pPr>
        <w:spacing w:line="360" w:lineRule="auto"/>
        <w:ind w:right="-21" w:rightChars="-10"/>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2</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我方承诺已经具备比选申请人应当具备的条件：</w:t>
      </w:r>
    </w:p>
    <w:p>
      <w:pPr>
        <w:spacing w:line="360" w:lineRule="auto"/>
        <w:ind w:right="564" w:rightChars="269"/>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（1）具有独立承担民事责任的能力；</w:t>
      </w:r>
    </w:p>
    <w:p>
      <w:pPr>
        <w:spacing w:line="360" w:lineRule="auto"/>
        <w:ind w:right="564" w:rightChars="269"/>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（2）具有良好的商业信誉和健全的财务会计制度；</w:t>
      </w:r>
    </w:p>
    <w:p>
      <w:pPr>
        <w:spacing w:line="360" w:lineRule="auto"/>
        <w:ind w:right="564" w:rightChars="269"/>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（3）具有履行合同所必需的设备和专业技术能力；</w:t>
      </w:r>
    </w:p>
    <w:p>
      <w:pPr>
        <w:spacing w:line="360" w:lineRule="auto"/>
        <w:ind w:right="564" w:rightChars="269"/>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（4）有依法缴纳税收和社会保障资金的良好记录；</w:t>
      </w:r>
    </w:p>
    <w:p>
      <w:pPr>
        <w:spacing w:line="360" w:lineRule="auto"/>
        <w:ind w:right="-21" w:rightChars="-10"/>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（5）参加此项比选活动前三年内，</w:t>
      </w:r>
      <w:r>
        <w:rPr>
          <w:rFonts w:hint="eastAsia" w:ascii="宋体" w:hAnsi="宋体" w:cs="宋体"/>
          <w:color w:val="000000" w:themeColor="text1"/>
          <w:sz w:val="24"/>
          <w14:textFill>
            <w14:solidFill>
              <w14:schemeClr w14:val="tx1"/>
            </w14:solidFill>
          </w14:textFill>
        </w:rPr>
        <w:t>没有受到行政处罚或行业处分</w:t>
      </w:r>
      <w:r>
        <w:rPr>
          <w:rFonts w:ascii="宋体" w:hAnsi="宋体" w:cs="宋体"/>
          <w:color w:val="000000" w:themeColor="text1"/>
          <w:sz w:val="24"/>
          <w14:textFill>
            <w14:solidFill>
              <w14:schemeClr w14:val="tx1"/>
            </w14:solidFill>
          </w14:textFill>
        </w:rPr>
        <w:t>。</w:t>
      </w:r>
    </w:p>
    <w:p>
      <w:pPr>
        <w:spacing w:line="360" w:lineRule="auto"/>
        <w:ind w:right="-21" w:rightChars="-1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我方根据比选文件的规定，承担完成合同的责任和义务。</w:t>
      </w:r>
    </w:p>
    <w:p>
      <w:pPr>
        <w:spacing w:line="360" w:lineRule="auto"/>
        <w:ind w:right="-21" w:rightChars="-10" w:firstLine="480" w:firstLineChars="200"/>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我方已详细对照比选文件，我方知道必须放弃提出含糊不清或误解问题的权利</w:t>
      </w:r>
    </w:p>
    <w:p>
      <w:pPr>
        <w:spacing w:line="360" w:lineRule="auto"/>
        <w:ind w:right="-21" w:rightChars="-10"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r>
        <w:rPr>
          <w:rFonts w:ascii="宋体" w:hAnsi="宋体" w:cs="宋体"/>
          <w:color w:val="000000" w:themeColor="text1"/>
          <w:sz w:val="24"/>
          <w14:textFill>
            <w14:solidFill>
              <w14:schemeClr w14:val="tx1"/>
            </w14:solidFill>
          </w14:textFill>
        </w:rPr>
        <w:t>同意应贵方要求提供与本比选项目有关的任何数据或资料。</w:t>
      </w:r>
    </w:p>
    <w:p>
      <w:pPr>
        <w:spacing w:line="360" w:lineRule="auto"/>
        <w:ind w:right="-21" w:rightChars="-10" w:firstLine="480" w:firstLineChars="200"/>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若贵方需要，我方愿意提供我方</w:t>
      </w:r>
      <w:r>
        <w:rPr>
          <w:rFonts w:hint="eastAsia" w:ascii="宋体" w:hAnsi="宋体" w:cs="宋体"/>
          <w:color w:val="000000" w:themeColor="text1"/>
          <w:sz w:val="24"/>
          <w14:textFill>
            <w14:solidFill>
              <w14:schemeClr w14:val="tx1"/>
            </w14:solidFill>
          </w14:textFill>
        </w:rPr>
        <w:t>作出的一切承诺的证明材料。</w:t>
      </w:r>
    </w:p>
    <w:p>
      <w:pPr>
        <w:spacing w:line="360" w:lineRule="auto"/>
        <w:ind w:right="-21" w:rightChars="-10" w:firstLine="480" w:firstLineChars="200"/>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我方将严格遵守规定，我方有下列情形之一的，将接受贵方列入不良行为记录名单、追究法律责任等处罚：</w:t>
      </w:r>
    </w:p>
    <w:p>
      <w:pPr>
        <w:spacing w:line="360" w:lineRule="auto"/>
        <w:ind w:right="564" w:rightChars="269"/>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1）提供虚假材料谋取中选、成交的；</w:t>
      </w:r>
    </w:p>
    <w:p>
      <w:pPr>
        <w:spacing w:line="360" w:lineRule="auto"/>
        <w:ind w:right="564" w:rightChars="269"/>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（2）采取不正当手段诋毁、排挤其他比选申请人的；</w:t>
      </w:r>
    </w:p>
    <w:p>
      <w:pPr>
        <w:spacing w:line="360" w:lineRule="auto"/>
        <w:ind w:right="564" w:rightChars="269"/>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（3）与其他比选申请人恶意串通的；</w:t>
      </w:r>
    </w:p>
    <w:p>
      <w:pPr>
        <w:spacing w:line="360" w:lineRule="auto"/>
        <w:ind w:right="564" w:rightChars="269"/>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（4）向比选人行贿或者提供其他不正当利益的；</w:t>
      </w:r>
    </w:p>
    <w:p>
      <w:pPr>
        <w:spacing w:line="360" w:lineRule="auto"/>
        <w:ind w:right="564" w:rightChars="269"/>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（5）拒绝有关部门监督检查或提供虚假情况的。</w:t>
      </w:r>
    </w:p>
    <w:p>
      <w:pPr>
        <w:spacing w:line="360" w:lineRule="auto"/>
        <w:ind w:right="564" w:rightChars="269" w:firstLine="42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与本比选活动有关的正式通讯地址为：</w:t>
      </w:r>
    </w:p>
    <w:p>
      <w:pPr>
        <w:spacing w:line="360" w:lineRule="auto"/>
        <w:ind w:right="564" w:rightChars="269" w:firstLine="42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r>
        <w:rPr>
          <w:rFonts w:ascii="宋体" w:hAnsi="宋体" w:cs="宋体"/>
          <w:color w:val="000000" w:themeColor="text1"/>
          <w:sz w:val="24"/>
          <w14:textFill>
            <w14:solidFill>
              <w14:schemeClr w14:val="tx1"/>
            </w14:solidFill>
          </w14:textFill>
        </w:rPr>
        <w:t>邮政编码：</w:t>
      </w:r>
    </w:p>
    <w:p>
      <w:pPr>
        <w:spacing w:line="360" w:lineRule="auto"/>
        <w:ind w:right="564" w:rightChars="269" w:firstLine="42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电话：</w:t>
      </w:r>
      <w:r>
        <w:rPr>
          <w:rFonts w:ascii="宋体" w:hAnsi="宋体" w:cs="宋体"/>
          <w:color w:val="000000" w:themeColor="text1"/>
          <w:sz w:val="24"/>
          <w14:textFill>
            <w14:solidFill>
              <w14:schemeClr w14:val="tx1"/>
            </w14:solidFill>
          </w14:textFill>
        </w:rPr>
        <w:t>　　　　　　　　　</w:t>
      </w:r>
    </w:p>
    <w:p>
      <w:pPr>
        <w:spacing w:line="360" w:lineRule="auto"/>
        <w:ind w:right="564" w:rightChars="269" w:firstLine="42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传真：　　　　　　　　　　　　　　　　　　　　　　　　　　　　</w:t>
      </w:r>
    </w:p>
    <w:p>
      <w:pPr>
        <w:spacing w:line="360" w:lineRule="auto"/>
        <w:ind w:right="564" w:rightChars="269" w:firstLine="42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开户名称：</w:t>
      </w:r>
    </w:p>
    <w:p>
      <w:pPr>
        <w:spacing w:line="360" w:lineRule="auto"/>
        <w:ind w:right="564" w:rightChars="269" w:firstLine="42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w:t>
      </w:r>
    </w:p>
    <w:p>
      <w:pPr>
        <w:spacing w:line="360" w:lineRule="auto"/>
        <w:ind w:right="564" w:rightChars="269" w:firstLine="42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帐</w:t>
      </w:r>
      <w:r>
        <w:rPr>
          <w:rFonts w:ascii="宋体" w:hAnsi="宋体" w:cs="宋体"/>
          <w:color w:val="000000" w:themeColor="text1"/>
          <w:sz w:val="24"/>
          <w14:textFill>
            <w14:solidFill>
              <w14:schemeClr w14:val="tx1"/>
            </w14:solidFill>
          </w14:textFill>
        </w:rPr>
        <w:t>号：</w:t>
      </w:r>
    </w:p>
    <w:p>
      <w:pPr>
        <w:spacing w:line="360" w:lineRule="auto"/>
        <w:ind w:right="564" w:rightChars="269" w:firstLine="42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负责人或其委托代理人（签名或盖章）：</w:t>
      </w:r>
    </w:p>
    <w:p>
      <w:pPr>
        <w:spacing w:line="360" w:lineRule="auto"/>
        <w:ind w:right="564" w:rightChars="269" w:firstLine="42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比选申请人盖公章：</w:t>
      </w:r>
    </w:p>
    <w:p>
      <w:pPr>
        <w:spacing w:line="360" w:lineRule="auto"/>
        <w:ind w:right="564" w:rightChars="269" w:firstLine="960" w:firstLineChars="400"/>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 xml:space="preserve">  </w:t>
      </w:r>
      <w:r>
        <w:rPr>
          <w:rFonts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lang w:val="en-US" w:eastAsia="zh-CN"/>
          <w14:textFill>
            <w14:solidFill>
              <w14:schemeClr w14:val="tx1"/>
            </w14:solidFill>
          </w14:textFill>
        </w:rPr>
        <w:t xml:space="preserve">   </w:t>
      </w:r>
      <w:r>
        <w:rPr>
          <w:rFonts w:ascii="宋体" w:hAnsi="宋体" w:cs="宋体"/>
          <w:color w:val="000000" w:themeColor="text1"/>
          <w:sz w:val="24"/>
          <w14:textFill>
            <w14:solidFill>
              <w14:schemeClr w14:val="tx1"/>
            </w14:solidFill>
          </w14:textFill>
        </w:rPr>
        <w:t>日</w:t>
      </w:r>
    </w:p>
    <w:p>
      <w:pPr>
        <w:spacing w:line="360" w:lineRule="auto"/>
        <w:ind w:right="-21" w:rightChars="-1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注：未按照本比选函的格式要求填写比选函的，将视为不满</w:t>
      </w:r>
      <w:bookmarkStart w:id="268" w:name="_Toc1460"/>
      <w:r>
        <w:rPr>
          <w:rFonts w:hint="eastAsia" w:ascii="宋体" w:hAnsi="宋体" w:cs="宋体"/>
          <w:color w:val="000000" w:themeColor="text1"/>
          <w:sz w:val="24"/>
          <w14:textFill>
            <w14:solidFill>
              <w14:schemeClr w14:val="tx1"/>
            </w14:solidFill>
          </w14:textFill>
        </w:rPr>
        <w:t>足比选文</w:t>
      </w:r>
      <w:bookmarkEnd w:id="268"/>
      <w:r>
        <w:rPr>
          <w:rFonts w:hint="eastAsia" w:ascii="宋体" w:hAnsi="宋体" w:cs="宋体"/>
          <w:color w:val="000000" w:themeColor="text1"/>
          <w:sz w:val="24"/>
          <w14:textFill>
            <w14:solidFill>
              <w14:schemeClr w14:val="tx1"/>
            </w14:solidFill>
          </w14:textFill>
        </w:rPr>
        <w:t>件要求，从而导致该比选申请人竞选无效。</w:t>
      </w:r>
    </w:p>
    <w:p>
      <w:pPr>
        <w:jc w:val="center"/>
        <w:rPr>
          <w:rFonts w:ascii="宋体" w:hAnsi="宋体"/>
          <w:b/>
          <w:color w:val="000000" w:themeColor="text1"/>
          <w:kern w:val="0"/>
          <w:sz w:val="30"/>
          <w:szCs w:val="30"/>
          <w14:textFill>
            <w14:solidFill>
              <w14:schemeClr w14:val="tx1"/>
            </w14:solidFill>
          </w14:textFill>
        </w:rPr>
      </w:pPr>
    </w:p>
    <w:p>
      <w:pPr>
        <w:jc w:val="center"/>
        <w:rPr>
          <w:rFonts w:ascii="宋体" w:hAnsi="宋体"/>
          <w:b/>
          <w:color w:val="000000" w:themeColor="text1"/>
          <w:kern w:val="0"/>
          <w:sz w:val="30"/>
          <w:szCs w:val="30"/>
          <w14:textFill>
            <w14:solidFill>
              <w14:schemeClr w14:val="tx1"/>
            </w14:solidFill>
          </w14:textFill>
        </w:rPr>
      </w:pPr>
    </w:p>
    <w:p>
      <w:pPr>
        <w:jc w:val="center"/>
        <w:rPr>
          <w:rFonts w:ascii="宋体" w:hAnsi="宋体"/>
          <w:b/>
          <w:color w:val="000000" w:themeColor="text1"/>
          <w:kern w:val="0"/>
          <w:sz w:val="30"/>
          <w:szCs w:val="30"/>
          <w14:textFill>
            <w14:solidFill>
              <w14:schemeClr w14:val="tx1"/>
            </w14:solidFill>
          </w14:textFill>
        </w:rPr>
      </w:pPr>
    </w:p>
    <w:p>
      <w:pPr>
        <w:jc w:val="center"/>
        <w:rPr>
          <w:rFonts w:ascii="宋体" w:hAnsi="宋体"/>
          <w:b/>
          <w:color w:val="000000" w:themeColor="text1"/>
          <w:kern w:val="0"/>
          <w:sz w:val="30"/>
          <w:szCs w:val="30"/>
          <w14:textFill>
            <w14:solidFill>
              <w14:schemeClr w14:val="tx1"/>
            </w14:solidFill>
          </w14:textFill>
        </w:rPr>
      </w:pPr>
    </w:p>
    <w:p>
      <w:pPr>
        <w:jc w:val="center"/>
        <w:rPr>
          <w:rFonts w:ascii="宋体" w:hAnsi="宋体"/>
          <w:b/>
          <w:color w:val="000000" w:themeColor="text1"/>
          <w:kern w:val="0"/>
          <w:sz w:val="30"/>
          <w:szCs w:val="30"/>
          <w14:textFill>
            <w14:solidFill>
              <w14:schemeClr w14:val="tx1"/>
            </w14:solidFill>
          </w14:textFill>
        </w:rPr>
      </w:pPr>
    </w:p>
    <w:p>
      <w:pPr>
        <w:jc w:val="center"/>
        <w:rPr>
          <w:rFonts w:ascii="宋体" w:hAnsi="宋体"/>
          <w:b/>
          <w:color w:val="000000" w:themeColor="text1"/>
          <w:kern w:val="0"/>
          <w:sz w:val="30"/>
          <w:szCs w:val="30"/>
          <w14:textFill>
            <w14:solidFill>
              <w14:schemeClr w14:val="tx1"/>
            </w14:solidFill>
          </w14:textFill>
        </w:rPr>
      </w:pPr>
    </w:p>
    <w:p>
      <w:pPr>
        <w:jc w:val="center"/>
        <w:rPr>
          <w:rFonts w:ascii="宋体" w:hAnsi="宋体"/>
          <w:b/>
          <w:color w:val="000000" w:themeColor="text1"/>
          <w:kern w:val="0"/>
          <w:sz w:val="30"/>
          <w:szCs w:val="30"/>
          <w14:textFill>
            <w14:solidFill>
              <w14:schemeClr w14:val="tx1"/>
            </w14:solidFill>
          </w14:textFill>
        </w:rPr>
      </w:pPr>
    </w:p>
    <w:p>
      <w:pPr>
        <w:jc w:val="center"/>
        <w:rPr>
          <w:rFonts w:ascii="宋体" w:hAnsi="宋体"/>
          <w:b/>
          <w:color w:val="000000" w:themeColor="text1"/>
          <w:kern w:val="0"/>
          <w:sz w:val="30"/>
          <w:szCs w:val="30"/>
          <w14:textFill>
            <w14:solidFill>
              <w14:schemeClr w14:val="tx1"/>
            </w14:solidFill>
          </w14:textFill>
        </w:rPr>
      </w:pPr>
    </w:p>
    <w:p>
      <w:pPr>
        <w:jc w:val="center"/>
        <w:rPr>
          <w:rFonts w:ascii="宋体" w:hAnsi="宋体"/>
          <w:b/>
          <w:color w:val="000000" w:themeColor="text1"/>
          <w:kern w:val="0"/>
          <w:sz w:val="30"/>
          <w:szCs w:val="30"/>
          <w14:textFill>
            <w14:solidFill>
              <w14:schemeClr w14:val="tx1"/>
            </w14:solidFill>
          </w14:textFill>
        </w:rPr>
      </w:pPr>
    </w:p>
    <w:p>
      <w:pPr>
        <w:jc w:val="center"/>
        <w:rPr>
          <w:rFonts w:ascii="宋体" w:hAnsi="宋体"/>
          <w:b/>
          <w:color w:val="000000" w:themeColor="text1"/>
          <w:kern w:val="0"/>
          <w:sz w:val="30"/>
          <w:szCs w:val="30"/>
          <w14:textFill>
            <w14:solidFill>
              <w14:schemeClr w14:val="tx1"/>
            </w14:solidFill>
          </w14:textFill>
        </w:rPr>
      </w:pPr>
    </w:p>
    <w:p>
      <w:pPr>
        <w:jc w:val="center"/>
        <w:rPr>
          <w:rFonts w:ascii="宋体" w:hAnsi="宋体"/>
          <w:b/>
          <w:color w:val="000000" w:themeColor="text1"/>
          <w:kern w:val="0"/>
          <w:sz w:val="30"/>
          <w:szCs w:val="30"/>
          <w14:textFill>
            <w14:solidFill>
              <w14:schemeClr w14:val="tx1"/>
            </w14:solidFill>
          </w14:textFill>
        </w:rPr>
      </w:pPr>
    </w:p>
    <w:p>
      <w:pPr>
        <w:jc w:val="center"/>
        <w:rPr>
          <w:rFonts w:ascii="宋体" w:hAnsi="宋体"/>
          <w:b/>
          <w:color w:val="000000" w:themeColor="text1"/>
          <w:kern w:val="0"/>
          <w:sz w:val="30"/>
          <w:szCs w:val="30"/>
          <w14:textFill>
            <w14:solidFill>
              <w14:schemeClr w14:val="tx1"/>
            </w14:solidFill>
          </w14:textFill>
        </w:rPr>
      </w:pPr>
    </w:p>
    <w:bookmarkEnd w:id="259"/>
    <w:bookmarkEnd w:id="260"/>
    <w:bookmarkEnd w:id="261"/>
    <w:bookmarkEnd w:id="262"/>
    <w:bookmarkEnd w:id="263"/>
    <w:bookmarkEnd w:id="264"/>
    <w:bookmarkEnd w:id="265"/>
    <w:bookmarkEnd w:id="266"/>
    <w:bookmarkEnd w:id="267"/>
    <w:p>
      <w:pPr>
        <w:pStyle w:val="5"/>
        <w:ind w:right="753" w:firstLine="280" w:firstLineChars="100"/>
        <w:jc w:val="left"/>
        <w:rPr>
          <w:rFonts w:ascii="宋体" w:hAnsi="宋体" w:cs="宋体"/>
          <w:b/>
          <w:bCs/>
          <w:color w:val="000000" w:themeColor="text1"/>
          <w:szCs w:val="28"/>
          <w14:textFill>
            <w14:solidFill>
              <w14:schemeClr w14:val="tx1"/>
            </w14:solidFill>
          </w14:textFill>
        </w:rPr>
      </w:pPr>
      <w:r>
        <w:rPr>
          <w:rFonts w:ascii="宋体" w:hAnsi="宋体" w:cs="宋体"/>
          <w:b/>
          <w:bCs/>
          <w:color w:val="000000" w:themeColor="text1"/>
          <w:kern w:val="2"/>
          <w:szCs w:val="28"/>
          <w14:textFill>
            <w14:solidFill>
              <w14:schemeClr w14:val="tx1"/>
            </w14:solidFill>
          </w14:textFill>
        </w:rPr>
        <w:t>3.</w:t>
      </w:r>
      <w:r>
        <w:rPr>
          <w:rFonts w:hint="eastAsia" w:ascii="宋体" w:hAnsi="宋体" w:cs="宋体"/>
          <w:b/>
          <w:bCs/>
          <w:color w:val="000000" w:themeColor="text1"/>
          <w:kern w:val="2"/>
          <w:szCs w:val="28"/>
          <w14:textFill>
            <w14:solidFill>
              <w14:schemeClr w14:val="tx1"/>
            </w14:solidFill>
          </w14:textFill>
        </w:rPr>
        <w:t>律师事务所执业许可证（复印件加盖律所公章）</w:t>
      </w:r>
    </w:p>
    <w:p>
      <w:pPr>
        <w:pStyle w:val="5"/>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ind w:right="753" w:firstLine="420"/>
        <w:jc w:val="left"/>
        <w:rPr>
          <w:rFonts w:ascii="宋体" w:hAnsi="宋体"/>
          <w:b/>
          <w:bCs/>
          <w:color w:val="000000" w:themeColor="text1"/>
          <w:sz w:val="28"/>
          <w:szCs w:val="28"/>
          <w14:textFill>
            <w14:solidFill>
              <w14:schemeClr w14:val="tx1"/>
            </w14:solidFill>
          </w14:textFill>
        </w:rPr>
      </w:pPr>
      <w:r>
        <w:rPr>
          <w:rFonts w:ascii="宋体" w:hAnsi="宋体"/>
          <w:b/>
          <w:bCs/>
          <w:color w:val="000000" w:themeColor="text1"/>
          <w:sz w:val="28"/>
          <w:szCs w:val="28"/>
          <w14:textFill>
            <w14:solidFill>
              <w14:schemeClr w14:val="tx1"/>
            </w14:solidFill>
          </w14:textFill>
        </w:rPr>
        <w:t>4.</w:t>
      </w:r>
      <w:r>
        <w:rPr>
          <w:rFonts w:hint="eastAsia" w:ascii="宋体" w:hAnsi="宋体"/>
          <w:b/>
          <w:bCs/>
          <w:color w:val="000000" w:themeColor="text1"/>
          <w:sz w:val="28"/>
          <w:szCs w:val="28"/>
          <w14:textFill>
            <w14:solidFill>
              <w14:schemeClr w14:val="tx1"/>
            </w14:solidFill>
          </w14:textFill>
        </w:rPr>
        <w:t>律师事务所负责人身份证明（复印件加盖律所公章）</w:t>
      </w:r>
    </w:p>
    <w:p>
      <w:pPr>
        <w:autoSpaceDE w:val="0"/>
        <w:autoSpaceDN w:val="0"/>
        <w:adjustRightInd w:val="0"/>
        <w:spacing w:line="480" w:lineRule="auto"/>
        <w:jc w:val="center"/>
        <w:rPr>
          <w:rFonts w:ascii="宋体" w:hAnsi="宋体"/>
          <w:b/>
          <w:bCs/>
          <w:color w:val="000000" w:themeColor="text1"/>
          <w:sz w:val="28"/>
          <w:szCs w:val="28"/>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pStyle w:val="5"/>
        <w:numPr>
          <w:ilvl w:val="0"/>
          <w:numId w:val="2"/>
        </w:numPr>
        <w:jc w:val="left"/>
        <w:rPr>
          <w:rFonts w:ascii="宋体" w:hAnsi="宋体"/>
          <w:b/>
          <w:bCs/>
          <w:color w:val="000000" w:themeColor="text1"/>
          <w:kern w:val="2"/>
          <w:szCs w:val="28"/>
          <w14:textFill>
            <w14:solidFill>
              <w14:schemeClr w14:val="tx1"/>
            </w14:solidFill>
          </w14:textFill>
        </w:rPr>
      </w:pPr>
      <w:bookmarkStart w:id="269" w:name="_Toc20164"/>
      <w:bookmarkStart w:id="270" w:name="_Toc21578"/>
      <w:bookmarkStart w:id="271" w:name="_Toc14553"/>
      <w:bookmarkStart w:id="272" w:name="_Toc461525326"/>
      <w:bookmarkStart w:id="273" w:name="_Toc16140"/>
      <w:bookmarkStart w:id="274" w:name="_Toc27593"/>
      <w:bookmarkStart w:id="275" w:name="_Toc2861"/>
      <w:bookmarkStart w:id="276" w:name="_Toc32606"/>
      <w:bookmarkStart w:id="277" w:name="_Toc31680"/>
      <w:bookmarkStart w:id="278" w:name="_Toc15718"/>
      <w:bookmarkStart w:id="279" w:name="_Toc24923"/>
      <w:bookmarkStart w:id="280" w:name="_Toc12228"/>
      <w:r>
        <w:rPr>
          <w:rFonts w:hint="eastAsia" w:ascii="宋体" w:hAnsi="宋体"/>
          <w:b/>
          <w:bCs/>
          <w:color w:val="000000" w:themeColor="text1"/>
          <w:kern w:val="2"/>
          <w:szCs w:val="28"/>
          <w14:textFill>
            <w14:solidFill>
              <w14:schemeClr w14:val="tx1"/>
            </w14:solidFill>
          </w14:textFill>
        </w:rPr>
        <w:t>授权委托书</w:t>
      </w:r>
      <w:bookmarkEnd w:id="269"/>
      <w:bookmarkEnd w:id="270"/>
      <w:r>
        <w:rPr>
          <w:rFonts w:hint="eastAsia" w:ascii="宋体" w:hAnsi="宋体"/>
          <w:b/>
          <w:bCs/>
          <w:color w:val="000000" w:themeColor="text1"/>
          <w:kern w:val="2"/>
          <w:szCs w:val="28"/>
          <w14:textFill>
            <w14:solidFill>
              <w14:schemeClr w14:val="tx1"/>
            </w14:solidFill>
          </w14:textFill>
        </w:rPr>
        <w:t>（格式）</w:t>
      </w:r>
      <w:bookmarkEnd w:id="271"/>
      <w:bookmarkEnd w:id="272"/>
      <w:bookmarkEnd w:id="273"/>
      <w:bookmarkEnd w:id="274"/>
      <w:bookmarkEnd w:id="275"/>
      <w:bookmarkEnd w:id="276"/>
      <w:bookmarkEnd w:id="277"/>
      <w:bookmarkEnd w:id="278"/>
      <w:bookmarkEnd w:id="279"/>
      <w:bookmarkEnd w:id="280"/>
    </w:p>
    <w:p>
      <w:pPr>
        <w:pStyle w:val="5"/>
        <w:ind w:right="753" w:firstLine="700" w:firstLineChars="250"/>
        <w:jc w:val="left"/>
        <w:rPr>
          <w:rFonts w:ascii="宋体" w:hAnsi="宋体" w:cs="宋体"/>
          <w:color w:val="000000" w:themeColor="text1"/>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t>本授权委托书声明：我系____的负责人，现授权委托____为我所代理人，以本律所名义参加项目的比选活动。代理人在评比、合</w:t>
      </w:r>
      <w:bookmarkStart w:id="281" w:name="_Toc114052397"/>
      <w:r>
        <w:rPr>
          <w:rFonts w:hint="eastAsia" w:ascii="宋体" w:hAnsi="宋体" w:cs="宋体"/>
          <w:color w:val="000000" w:themeColor="text1"/>
          <w:szCs w:val="28"/>
          <w14:textFill>
            <w14:solidFill>
              <w14:schemeClr w14:val="tx1"/>
            </w14:solidFill>
          </w14:textFill>
        </w:rPr>
        <w:t>同谈判过程中所签署的一切文</w:t>
      </w:r>
      <w:bookmarkEnd w:id="281"/>
      <w:r>
        <w:rPr>
          <w:rFonts w:hint="eastAsia" w:ascii="宋体" w:hAnsi="宋体" w:cs="宋体"/>
          <w:color w:val="000000" w:themeColor="text1"/>
          <w:szCs w:val="28"/>
          <w14:textFill>
            <w14:solidFill>
              <w14:schemeClr w14:val="tx1"/>
            </w14:solidFill>
          </w14:textFill>
        </w:rPr>
        <w:t>件和处理与之有关的一切事务，我均予以确认。</w:t>
      </w: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代理人无转委权。特此委托。</w:t>
      </w: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代理人：</w:t>
      </w: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性别：</w:t>
      </w: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年龄：</w:t>
      </w: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w:t>
      </w:r>
      <w:bookmarkStart w:id="282" w:name="_Toc114052398"/>
      <w:r>
        <w:rPr>
          <w:rFonts w:hint="eastAsia" w:ascii="宋体" w:hAnsi="宋体" w:cs="宋体"/>
          <w:color w:val="000000" w:themeColor="text1"/>
          <w:sz w:val="28"/>
          <w:szCs w:val="28"/>
          <w14:textFill>
            <w14:solidFill>
              <w14:schemeClr w14:val="tx1"/>
            </w14:solidFill>
          </w14:textFill>
        </w:rPr>
        <w:t>位：</w:t>
      </w:r>
      <w:bookmarkEnd w:id="282"/>
      <w:bookmarkStart w:id="283" w:name="_Toc114052399"/>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部门：</w:t>
      </w:r>
      <w:bookmarkEnd w:id="283"/>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职务：</w:t>
      </w: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比选申请人：（盖律所公章）</w:t>
      </w: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负责人：（签字或盖章）</w:t>
      </w: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日期：</w:t>
      </w:r>
      <w:bookmarkStart w:id="284" w:name="_Toc333307132"/>
      <w:bookmarkStart w:id="285" w:name="_Toc6110"/>
      <w:r>
        <w:rPr>
          <w:rFonts w:hint="eastAsia" w:ascii="宋体" w:hAnsi="宋体" w:cs="宋体"/>
          <w:color w:val="000000" w:themeColor="text1"/>
          <w:sz w:val="28"/>
          <w:szCs w:val="28"/>
          <w14:textFill>
            <w14:solidFill>
              <w14:schemeClr w14:val="tx1"/>
            </w14:solidFill>
          </w14:textFill>
        </w:rPr>
        <w:t>年</w:t>
      </w:r>
      <w:bookmarkEnd w:id="284"/>
      <w:bookmarkEnd w:id="285"/>
      <w:r>
        <w:rPr>
          <w:rFonts w:hint="eastAsia" w:ascii="宋体" w:hAnsi="宋体" w:cs="宋体"/>
          <w:color w:val="000000" w:themeColor="text1"/>
          <w:sz w:val="28"/>
          <w:szCs w:val="28"/>
          <w14:textFill>
            <w14:solidFill>
              <w14:schemeClr w14:val="tx1"/>
            </w14:solidFill>
          </w14:textFill>
        </w:rPr>
        <w:t xml:space="preserve"> 月 日</w:t>
      </w:r>
    </w:p>
    <w:p>
      <w:pPr>
        <w:autoSpaceDE w:val="0"/>
        <w:autoSpaceDN w:val="0"/>
        <w:adjustRightInd w:val="0"/>
        <w:spacing w:line="480" w:lineRule="auto"/>
        <w:jc w:val="center"/>
        <w:rPr>
          <w:rFonts w:ascii="宋体" w:hAnsi="宋体"/>
          <w:b/>
          <w:color w:val="000000" w:themeColor="text1"/>
          <w:kern w:val="0"/>
          <w:sz w:val="30"/>
          <w:szCs w:val="30"/>
          <w14:textFill>
            <w14:solidFill>
              <w14:schemeClr w14:val="tx1"/>
            </w14:solidFill>
          </w14:textFill>
        </w:rPr>
      </w:pPr>
    </w:p>
    <w:p>
      <w:pPr>
        <w:autoSpaceDE w:val="0"/>
        <w:autoSpaceDN w:val="0"/>
        <w:adjustRightInd w:val="0"/>
        <w:spacing w:line="480" w:lineRule="auto"/>
        <w:rPr>
          <w:rStyle w:val="38"/>
          <w:b/>
          <w:bCs/>
          <w:color w:val="000000" w:themeColor="text1"/>
          <w:szCs w:val="28"/>
          <w14:textFill>
            <w14:solidFill>
              <w14:schemeClr w14:val="tx1"/>
            </w14:solidFill>
          </w14:textFill>
        </w:rPr>
      </w:pPr>
      <w:bookmarkStart w:id="286" w:name="_Toc26749"/>
      <w:bookmarkStart w:id="287" w:name="_Toc2475"/>
      <w:bookmarkStart w:id="288" w:name="_Toc29504"/>
      <w:bookmarkStart w:id="289" w:name="_Toc880"/>
      <w:bookmarkStart w:id="290" w:name="_Toc30136"/>
      <w:bookmarkStart w:id="291" w:name="_Toc18479"/>
      <w:bookmarkStart w:id="292" w:name="_Toc11434"/>
      <w:bookmarkStart w:id="293" w:name="_Toc1509"/>
      <w:r>
        <w:rPr>
          <w:rFonts w:ascii="宋体" w:hAnsi="宋体"/>
          <w:b/>
          <w:bCs/>
          <w:color w:val="000000" w:themeColor="text1"/>
          <w:kern w:val="0"/>
          <w:sz w:val="28"/>
          <w:szCs w:val="28"/>
          <w14:textFill>
            <w14:solidFill>
              <w14:schemeClr w14:val="tx1"/>
            </w14:solidFill>
          </w14:textFill>
        </w:rPr>
        <w:t>6.</w:t>
      </w:r>
      <w:r>
        <w:rPr>
          <w:rFonts w:hint="eastAsia" w:ascii="宋体" w:hAnsi="宋体"/>
          <w:b/>
          <w:bCs/>
          <w:color w:val="000000" w:themeColor="text1"/>
          <w:kern w:val="0"/>
          <w:sz w:val="28"/>
          <w:szCs w:val="28"/>
          <w14:textFill>
            <w14:solidFill>
              <w14:schemeClr w14:val="tx1"/>
            </w14:solidFill>
          </w14:textFill>
        </w:rPr>
        <w:t>授权代理人身份证明文件（提供复印件加盖法人单位公章）</w:t>
      </w:r>
    </w:p>
    <w:bookmarkEnd w:id="286"/>
    <w:bookmarkEnd w:id="287"/>
    <w:bookmarkEnd w:id="288"/>
    <w:bookmarkEnd w:id="289"/>
    <w:bookmarkEnd w:id="290"/>
    <w:bookmarkEnd w:id="291"/>
    <w:bookmarkEnd w:id="292"/>
    <w:bookmarkEnd w:id="293"/>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autoSpaceDE w:val="0"/>
        <w:autoSpaceDN w:val="0"/>
        <w:adjustRightInd w:val="0"/>
        <w:spacing w:line="480" w:lineRule="auto"/>
        <w:rPr>
          <w:rFonts w:ascii="宋体" w:hAnsi="宋体"/>
          <w:b/>
          <w:bCs/>
          <w:color w:val="000000" w:themeColor="text1"/>
          <w:kern w:val="0"/>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（封面格式）</w:t>
      </w: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jc w:val="center"/>
        <w:rPr>
          <w:rFonts w:ascii="宋体" w:hAnsi="宋体" w:cs="宋体"/>
          <w:color w:val="000000" w:themeColor="text1"/>
          <w:szCs w:val="28"/>
          <w14:textFill>
            <w14:solidFill>
              <w14:schemeClr w14:val="tx1"/>
            </w14:solidFill>
          </w14:textFill>
        </w:rPr>
      </w:pPr>
    </w:p>
    <w:p>
      <w:pPr>
        <w:jc w:val="center"/>
        <w:rPr>
          <w:rFonts w:ascii="宋体" w:hAnsi="宋体" w:cs="宋体"/>
          <w:b/>
          <w:bCs/>
          <w:color w:val="000000" w:themeColor="text1"/>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项目比选申请文件</w:t>
      </w:r>
    </w:p>
    <w:p>
      <w:pPr>
        <w:pStyle w:val="26"/>
        <w:jc w:val="center"/>
        <w:rPr>
          <w:color w:val="000000" w:themeColor="text1"/>
          <w:sz w:val="28"/>
          <w:szCs w:val="28"/>
          <w14:textFill>
            <w14:solidFill>
              <w14:schemeClr w14:val="tx1"/>
            </w14:solidFill>
          </w14:textFill>
        </w:rPr>
      </w:pPr>
      <w:bookmarkStart w:id="294" w:name="_Toc4828"/>
      <w:bookmarkStart w:id="295" w:name="_Toc124"/>
      <w:bookmarkStart w:id="296" w:name="_Toc16451"/>
      <w:bookmarkStart w:id="297" w:name="_Toc23149"/>
      <w:bookmarkStart w:id="298" w:name="_Toc25575"/>
      <w:bookmarkStart w:id="299" w:name="_Toc144"/>
      <w:bookmarkStart w:id="300" w:name="_Toc31069"/>
      <w:bookmarkStart w:id="301" w:name="_Toc18631"/>
      <w:bookmarkStart w:id="302" w:name="_Toc461525334"/>
      <w:bookmarkStart w:id="303" w:name="_Toc10507"/>
      <w:r>
        <w:rPr>
          <w:rFonts w:hint="eastAsia"/>
          <w:color w:val="000000" w:themeColor="text1"/>
          <w:sz w:val="28"/>
          <w:szCs w:val="28"/>
          <w14:textFill>
            <w14:solidFill>
              <w14:schemeClr w14:val="tx1"/>
            </w14:solidFill>
          </w14:textFill>
        </w:rPr>
        <w:t>技术部分</w:t>
      </w:r>
      <w:bookmarkEnd w:id="294"/>
      <w:bookmarkEnd w:id="295"/>
      <w:bookmarkEnd w:id="296"/>
      <w:bookmarkEnd w:id="297"/>
      <w:bookmarkEnd w:id="298"/>
      <w:bookmarkEnd w:id="299"/>
      <w:bookmarkEnd w:id="300"/>
      <w:bookmarkEnd w:id="301"/>
      <w:bookmarkEnd w:id="302"/>
      <w:bookmarkEnd w:id="303"/>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比选申请人：（盖律所公章）</w:t>
      </w: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负责人或委托代理人：（签字或盖章）</w:t>
      </w: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电话/传真：</w:t>
      </w: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地址：</w:t>
      </w: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年 月 日</w:t>
      </w: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keepNext/>
        <w:keepLines/>
        <w:spacing w:before="260" w:after="260" w:line="413" w:lineRule="auto"/>
        <w:jc w:val="center"/>
        <w:outlineLvl w:val="1"/>
        <w:rPr>
          <w:rFonts w:ascii="Arial" w:hAnsi="Arial"/>
          <w:b/>
          <w:color w:val="000000" w:themeColor="text1"/>
          <w:kern w:val="0"/>
          <w:sz w:val="28"/>
          <w:szCs w:val="20"/>
          <w14:textFill>
            <w14:solidFill>
              <w14:schemeClr w14:val="tx1"/>
            </w14:solidFill>
          </w14:textFill>
        </w:rPr>
      </w:pPr>
      <w:bookmarkStart w:id="304" w:name="_Toc471482371"/>
      <w:bookmarkStart w:id="305" w:name="_Toc26769"/>
      <w:bookmarkStart w:id="306" w:name="_Toc29536"/>
      <w:bookmarkStart w:id="307" w:name="_Toc21144"/>
      <w:bookmarkStart w:id="308" w:name="_Toc23508"/>
      <w:bookmarkStart w:id="309" w:name="_Toc32510"/>
      <w:bookmarkStart w:id="310" w:name="_Toc1986"/>
      <w:bookmarkStart w:id="311" w:name="_Toc31582"/>
      <w:bookmarkStart w:id="312" w:name="_Toc9379"/>
      <w:bookmarkStart w:id="313" w:name="_Toc31521"/>
      <w:r>
        <w:rPr>
          <w:rFonts w:hint="eastAsia" w:ascii="Arial" w:hAnsi="Arial"/>
          <w:b/>
          <w:color w:val="000000" w:themeColor="text1"/>
          <w:kern w:val="0"/>
          <w:sz w:val="28"/>
          <w:szCs w:val="20"/>
          <w14:textFill>
            <w14:solidFill>
              <w14:schemeClr w14:val="tx1"/>
            </w14:solidFill>
          </w14:textFill>
        </w:rPr>
        <w:t>二、技术部分材料目录</w:t>
      </w:r>
    </w:p>
    <w:p>
      <w:pPr>
        <w:ind w:right="753"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1.律师事务所业绩表；</w:t>
      </w:r>
    </w:p>
    <w:p>
      <w:pPr>
        <w:ind w:right="753"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2.律师事务所成立时间及信誉材料；</w:t>
      </w:r>
    </w:p>
    <w:p>
      <w:pPr>
        <w:ind w:right="753"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3.拟投入人员配置明细；</w:t>
      </w:r>
    </w:p>
    <w:p>
      <w:pPr>
        <w:autoSpaceDE w:val="0"/>
        <w:autoSpaceDN w:val="0"/>
        <w:adjustRightInd w:val="0"/>
        <w:spacing w:line="48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w:t>
      </w:r>
      <w:r>
        <w:rPr>
          <w:rFonts w:ascii="宋体" w:hAnsi="宋体" w:cs="宋体"/>
          <w:color w:val="000000" w:themeColor="text1"/>
          <w:sz w:val="28"/>
          <w:szCs w:val="28"/>
          <w14:textFill>
            <w14:solidFill>
              <w14:schemeClr w14:val="tx1"/>
            </w14:solidFill>
          </w14:textFill>
        </w:rPr>
        <w:t>拟投入人员资质</w:t>
      </w:r>
      <w:r>
        <w:rPr>
          <w:rFonts w:hint="eastAsia" w:ascii="宋体" w:hAnsi="宋体" w:cs="宋体"/>
          <w:color w:val="000000" w:themeColor="text1"/>
          <w:sz w:val="28"/>
          <w:szCs w:val="28"/>
          <w14:textFill>
            <w14:solidFill>
              <w14:schemeClr w14:val="tx1"/>
            </w14:solidFill>
          </w14:textFill>
        </w:rPr>
        <w:t>（拟投入人员律师执业资格证书复印件等材料）；</w:t>
      </w:r>
    </w:p>
    <w:p>
      <w:pPr>
        <w:ind w:right="753"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5.法律顾问团队服务方案。</w:t>
      </w:r>
    </w:p>
    <w:p>
      <w:pPr>
        <w:ind w:right="753" w:firstLine="560" w:firstLineChars="200"/>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备注：以上材料均需加盖单位公章，并按照目录顺序编排，标注页码。</w:t>
      </w:r>
    </w:p>
    <w:bookmarkEnd w:id="304"/>
    <w:bookmarkEnd w:id="305"/>
    <w:bookmarkEnd w:id="306"/>
    <w:bookmarkEnd w:id="307"/>
    <w:bookmarkEnd w:id="308"/>
    <w:bookmarkEnd w:id="309"/>
    <w:bookmarkEnd w:id="310"/>
    <w:bookmarkEnd w:id="311"/>
    <w:bookmarkEnd w:id="312"/>
    <w:bookmarkEnd w:id="313"/>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bookmarkStart w:id="314" w:name="_Toc30501"/>
      <w:bookmarkStart w:id="315" w:name="_Toc6862"/>
      <w:bookmarkStart w:id="316" w:name="_Toc461525332"/>
      <w:bookmarkStart w:id="317" w:name="_Toc19445"/>
      <w:bookmarkStart w:id="318" w:name="_Toc31867"/>
    </w:p>
    <w:bookmarkEnd w:id="314"/>
    <w:bookmarkEnd w:id="315"/>
    <w:bookmarkEnd w:id="316"/>
    <w:p>
      <w:pPr>
        <w:ind w:right="753"/>
        <w:jc w:val="left"/>
        <w:rPr>
          <w:rFonts w:ascii="宋体" w:hAnsi="宋体" w:cs="宋体"/>
          <w:color w:val="000000" w:themeColor="text1"/>
          <w:sz w:val="28"/>
          <w:szCs w:val="28"/>
          <w14:textFill>
            <w14:solidFill>
              <w14:schemeClr w14:val="tx1"/>
            </w14:solidFill>
          </w14:textFill>
        </w:rPr>
      </w:pPr>
      <w:bookmarkStart w:id="319" w:name="_Toc9617"/>
      <w:bookmarkStart w:id="320" w:name="_Toc24947"/>
      <w:bookmarkStart w:id="321" w:name="_Toc5462"/>
      <w:bookmarkStart w:id="322" w:name="_Toc12434"/>
      <w:bookmarkStart w:id="323" w:name="_Toc25435"/>
      <w:bookmarkStart w:id="324" w:name="_Toc27920"/>
      <w:bookmarkStart w:id="325" w:name="_Toc15155"/>
      <w:bookmarkStart w:id="326" w:name="_Toc26103"/>
      <w:r>
        <w:rPr>
          <w:rFonts w:hint="eastAsia" w:ascii="宋体" w:hAnsi="宋体" w:cs="宋体"/>
          <w:color w:val="000000" w:themeColor="text1"/>
          <w:sz w:val="28"/>
          <w:szCs w:val="28"/>
          <w14:textFill>
            <w14:solidFill>
              <w14:schemeClr w14:val="tx1"/>
            </w14:solidFill>
          </w14:textFill>
        </w:rPr>
        <w:t>（封面格式）</w:t>
      </w: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项目比选申请文件</w:t>
      </w:r>
    </w:p>
    <w:p>
      <w:pPr>
        <w:pStyle w:val="26"/>
        <w:jc w:val="center"/>
        <w:rPr>
          <w:color w:val="000000" w:themeColor="text1"/>
          <w14:textFill>
            <w14:solidFill>
              <w14:schemeClr w14:val="tx1"/>
            </w14:solidFill>
          </w14:textFill>
        </w:rPr>
      </w:pPr>
      <w:bookmarkStart w:id="327" w:name="_Toc21287"/>
      <w:bookmarkStart w:id="328" w:name="_Toc196"/>
      <w:bookmarkStart w:id="329" w:name="_Toc10925"/>
      <w:bookmarkStart w:id="330" w:name="_Toc27059"/>
      <w:bookmarkStart w:id="331" w:name="_Toc15573"/>
      <w:bookmarkStart w:id="332" w:name="_Toc20460"/>
      <w:bookmarkStart w:id="333" w:name="_Toc461525327"/>
      <w:bookmarkStart w:id="334" w:name="_Toc3587"/>
      <w:bookmarkStart w:id="335" w:name="_Toc3278"/>
      <w:r>
        <w:rPr>
          <w:rFonts w:hint="eastAsia"/>
          <w:color w:val="000000" w:themeColor="text1"/>
          <w:sz w:val="28"/>
          <w:szCs w:val="28"/>
          <w14:textFill>
            <w14:solidFill>
              <w14:schemeClr w14:val="tx1"/>
            </w14:solidFill>
          </w14:textFill>
        </w:rPr>
        <w:t>商务部分</w:t>
      </w:r>
      <w:bookmarkEnd w:id="327"/>
      <w:bookmarkEnd w:id="328"/>
      <w:bookmarkEnd w:id="329"/>
      <w:bookmarkEnd w:id="330"/>
      <w:bookmarkEnd w:id="331"/>
      <w:bookmarkEnd w:id="332"/>
      <w:bookmarkEnd w:id="333"/>
      <w:bookmarkEnd w:id="334"/>
      <w:bookmarkEnd w:id="335"/>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比选申请人：（盖律所公章）</w:t>
      </w: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负责人或委托代理人：（签字或盖章）</w:t>
      </w: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电话/</w:t>
      </w:r>
      <w:bookmarkStart w:id="336" w:name="_Toc333307133"/>
      <w:r>
        <w:rPr>
          <w:rFonts w:hint="eastAsia" w:ascii="宋体" w:hAnsi="宋体" w:cs="宋体"/>
          <w:color w:val="000000" w:themeColor="text1"/>
          <w:sz w:val="28"/>
          <w:szCs w:val="28"/>
          <w14:textFill>
            <w14:solidFill>
              <w14:schemeClr w14:val="tx1"/>
            </w14:solidFill>
          </w14:textFill>
        </w:rPr>
        <w:t>传真：</w:t>
      </w: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地址：</w:t>
      </w:r>
    </w:p>
    <w:bookmarkEnd w:id="336"/>
    <w:p>
      <w:pPr>
        <w:ind w:right="753"/>
        <w:jc w:val="left"/>
        <w:rPr>
          <w:rFonts w:ascii="宋体" w:hAnsi="宋体" w:cs="宋体"/>
          <w:color w:val="000000" w:themeColor="text1"/>
          <w:sz w:val="28"/>
          <w:szCs w:val="28"/>
          <w14:textFill>
            <w14:solidFill>
              <w14:schemeClr w14:val="tx1"/>
            </w14:solidFill>
          </w14:textFill>
        </w:rPr>
      </w:pPr>
      <w:bookmarkStart w:id="337" w:name="_Toc333307134"/>
      <w:r>
        <w:rPr>
          <w:rFonts w:hint="eastAsia" w:ascii="宋体" w:hAnsi="宋体" w:cs="宋体"/>
          <w:color w:val="000000" w:themeColor="text1"/>
          <w:sz w:val="28"/>
          <w:szCs w:val="28"/>
          <w14:textFill>
            <w14:solidFill>
              <w14:schemeClr w14:val="tx1"/>
            </w14:solidFill>
          </w14:textFill>
        </w:rPr>
        <w:t>年</w:t>
      </w:r>
      <w:bookmarkEnd w:id="337"/>
      <w:r>
        <w:rPr>
          <w:rFonts w:hint="eastAsia" w:ascii="宋体" w:hAnsi="宋体" w:cs="宋体"/>
          <w:color w:val="000000" w:themeColor="text1"/>
          <w:sz w:val="28"/>
          <w:szCs w:val="28"/>
          <w14:textFill>
            <w14:solidFill>
              <w14:schemeClr w14:val="tx1"/>
            </w14:solidFill>
          </w14:textFill>
        </w:rPr>
        <w:t xml:space="preserve"> 月</w:t>
      </w:r>
      <w:bookmarkStart w:id="338" w:name="_Toc333307135"/>
      <w:r>
        <w:rPr>
          <w:rFonts w:hint="eastAsia" w:ascii="宋体" w:hAnsi="宋体" w:cs="宋体"/>
          <w:color w:val="000000" w:themeColor="text1"/>
          <w:sz w:val="28"/>
          <w:szCs w:val="28"/>
          <w14:textFill>
            <w14:solidFill>
              <w14:schemeClr w14:val="tx1"/>
            </w14:solidFill>
          </w14:textFill>
        </w:rPr>
        <w:t xml:space="preserve"> 日</w:t>
      </w: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ind w:right="753"/>
        <w:jc w:val="left"/>
        <w:rPr>
          <w:rFonts w:ascii="宋体" w:hAnsi="宋体" w:cs="宋体"/>
          <w:color w:val="000000" w:themeColor="text1"/>
          <w:sz w:val="28"/>
          <w:szCs w:val="28"/>
          <w14:textFill>
            <w14:solidFill>
              <w14:schemeClr w14:val="tx1"/>
            </w14:solidFill>
          </w14:textFill>
        </w:rPr>
      </w:pPr>
    </w:p>
    <w:p>
      <w:pPr>
        <w:pStyle w:val="4"/>
        <w:jc w:val="center"/>
        <w:rPr>
          <w:b/>
          <w:color w:val="000000" w:themeColor="text1"/>
          <w14:textFill>
            <w14:solidFill>
              <w14:schemeClr w14:val="tx1"/>
            </w14:solidFill>
          </w14:textFill>
        </w:rPr>
      </w:pPr>
      <w:bookmarkStart w:id="339" w:name="_Toc461525328"/>
      <w:bookmarkStart w:id="340" w:name="_Toc21835"/>
      <w:bookmarkStart w:id="341" w:name="_Toc24408"/>
      <w:bookmarkStart w:id="342" w:name="_Toc471482372"/>
      <w:bookmarkStart w:id="343" w:name="_Toc30879"/>
      <w:bookmarkStart w:id="344" w:name="_Toc4901"/>
      <w:bookmarkStart w:id="345" w:name="_Toc2010"/>
      <w:bookmarkStart w:id="346" w:name="_Toc16542"/>
      <w:bookmarkStart w:id="347" w:name="_Toc24524"/>
      <w:bookmarkStart w:id="348" w:name="_Toc17346"/>
      <w:bookmarkStart w:id="349" w:name="_Toc7127"/>
      <w:bookmarkStart w:id="350" w:name="_Toc5616"/>
      <w:bookmarkStart w:id="351" w:name="_Toc11015"/>
      <w:r>
        <w:rPr>
          <w:rFonts w:hint="eastAsia"/>
          <w:b/>
          <w:color w:val="000000" w:themeColor="text1"/>
          <w14:textFill>
            <w14:solidFill>
              <w14:schemeClr w14:val="tx1"/>
            </w14:solidFill>
          </w14:textFill>
        </w:rPr>
        <w:t>三、商务部分材料目录</w:t>
      </w:r>
      <w:bookmarkEnd w:id="339"/>
      <w:bookmarkEnd w:id="340"/>
      <w:bookmarkEnd w:id="341"/>
      <w:bookmarkEnd w:id="342"/>
      <w:bookmarkEnd w:id="343"/>
      <w:bookmarkEnd w:id="344"/>
      <w:bookmarkEnd w:id="345"/>
      <w:bookmarkEnd w:id="346"/>
      <w:bookmarkEnd w:id="347"/>
      <w:bookmarkEnd w:id="348"/>
      <w:bookmarkEnd w:id="349"/>
      <w:bookmarkEnd w:id="350"/>
      <w:bookmarkEnd w:id="351"/>
    </w:p>
    <w:bookmarkEnd w:id="338"/>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1.报价表；</w:t>
      </w:r>
    </w:p>
    <w:p>
      <w:pPr>
        <w:ind w:right="753"/>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备注：以上材料均需加盖单位公章，并按照目录顺序编排，标注页码。</w:t>
      </w:r>
    </w:p>
    <w:p>
      <w:pPr>
        <w:pStyle w:val="5"/>
        <w:rPr>
          <w:color w:val="000000" w:themeColor="text1"/>
          <w14:textFill>
            <w14:solidFill>
              <w14:schemeClr w14:val="tx1"/>
            </w14:solidFill>
          </w14:textFill>
        </w:rPr>
      </w:pPr>
      <w:bookmarkStart w:id="352" w:name="_Toc26609"/>
      <w:bookmarkStart w:id="353" w:name="_Toc1148"/>
      <w:bookmarkStart w:id="354" w:name="_Toc29844"/>
      <w:bookmarkStart w:id="355" w:name="_Toc25896"/>
      <w:bookmarkStart w:id="356" w:name="_Toc17958"/>
      <w:bookmarkStart w:id="357" w:name="_Toc6408"/>
      <w:bookmarkStart w:id="358" w:name="_Toc29457"/>
      <w:bookmarkStart w:id="359" w:name="_Toc25214"/>
      <w:bookmarkStart w:id="360" w:name="_Toc3569"/>
      <w:bookmarkStart w:id="361" w:name="_Toc9748"/>
      <w:bookmarkStart w:id="362" w:name="_Toc461525330"/>
      <w:bookmarkStart w:id="363" w:name="_Toc20415"/>
      <w:r>
        <w:rPr>
          <w:rFonts w:hint="eastAsia"/>
          <w:color w:val="000000" w:themeColor="text1"/>
          <w14:textFill>
            <w14:solidFill>
              <w14:schemeClr w14:val="tx1"/>
            </w14:solidFill>
          </w14:textFill>
        </w:rPr>
        <w:t>1.报价表</w:t>
      </w:r>
      <w:bookmarkEnd w:id="352"/>
      <w:bookmarkEnd w:id="353"/>
      <w:r>
        <w:rPr>
          <w:rFonts w:hint="eastAsia"/>
          <w:color w:val="000000" w:themeColor="text1"/>
          <w14:textFill>
            <w14:solidFill>
              <w14:schemeClr w14:val="tx1"/>
            </w14:solidFill>
          </w14:textFill>
        </w:rPr>
        <w:t>（格式）</w:t>
      </w:r>
      <w:bookmarkEnd w:id="354"/>
      <w:bookmarkEnd w:id="355"/>
      <w:bookmarkEnd w:id="356"/>
      <w:bookmarkEnd w:id="357"/>
      <w:bookmarkEnd w:id="358"/>
      <w:bookmarkEnd w:id="359"/>
      <w:bookmarkEnd w:id="360"/>
      <w:bookmarkEnd w:id="361"/>
      <w:bookmarkEnd w:id="362"/>
      <w:bookmarkEnd w:id="363"/>
    </w:p>
    <w:tbl>
      <w:tblPr>
        <w:tblStyle w:val="27"/>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176"/>
        <w:gridCol w:w="992"/>
        <w:gridCol w:w="217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序号</w:t>
            </w:r>
          </w:p>
        </w:tc>
        <w:tc>
          <w:tcPr>
            <w:tcW w:w="2176" w:type="dxa"/>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服务内容</w:t>
            </w:r>
          </w:p>
        </w:tc>
        <w:tc>
          <w:tcPr>
            <w:tcW w:w="992" w:type="dxa"/>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年限</w:t>
            </w:r>
          </w:p>
        </w:tc>
        <w:tc>
          <w:tcPr>
            <w:tcW w:w="2170" w:type="dxa"/>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报价（含税）</w:t>
            </w:r>
          </w:p>
        </w:tc>
        <w:tc>
          <w:tcPr>
            <w:tcW w:w="2145" w:type="dxa"/>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报价依据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051" w:type="dxa"/>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w:t>
            </w:r>
          </w:p>
        </w:tc>
        <w:tc>
          <w:tcPr>
            <w:tcW w:w="2176" w:type="dxa"/>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南宁市金盾道路清障有限责任公司</w:t>
            </w:r>
            <w:r>
              <w:rPr>
                <w:rFonts w:hint="eastAsia" w:ascii="宋体" w:hAnsi="宋体" w:cs="宋体"/>
                <w:color w:val="000000" w:themeColor="text1"/>
                <w:sz w:val="28"/>
                <w:szCs w:val="28"/>
                <w14:textFill>
                  <w14:solidFill>
                    <w14:schemeClr w14:val="tx1"/>
                  </w14:solidFill>
                </w14:textFill>
              </w:rPr>
              <w:t>常年法律顾问</w:t>
            </w:r>
          </w:p>
        </w:tc>
        <w:tc>
          <w:tcPr>
            <w:tcW w:w="992" w:type="dxa"/>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年</w:t>
            </w:r>
          </w:p>
        </w:tc>
        <w:tc>
          <w:tcPr>
            <w:tcW w:w="2170"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小写：</w:t>
            </w:r>
          </w:p>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大写：</w:t>
            </w:r>
          </w:p>
        </w:tc>
        <w:tc>
          <w:tcPr>
            <w:tcW w:w="2145" w:type="dxa"/>
          </w:tcPr>
          <w:p>
            <w:pPr>
              <w:rPr>
                <w:rFonts w:ascii="宋体" w:hAnsi="宋体" w:cs="宋体"/>
                <w:color w:val="000000" w:themeColor="text1"/>
                <w:sz w:val="24"/>
                <w14:textFill>
                  <w14:solidFill>
                    <w14:schemeClr w14:val="tx1"/>
                  </w14:solidFill>
                </w14:textFill>
              </w:rPr>
            </w:pPr>
          </w:p>
        </w:tc>
      </w:tr>
    </w:tbl>
    <w:p>
      <w:pPr>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注：本表根据需要可扩展。未按照本比选报价表的格式及要求填写比选报价表的，将视为不满足比选文件要求，从而导致该比选申请人竞选无效。</w:t>
      </w:r>
    </w:p>
    <w:p>
      <w:pPr>
        <w:spacing w:line="360" w:lineRule="auto"/>
        <w:ind w:right="564" w:rightChars="269"/>
        <w:jc w:val="left"/>
        <w:rPr>
          <w:rFonts w:ascii="宋体" w:hAnsi="宋体" w:cs="宋体"/>
          <w:color w:val="000000" w:themeColor="text1"/>
          <w:sz w:val="28"/>
          <w:szCs w:val="28"/>
          <w14:textFill>
            <w14:solidFill>
              <w14:schemeClr w14:val="tx1"/>
            </w14:solidFill>
          </w14:textFill>
        </w:rPr>
      </w:pPr>
    </w:p>
    <w:p>
      <w:pPr>
        <w:spacing w:line="360" w:lineRule="auto"/>
        <w:ind w:right="564" w:rightChars="269"/>
        <w:jc w:val="left"/>
        <w:rPr>
          <w:rFonts w:ascii="宋体" w:hAnsi="宋体" w:cs="宋体"/>
          <w:color w:val="000000" w:themeColor="text1"/>
          <w:sz w:val="28"/>
          <w:szCs w:val="28"/>
          <w14:textFill>
            <w14:solidFill>
              <w14:schemeClr w14:val="tx1"/>
            </w14:solidFill>
          </w14:textFill>
        </w:rPr>
      </w:pPr>
    </w:p>
    <w:p>
      <w:pPr>
        <w:spacing w:line="360" w:lineRule="auto"/>
        <w:ind w:right="564" w:rightChars="269"/>
        <w:jc w:val="left"/>
        <w:rPr>
          <w:rFonts w:ascii="宋体" w:hAnsi="宋体" w:cs="宋体"/>
          <w:color w:val="000000" w:themeColor="text1"/>
          <w:sz w:val="28"/>
          <w:szCs w:val="28"/>
          <w14:textFill>
            <w14:solidFill>
              <w14:schemeClr w14:val="tx1"/>
            </w14:solidFill>
          </w14:textFill>
        </w:rPr>
      </w:pPr>
    </w:p>
    <w:p>
      <w:pPr>
        <w:spacing w:line="360" w:lineRule="auto"/>
        <w:ind w:right="564" w:rightChars="269"/>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比选申请人（公章）</w:t>
      </w:r>
    </w:p>
    <w:p>
      <w:pPr>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负责人或其委托代理人（签字或盖章）：</w:t>
      </w:r>
    </w:p>
    <w:p>
      <w:pPr>
        <w:jc w:val="center"/>
        <w:rPr>
          <w:rFonts w:ascii="宋体" w:hAnsi="宋体" w:cs="宋体"/>
          <w:color w:val="000000" w:themeColor="text1"/>
          <w:sz w:val="28"/>
          <w:szCs w:val="28"/>
          <w14:textFill>
            <w14:solidFill>
              <w14:schemeClr w14:val="tx1"/>
            </w14:solidFill>
          </w14:textFill>
        </w:rPr>
      </w:pPr>
    </w:p>
    <w:bookmarkEnd w:id="317"/>
    <w:bookmarkEnd w:id="318"/>
    <w:bookmarkEnd w:id="319"/>
    <w:bookmarkEnd w:id="320"/>
    <w:bookmarkEnd w:id="321"/>
    <w:bookmarkEnd w:id="322"/>
    <w:bookmarkEnd w:id="323"/>
    <w:bookmarkEnd w:id="324"/>
    <w:bookmarkEnd w:id="325"/>
    <w:bookmarkEnd w:id="326"/>
    <w:p>
      <w:pPr>
        <w:pStyle w:val="2"/>
        <w:rPr>
          <w:color w:val="000000" w:themeColor="text1"/>
          <w14:textFill>
            <w14:solidFill>
              <w14:schemeClr w14:val="tx1"/>
            </w14:solidFill>
          </w14:textFill>
        </w:rPr>
      </w:pPr>
      <w:bookmarkStart w:id="364" w:name="_Toc471482373"/>
      <w:r>
        <w:rPr>
          <w:rFonts w:hint="eastAsia"/>
          <w:color w:val="000000" w:themeColor="text1"/>
          <w14:textFill>
            <w14:solidFill>
              <w14:schemeClr w14:val="tx1"/>
            </w14:solidFill>
          </w14:textFill>
        </w:rPr>
        <w:t>第四章 评比办法</w:t>
      </w:r>
      <w:bookmarkEnd w:id="364"/>
    </w:p>
    <w:p>
      <w:pPr>
        <w:pStyle w:val="4"/>
        <w:rPr>
          <w:color w:val="000000" w:themeColor="text1"/>
          <w14:textFill>
            <w14:solidFill>
              <w14:schemeClr w14:val="tx1"/>
            </w14:solidFill>
          </w14:textFill>
        </w:rPr>
      </w:pPr>
      <w:bookmarkStart w:id="365" w:name="_Toc2996"/>
      <w:bookmarkStart w:id="366" w:name="_Toc7201"/>
      <w:bookmarkStart w:id="367" w:name="_Toc16236"/>
      <w:bookmarkStart w:id="368" w:name="_Toc3898"/>
      <w:bookmarkStart w:id="369" w:name="_Toc2433"/>
      <w:bookmarkStart w:id="370" w:name="_Toc10015"/>
      <w:bookmarkStart w:id="371" w:name="_Toc28938"/>
      <w:bookmarkStart w:id="372" w:name="_Toc17031"/>
      <w:bookmarkStart w:id="373" w:name="_Toc31412"/>
      <w:bookmarkStart w:id="374" w:name="_Toc471482374"/>
      <w:r>
        <w:rPr>
          <w:rFonts w:hint="eastAsia"/>
          <w:color w:val="000000" w:themeColor="text1"/>
          <w14:textFill>
            <w14:solidFill>
              <w14:schemeClr w14:val="tx1"/>
            </w14:solidFill>
          </w14:textFill>
        </w:rPr>
        <w:t>一、综合评分办法</w:t>
      </w:r>
      <w:bookmarkEnd w:id="365"/>
      <w:bookmarkEnd w:id="366"/>
      <w:bookmarkEnd w:id="367"/>
      <w:bookmarkEnd w:id="368"/>
      <w:bookmarkEnd w:id="369"/>
      <w:bookmarkEnd w:id="370"/>
      <w:bookmarkEnd w:id="371"/>
      <w:bookmarkEnd w:id="372"/>
      <w:bookmarkEnd w:id="373"/>
      <w:bookmarkEnd w:id="374"/>
    </w:p>
    <w:p>
      <w:pPr>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pPr>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1.资格评审：对比选申请人的资格条件、比选申请文件的完整性和有效性、比选申请文件的有效期等方面进行审查。通过资格评审的比选申请文件进入技术、商务评审。</w:t>
      </w:r>
    </w:p>
    <w:p>
      <w:pPr>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2.技术、商务评审：由比选</w:t>
      </w:r>
      <w:r>
        <w:rPr>
          <w:rFonts w:hint="eastAsia" w:ascii="宋体" w:hAnsi="宋体" w:cs="宋体"/>
          <w:color w:val="000000" w:themeColor="text1"/>
          <w:sz w:val="28"/>
          <w:szCs w:val="28"/>
          <w:lang w:val="en-US" w:eastAsia="zh-CN"/>
          <w14:textFill>
            <w14:solidFill>
              <w14:schemeClr w14:val="tx1"/>
            </w14:solidFill>
          </w14:textFill>
        </w:rPr>
        <w:t>评比委员会</w:t>
      </w:r>
      <w:r>
        <w:rPr>
          <w:rFonts w:hint="eastAsia" w:ascii="宋体" w:hAnsi="宋体" w:cs="宋体"/>
          <w:color w:val="000000" w:themeColor="text1"/>
          <w:sz w:val="28"/>
          <w:szCs w:val="28"/>
          <w14:textFill>
            <w14:solidFill>
              <w14:schemeClr w14:val="tx1"/>
            </w14:solidFill>
          </w14:textFill>
        </w:rPr>
        <w:t>按照比选文件的要求，对照比选申请文件的应答进行比较，并对各比选申请文件的技术、商务内容进行评审，且技术部分、商务部分由比选</w:t>
      </w:r>
      <w:r>
        <w:rPr>
          <w:rFonts w:hint="eastAsia" w:ascii="宋体" w:hAnsi="宋体" w:cs="宋体"/>
          <w:color w:val="000000" w:themeColor="text1"/>
          <w:sz w:val="28"/>
          <w:szCs w:val="28"/>
          <w:lang w:val="en-US" w:eastAsia="zh-CN"/>
          <w14:textFill>
            <w14:solidFill>
              <w14:schemeClr w14:val="tx1"/>
            </w14:solidFill>
          </w14:textFill>
        </w:rPr>
        <w:t>评比委员会</w:t>
      </w:r>
      <w:r>
        <w:rPr>
          <w:rFonts w:hint="eastAsia" w:ascii="宋体" w:hAnsi="宋体" w:cs="宋体"/>
          <w:color w:val="000000" w:themeColor="text1"/>
          <w:sz w:val="28"/>
          <w:szCs w:val="28"/>
          <w14:textFill>
            <w14:solidFill>
              <w14:schemeClr w14:val="tx1"/>
            </w14:solidFill>
          </w14:textFill>
        </w:rPr>
        <w:t>讨论定档后进行打分。</w:t>
      </w:r>
    </w:p>
    <w:p>
      <w:pPr>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3.如比选申请文件中有含义不明确，对同类问题表达不一致，或有明显的文字、数字计算错误的，</w:t>
      </w:r>
      <w:r>
        <w:rPr>
          <w:rFonts w:hint="eastAsia" w:ascii="宋体" w:hAnsi="宋体" w:cs="宋体"/>
          <w:color w:val="000000" w:themeColor="text1"/>
          <w:sz w:val="28"/>
          <w:szCs w:val="28"/>
          <w:lang w:val="en-US" w:eastAsia="zh-CN"/>
          <w14:textFill>
            <w14:solidFill>
              <w14:schemeClr w14:val="tx1"/>
            </w14:solidFill>
          </w14:textFill>
        </w:rPr>
        <w:t>评比委员会</w:t>
      </w:r>
      <w:r>
        <w:rPr>
          <w:rFonts w:hint="eastAsia" w:ascii="宋体" w:hAnsi="宋体" w:cs="宋体"/>
          <w:color w:val="000000" w:themeColor="text1"/>
          <w:sz w:val="28"/>
          <w:szCs w:val="28"/>
          <w14:textFill>
            <w14:solidFill>
              <w14:schemeClr w14:val="tx1"/>
            </w14:solidFill>
          </w14:textFill>
        </w:rPr>
        <w:t>可要求比选申请人进行必要的澄清、说明或补正，并详细记录，但不得改变比选申请文件的实质内容。</w:t>
      </w:r>
      <w:r>
        <w:rPr>
          <w:rFonts w:hint="eastAsia" w:ascii="宋体" w:hAnsi="宋体" w:cs="宋体"/>
          <w:color w:val="000000" w:themeColor="text1"/>
          <w:sz w:val="28"/>
          <w:szCs w:val="28"/>
          <w:lang w:val="en-US" w:eastAsia="zh-CN"/>
          <w14:textFill>
            <w14:solidFill>
              <w14:schemeClr w14:val="tx1"/>
            </w14:solidFill>
          </w14:textFill>
        </w:rPr>
        <w:t>评比委员会</w:t>
      </w:r>
      <w:r>
        <w:rPr>
          <w:rFonts w:hint="eastAsia" w:ascii="宋体" w:hAnsi="宋体" w:cs="宋体"/>
          <w:color w:val="000000" w:themeColor="text1"/>
          <w:sz w:val="28"/>
          <w:szCs w:val="28"/>
          <w14:textFill>
            <w14:solidFill>
              <w14:schemeClr w14:val="tx1"/>
            </w14:solidFill>
          </w14:textFill>
        </w:rPr>
        <w:t>对比选申请人提交的澄清、说明或补正有疑问的，可以要求比选申请人进一步澄清、说明或补正，直至满足比选</w:t>
      </w:r>
      <w:r>
        <w:rPr>
          <w:rFonts w:hint="eastAsia" w:ascii="宋体" w:hAnsi="宋体" w:cs="宋体"/>
          <w:color w:val="000000" w:themeColor="text1"/>
          <w:sz w:val="28"/>
          <w:szCs w:val="28"/>
          <w:lang w:val="en-US" w:eastAsia="zh-CN"/>
          <w14:textFill>
            <w14:solidFill>
              <w14:schemeClr w14:val="tx1"/>
            </w14:solidFill>
          </w14:textFill>
        </w:rPr>
        <w:t>评比委员会</w:t>
      </w:r>
      <w:r>
        <w:rPr>
          <w:rFonts w:hint="eastAsia" w:ascii="宋体" w:hAnsi="宋体" w:cs="宋体"/>
          <w:color w:val="000000" w:themeColor="text1"/>
          <w:sz w:val="28"/>
          <w:szCs w:val="28"/>
          <w14:textFill>
            <w14:solidFill>
              <w14:schemeClr w14:val="tx1"/>
            </w14:solidFill>
          </w14:textFill>
        </w:rPr>
        <w:t>的要求。如比选申请人拒绝接受澄清、说明或补正，该报价做无效报价处理。</w:t>
      </w:r>
    </w:p>
    <w:p>
      <w:pPr>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（1）如果数字表示的金额和用文字表示的金额不一致时，应以文字表示的金额为准；</w:t>
      </w:r>
    </w:p>
    <w:p>
      <w:pPr>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（2）当单价与数量的乘积与合价不一致时，以合价为准，并调整单价；</w:t>
      </w:r>
    </w:p>
    <w:p>
      <w:pPr>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（3）当合价与报价总价不一致时，以报价总价为准，调整相关合价；</w:t>
      </w:r>
    </w:p>
    <w:p>
      <w:pPr>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（4）评审期间，比选</w:t>
      </w:r>
      <w:r>
        <w:rPr>
          <w:rFonts w:hint="eastAsia" w:ascii="宋体" w:hAnsi="宋体" w:cs="宋体"/>
          <w:color w:val="000000" w:themeColor="text1"/>
          <w:sz w:val="28"/>
          <w:szCs w:val="28"/>
          <w:lang w:val="en-US" w:eastAsia="zh-CN"/>
          <w14:textFill>
            <w14:solidFill>
              <w14:schemeClr w14:val="tx1"/>
            </w14:solidFill>
          </w14:textFill>
        </w:rPr>
        <w:t>评比委员会</w:t>
      </w:r>
      <w:r>
        <w:rPr>
          <w:rFonts w:hint="eastAsia" w:ascii="宋体" w:hAnsi="宋体" w:cs="宋体"/>
          <w:color w:val="000000" w:themeColor="text1"/>
          <w:sz w:val="28"/>
          <w:szCs w:val="28"/>
          <w14:textFill>
            <w14:solidFill>
              <w14:schemeClr w14:val="tx1"/>
            </w14:solidFill>
          </w14:textFill>
        </w:rPr>
        <w:t>不接受任何比选申请人主动提出的对报价及单价、合价的调整；</w:t>
      </w:r>
    </w:p>
    <w:p>
      <w:pPr>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（5）其它未尽事宜，由</w:t>
      </w:r>
      <w:r>
        <w:rPr>
          <w:rFonts w:hint="eastAsia" w:ascii="宋体" w:hAnsi="宋体" w:cs="宋体"/>
          <w:color w:val="000000" w:themeColor="text1"/>
          <w:sz w:val="28"/>
          <w:szCs w:val="28"/>
          <w:lang w:val="en-US" w:eastAsia="zh-CN"/>
          <w14:textFill>
            <w14:solidFill>
              <w14:schemeClr w14:val="tx1"/>
            </w14:solidFill>
          </w14:textFill>
        </w:rPr>
        <w:t>评比委员会</w:t>
      </w:r>
      <w:r>
        <w:rPr>
          <w:rFonts w:hint="eastAsia" w:ascii="宋体" w:hAnsi="宋体" w:cs="宋体"/>
          <w:color w:val="000000" w:themeColor="text1"/>
          <w:sz w:val="28"/>
          <w:szCs w:val="28"/>
          <w14:textFill>
            <w14:solidFill>
              <w14:schemeClr w14:val="tx1"/>
            </w14:solidFill>
          </w14:textFill>
        </w:rPr>
        <w:t>审议确定(如意见不一致时，以记名方式投票确定)。</w:t>
      </w:r>
    </w:p>
    <w:p>
      <w:pPr>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w:t>
      </w:r>
      <w:r>
        <w:rPr>
          <w:rFonts w:ascii="宋体" w:hAnsi="宋体" w:cs="宋体"/>
          <w:color w:val="000000" w:themeColor="text1"/>
          <w:sz w:val="28"/>
          <w:szCs w:val="28"/>
          <w14:textFill>
            <w14:solidFill>
              <w14:schemeClr w14:val="tx1"/>
            </w14:solidFill>
          </w14:textFill>
        </w:rPr>
        <w:t>在评审过程中，</w:t>
      </w:r>
      <w:r>
        <w:rPr>
          <w:rFonts w:hint="eastAsia" w:ascii="宋体" w:hAnsi="宋体" w:cs="宋体"/>
          <w:color w:val="000000" w:themeColor="text1"/>
          <w:sz w:val="28"/>
          <w:szCs w:val="28"/>
          <w:lang w:val="en-US" w:eastAsia="zh-CN"/>
          <w14:textFill>
            <w14:solidFill>
              <w14:schemeClr w14:val="tx1"/>
            </w14:solidFill>
          </w14:textFill>
        </w:rPr>
        <w:t>评比委员会</w:t>
      </w:r>
      <w:r>
        <w:rPr>
          <w:rFonts w:ascii="宋体" w:hAnsi="宋体" w:cs="宋体"/>
          <w:color w:val="000000" w:themeColor="text1"/>
          <w:sz w:val="28"/>
          <w:szCs w:val="28"/>
          <w14:textFill>
            <w14:solidFill>
              <w14:schemeClr w14:val="tx1"/>
            </w14:solidFill>
          </w14:textFill>
        </w:rPr>
        <w:t>发现投标人的报价明显低于其他投标报价，使得其投标报价可能低于其成本的，应当要求该比选申请人做出书面说明并提供相关证明材料。比选申请人不能合理说明或者不能提供相关证明材料的，由</w:t>
      </w:r>
      <w:r>
        <w:rPr>
          <w:rFonts w:hint="eastAsia" w:ascii="宋体" w:hAnsi="宋体" w:cs="宋体"/>
          <w:color w:val="000000" w:themeColor="text1"/>
          <w:sz w:val="28"/>
          <w:szCs w:val="28"/>
          <w:lang w:val="en-US" w:eastAsia="zh-CN"/>
          <w14:textFill>
            <w14:solidFill>
              <w14:schemeClr w14:val="tx1"/>
            </w14:solidFill>
          </w14:textFill>
        </w:rPr>
        <w:t>评比委员会</w:t>
      </w:r>
      <w:r>
        <w:rPr>
          <w:rFonts w:ascii="宋体" w:hAnsi="宋体" w:cs="宋体"/>
          <w:color w:val="000000" w:themeColor="text1"/>
          <w:sz w:val="28"/>
          <w:szCs w:val="28"/>
          <w14:textFill>
            <w14:solidFill>
              <w14:schemeClr w14:val="tx1"/>
            </w14:solidFill>
          </w14:textFill>
        </w:rPr>
        <w:t>认定该比选申请人以低于成本报价，报价不合理，其比选申请文件作无效处理。</w:t>
      </w:r>
    </w:p>
    <w:p>
      <w:pPr>
        <w:pStyle w:val="4"/>
        <w:rPr>
          <w:color w:val="000000" w:themeColor="text1"/>
          <w14:textFill>
            <w14:solidFill>
              <w14:schemeClr w14:val="tx1"/>
            </w14:solidFill>
          </w14:textFill>
        </w:rPr>
      </w:pPr>
      <w:bookmarkStart w:id="375" w:name="_Toc15054"/>
      <w:bookmarkStart w:id="376" w:name="_Toc5579"/>
      <w:bookmarkStart w:id="377" w:name="_Toc20237"/>
      <w:bookmarkStart w:id="378" w:name="_Toc5576"/>
      <w:bookmarkStart w:id="379" w:name="_Toc29031"/>
      <w:bookmarkStart w:id="380" w:name="_Toc14401"/>
      <w:bookmarkStart w:id="381" w:name="_Toc29182"/>
      <w:bookmarkStart w:id="382" w:name="_Toc471482375"/>
      <w:bookmarkStart w:id="383" w:name="_Toc30979"/>
      <w:bookmarkStart w:id="384" w:name="_Toc7245"/>
      <w:r>
        <w:rPr>
          <w:rFonts w:hint="eastAsia"/>
          <w:color w:val="000000" w:themeColor="text1"/>
          <w14:textFill>
            <w14:solidFill>
              <w14:schemeClr w14:val="tx1"/>
            </w14:solidFill>
          </w14:textFill>
        </w:rPr>
        <w:t>二、总分计算公式</w:t>
      </w:r>
      <w:bookmarkEnd w:id="375"/>
      <w:bookmarkEnd w:id="376"/>
      <w:bookmarkEnd w:id="377"/>
      <w:bookmarkEnd w:id="378"/>
      <w:bookmarkEnd w:id="379"/>
      <w:bookmarkEnd w:id="380"/>
      <w:bookmarkEnd w:id="381"/>
      <w:bookmarkEnd w:id="382"/>
      <w:bookmarkEnd w:id="383"/>
      <w:bookmarkEnd w:id="384"/>
    </w:p>
    <w:p>
      <w:pPr>
        <w:ind w:right="753"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总分即比选申请人评分综合得分，其计算公式：</w:t>
      </w:r>
    </w:p>
    <w:p>
      <w:pPr>
        <w:ind w:right="753"/>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总分＝商务部分得分+技术部分得分</w:t>
      </w:r>
    </w:p>
    <w:p>
      <w:pPr>
        <w:ind w:right="753" w:firstLine="56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注：各项指标的分数计算四舍五入，取小数点后两位。</w:t>
      </w:r>
    </w:p>
    <w:p>
      <w:pPr>
        <w:pStyle w:val="4"/>
        <w:numPr>
          <w:ilvl w:val="0"/>
          <w:numId w:val="3"/>
        </w:numPr>
        <w:rPr>
          <w:color w:val="000000" w:themeColor="text1"/>
          <w14:textFill>
            <w14:solidFill>
              <w14:schemeClr w14:val="tx1"/>
            </w14:solidFill>
          </w14:textFill>
        </w:rPr>
      </w:pPr>
      <w:bookmarkStart w:id="385" w:name="_Toc28207"/>
      <w:bookmarkStart w:id="386" w:name="_Toc471482376"/>
      <w:bookmarkStart w:id="387" w:name="_Toc18027"/>
      <w:bookmarkStart w:id="388" w:name="_Toc13406"/>
      <w:bookmarkStart w:id="389" w:name="_Toc10918"/>
      <w:bookmarkStart w:id="390" w:name="_Toc9696"/>
      <w:bookmarkStart w:id="391" w:name="_Toc32296"/>
      <w:bookmarkStart w:id="392" w:name="_Toc31078"/>
      <w:bookmarkStart w:id="393" w:name="_Toc26842"/>
      <w:bookmarkStart w:id="394" w:name="_Toc2392"/>
      <w:r>
        <w:rPr>
          <w:rFonts w:hint="eastAsia"/>
          <w:color w:val="000000" w:themeColor="text1"/>
          <w14:textFill>
            <w14:solidFill>
              <w14:schemeClr w14:val="tx1"/>
            </w14:solidFill>
          </w14:textFill>
        </w:rPr>
        <w:t>评分细则</w:t>
      </w:r>
      <w:bookmarkEnd w:id="385"/>
      <w:bookmarkEnd w:id="386"/>
      <w:bookmarkEnd w:id="387"/>
      <w:bookmarkEnd w:id="388"/>
      <w:bookmarkEnd w:id="389"/>
      <w:bookmarkEnd w:id="390"/>
      <w:bookmarkEnd w:id="391"/>
      <w:bookmarkEnd w:id="392"/>
      <w:bookmarkEnd w:id="393"/>
      <w:bookmarkEnd w:id="394"/>
    </w:p>
    <w:p>
      <w:pPr>
        <w:numPr>
          <w:ilvl w:val="255"/>
          <w:numId w:val="0"/>
        </w:numPr>
        <w:rPr>
          <w:color w:val="000000" w:themeColor="text1"/>
          <w14:textFill>
            <w14:solidFill>
              <w14:schemeClr w14:val="tx1"/>
            </w14:solidFill>
          </w14:textFill>
        </w:rPr>
      </w:pPr>
    </w:p>
    <w:p>
      <w:pPr>
        <w:numPr>
          <w:ilvl w:val="255"/>
          <w:numId w:val="0"/>
        </w:numPr>
        <w:rPr>
          <w:color w:val="000000" w:themeColor="text1"/>
          <w14:textFill>
            <w14:solidFill>
              <w14:schemeClr w14:val="tx1"/>
            </w14:solidFill>
          </w14:textFill>
        </w:rPr>
      </w:pPr>
    </w:p>
    <w:p>
      <w:pPr>
        <w:pStyle w:val="13"/>
        <w:rPr>
          <w:color w:val="000000" w:themeColor="text1"/>
          <w:sz w:val="28"/>
          <w:szCs w:val="28"/>
          <w14:textFill>
            <w14:solidFill>
              <w14:schemeClr w14:val="tx1"/>
            </w14:solidFill>
          </w14:textFill>
        </w:rPr>
      </w:pPr>
      <w:bookmarkStart w:id="395" w:name="_Toc18752"/>
      <w:bookmarkStart w:id="396" w:name="_Toc1358"/>
      <w:bookmarkStart w:id="397" w:name="_Toc15382"/>
      <w:r>
        <w:rPr>
          <w:rFonts w:hint="eastAsia"/>
          <w:color w:val="000000" w:themeColor="text1"/>
          <w:sz w:val="28"/>
          <w:szCs w:val="28"/>
          <w14:textFill>
            <w14:solidFill>
              <w14:schemeClr w14:val="tx1"/>
            </w14:solidFill>
          </w14:textFill>
        </w:rPr>
        <w:t>1.商务部分评分细则（满分</w:t>
      </w:r>
      <w:r>
        <w:rPr>
          <w:color w:val="000000" w:themeColor="text1"/>
          <w:sz w:val="28"/>
          <w:szCs w:val="28"/>
          <w14:textFill>
            <w14:solidFill>
              <w14:schemeClr w14:val="tx1"/>
            </w14:solidFill>
          </w14:textFill>
        </w:rPr>
        <w:t>30</w:t>
      </w:r>
      <w:r>
        <w:rPr>
          <w:rFonts w:hint="eastAsia"/>
          <w:color w:val="000000" w:themeColor="text1"/>
          <w:sz w:val="28"/>
          <w:szCs w:val="28"/>
          <w14:textFill>
            <w14:solidFill>
              <w14:schemeClr w14:val="tx1"/>
            </w14:solidFill>
          </w14:textFill>
        </w:rPr>
        <w:t>分）</w:t>
      </w:r>
      <w:bookmarkEnd w:id="395"/>
      <w:bookmarkEnd w:id="396"/>
      <w:bookmarkEnd w:id="397"/>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序号</w:t>
            </w:r>
          </w:p>
        </w:tc>
        <w:tc>
          <w:tcPr>
            <w:tcW w:w="326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评分因素</w:t>
            </w:r>
          </w:p>
        </w:tc>
        <w:tc>
          <w:tcPr>
            <w:tcW w:w="535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5" w:hRule="atLeast"/>
        </w:trPr>
        <w:tc>
          <w:tcPr>
            <w:tcW w:w="81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3260" w:type="dxa"/>
            <w:vAlign w:val="center"/>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本项目报价评分</w:t>
            </w:r>
          </w:p>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（满分</w:t>
            </w:r>
            <w:r>
              <w:rPr>
                <w:rFonts w:ascii="宋体" w:hAnsi="宋体" w:cs="宋体"/>
                <w:color w:val="000000" w:themeColor="text1"/>
                <w:kern w:val="0"/>
                <w:sz w:val="24"/>
                <w14:textFill>
                  <w14:solidFill>
                    <w14:schemeClr w14:val="tx1"/>
                  </w14:solidFill>
                </w14:textFill>
              </w:rPr>
              <w:t>30分</w:t>
            </w:r>
            <w:r>
              <w:rPr>
                <w:rFonts w:hint="eastAsia" w:ascii="宋体" w:hAnsi="宋体" w:cs="宋体"/>
                <w:color w:val="000000" w:themeColor="text1"/>
                <w:kern w:val="0"/>
                <w:sz w:val="24"/>
                <w14:textFill>
                  <w14:solidFill>
                    <w14:schemeClr w14:val="tx1"/>
                  </w14:solidFill>
                </w14:textFill>
              </w:rPr>
              <w:t>）</w:t>
            </w:r>
          </w:p>
        </w:tc>
        <w:tc>
          <w:tcPr>
            <w:tcW w:w="5358" w:type="dxa"/>
            <w:vAlign w:val="center"/>
          </w:tcPr>
          <w:p>
            <w:pPr>
              <w:jc w:val="left"/>
              <w:rPr>
                <w:rFonts w:ascii="宋体" w:hAns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比选申请人</w:t>
            </w:r>
            <w:r>
              <w:rPr>
                <w:rFonts w:hint="eastAsia" w:ascii="宋体" w:hAnsi="宋体"/>
                <w:b/>
                <w:color w:val="000000" w:themeColor="text1"/>
                <w:kern w:val="0"/>
                <w:sz w:val="24"/>
                <w14:textFill>
                  <w14:solidFill>
                    <w14:schemeClr w14:val="tx1"/>
                  </w14:solidFill>
                </w14:textFill>
              </w:rPr>
              <w:t>含税报价</w:t>
            </w:r>
            <w:r>
              <w:rPr>
                <w:rFonts w:ascii="宋体" w:hAnsi="宋体"/>
                <w:b/>
                <w:color w:val="000000" w:themeColor="text1"/>
                <w:kern w:val="0"/>
                <w:sz w:val="24"/>
                <w14:textFill>
                  <w14:solidFill>
                    <w14:schemeClr w14:val="tx1"/>
                  </w14:solidFill>
                </w14:textFill>
              </w:rPr>
              <w:t>大于上控价时比选申请文件作无效处理</w:t>
            </w:r>
            <w:r>
              <w:rPr>
                <w:rFonts w:hint="eastAsia" w:ascii="宋体" w:hAnsi="宋体"/>
                <w:b/>
                <w:color w:val="000000" w:themeColor="text1"/>
                <w:kern w:val="0"/>
                <w:sz w:val="24"/>
                <w14:textFill>
                  <w14:solidFill>
                    <w14:schemeClr w14:val="tx1"/>
                  </w14:solidFill>
                </w14:textFill>
              </w:rPr>
              <w:t>。</w:t>
            </w:r>
          </w:p>
          <w:p>
            <w:pPr>
              <w:jc w:val="left"/>
              <w:rPr>
                <w:rFonts w:ascii="宋体" w:hAnsi="宋体"/>
                <w:color w:val="000000" w:themeColor="text1"/>
                <w:sz w:val="24"/>
                <w14:textFill>
                  <w14:solidFill>
                    <w14:schemeClr w14:val="tx1"/>
                  </w14:solidFill>
                </w14:textFill>
              </w:rPr>
            </w:pPr>
            <w:r>
              <w:rPr>
                <w:rFonts w:ascii="宋体" w:hAnsi="宋体"/>
                <w:color w:val="000000" w:themeColor="text1"/>
                <w:kern w:val="0"/>
                <w:sz w:val="24"/>
                <w14:textFill>
                  <w14:solidFill>
                    <w14:schemeClr w14:val="tx1"/>
                  </w14:solidFill>
                </w14:textFill>
              </w:rPr>
              <w:t>当比选申请人</w:t>
            </w:r>
            <w:r>
              <w:rPr>
                <w:rFonts w:hint="eastAsia" w:ascii="宋体" w:hAnsi="宋体"/>
                <w:color w:val="000000" w:themeColor="text1"/>
                <w:kern w:val="0"/>
                <w:sz w:val="24"/>
                <w14:textFill>
                  <w14:solidFill>
                    <w14:schemeClr w14:val="tx1"/>
                  </w14:solidFill>
                </w14:textFill>
              </w:rPr>
              <w:t>含税报价</w:t>
            </w:r>
            <w:r>
              <w:rPr>
                <w:rFonts w:ascii="宋体" w:hAnsi="宋体"/>
                <w:color w:val="000000" w:themeColor="text1"/>
                <w:kern w:val="0"/>
                <w:sz w:val="24"/>
                <w14:textFill>
                  <w14:solidFill>
                    <w14:schemeClr w14:val="tx1"/>
                  </w14:solidFill>
                </w14:textFill>
              </w:rPr>
              <w:t>小于或者等于上控价时</w:t>
            </w:r>
            <w:r>
              <w:rPr>
                <w:rFonts w:hint="eastAsia" w:ascii="宋体" w:hAnsi="宋体"/>
                <w:color w:val="000000" w:themeColor="text1"/>
                <w:kern w:val="0"/>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资格审查合格的有效报价投标人在5家以上（不含5家）的，将去掉最高和最低有效报价后，取有效报价的算术平均值作为评审基准价；资格审查合格的投标人在5家以下（含5家）的，取有效报价的算术平均值作为评审的基准价。</w:t>
            </w:r>
          </w:p>
          <w:p>
            <w:pPr>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评审时以经评审的基准价为最高分，采用内插法计算，</w:t>
            </w:r>
            <w:r>
              <w:rPr>
                <w:rFonts w:ascii="宋体" w:hAnsi="宋体"/>
                <w:color w:val="000000" w:themeColor="text1"/>
                <w:kern w:val="0"/>
                <w:sz w:val="24"/>
                <w14:textFill>
                  <w14:solidFill>
                    <w14:schemeClr w14:val="tx1"/>
                  </w14:solidFill>
                </w14:textFill>
              </w:rPr>
              <w:t>比选申请人</w:t>
            </w:r>
            <w:r>
              <w:rPr>
                <w:rFonts w:hint="eastAsia" w:ascii="宋体" w:hAnsi="宋体"/>
                <w:color w:val="000000" w:themeColor="text1"/>
                <w:sz w:val="24"/>
                <w14:textFill>
                  <w14:solidFill>
                    <w14:schemeClr w14:val="tx1"/>
                  </w14:solidFill>
                </w14:textFill>
              </w:rPr>
              <w:t>报价每高于基准价1％的扣0.6分，每低于基准价1％的扣0.3分，扣完即止。</w:t>
            </w:r>
          </w:p>
        </w:tc>
      </w:tr>
    </w:tbl>
    <w:p>
      <w:pPr>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2.技术部分评分细则（满分</w:t>
      </w:r>
      <w:r>
        <w:rPr>
          <w:rFonts w:ascii="宋体" w:hAnsi="宋体" w:cs="宋体"/>
          <w:color w:val="000000" w:themeColor="text1"/>
          <w:sz w:val="28"/>
          <w:szCs w:val="28"/>
          <w14:textFill>
            <w14:solidFill>
              <w14:schemeClr w14:val="tx1"/>
            </w14:solidFill>
          </w14:textFill>
        </w:rPr>
        <w:t>70</w:t>
      </w:r>
      <w:r>
        <w:rPr>
          <w:rFonts w:hint="eastAsia" w:ascii="宋体" w:hAnsi="宋体" w:cs="宋体"/>
          <w:color w:val="000000" w:themeColor="text1"/>
          <w:sz w:val="28"/>
          <w:szCs w:val="28"/>
          <w14:textFill>
            <w14:solidFill>
              <w14:schemeClr w14:val="tx1"/>
            </w14:solidFill>
          </w14:textFill>
        </w:rPr>
        <w:t>分）</w:t>
      </w:r>
    </w:p>
    <w:tbl>
      <w:tblPr>
        <w:tblStyle w:val="27"/>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5622"/>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1701"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评分因素</w:t>
            </w:r>
          </w:p>
        </w:tc>
        <w:tc>
          <w:tcPr>
            <w:tcW w:w="6775" w:type="dxa"/>
            <w:gridSpan w:val="2"/>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959" w:type="dxa"/>
            <w:vAlign w:val="center"/>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701" w:type="dxa"/>
            <w:vAlign w:val="center"/>
          </w:tcPr>
          <w:p>
            <w:pPr>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律师事务所业绩表（满分7分）</w:t>
            </w:r>
          </w:p>
        </w:tc>
        <w:tc>
          <w:tcPr>
            <w:tcW w:w="6775" w:type="dxa"/>
            <w:gridSpan w:val="2"/>
            <w:vAlign w:val="center"/>
          </w:tcPr>
          <w:p>
            <w:pPr>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20</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年</w:t>
            </w:r>
            <w:r>
              <w:rPr>
                <w:rFonts w:ascii="宋体" w:hAnsi="宋体" w:cs="宋体"/>
                <w:color w:val="000000" w:themeColor="text1"/>
                <w:sz w:val="24"/>
                <w:highlight w:val="none"/>
                <w14:textFill>
                  <w14:solidFill>
                    <w14:schemeClr w14:val="tx1"/>
                  </w14:solidFill>
                </w14:textFill>
              </w:rPr>
              <w:t>1月1日</w:t>
            </w:r>
            <w:r>
              <w:rPr>
                <w:rFonts w:hint="eastAsia" w:ascii="宋体" w:hAnsi="宋体" w:cs="宋体"/>
                <w:color w:val="000000" w:themeColor="text1"/>
                <w:sz w:val="24"/>
                <w:highlight w:val="none"/>
                <w14:textFill>
                  <w14:solidFill>
                    <w14:schemeClr w14:val="tx1"/>
                  </w14:solidFill>
                </w14:textFill>
              </w:rPr>
              <w:t>至今</w:t>
            </w:r>
            <w:r>
              <w:rPr>
                <w:rFonts w:hint="eastAsia" w:ascii="宋体" w:hAnsi="宋体" w:cs="宋体"/>
                <w:color w:val="000000" w:themeColor="text1"/>
                <w:sz w:val="24"/>
                <w14:textFill>
                  <w14:solidFill>
                    <w14:schemeClr w14:val="tx1"/>
                  </w14:solidFill>
                </w14:textFill>
              </w:rPr>
              <w:t>担任政府部门</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事业单位</w:t>
            </w:r>
            <w:r>
              <w:rPr>
                <w:rFonts w:hint="eastAsia" w:ascii="宋体" w:hAnsi="宋体" w:cs="宋体"/>
                <w:color w:val="000000" w:themeColor="text1"/>
                <w:sz w:val="24"/>
                <w14:textFill>
                  <w14:solidFill>
                    <w14:schemeClr w14:val="tx1"/>
                  </w14:solidFill>
                </w14:textFill>
              </w:rPr>
              <w:t>或金融机构或国有企业等法律顾问的业绩，提供10个以上（含10个）业绩得7分，9个业绩得6分，8个业绩得5分，7个业绩得4分，6个业绩得3个，5个业绩得1分。5个以下不得分。</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提供合同复印件体现合同对方名称及签订时间，涉及到商业秘密的内容可以隐去）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959" w:type="dxa"/>
            <w:vAlign w:val="center"/>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1701" w:type="dxa"/>
            <w:vAlign w:val="center"/>
          </w:tcPr>
          <w:p>
            <w:pPr>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律师事务所成立时间及信誉（满分</w:t>
            </w:r>
            <w:r>
              <w:rPr>
                <w:rFonts w:ascii="宋体" w:hAnsi="宋体" w:cs="宋体"/>
                <w:color w:val="000000" w:themeColor="text1"/>
                <w:kern w:val="0"/>
                <w:sz w:val="24"/>
                <w14:textFill>
                  <w14:solidFill>
                    <w14:schemeClr w14:val="tx1"/>
                  </w14:solidFill>
                </w14:textFill>
              </w:rPr>
              <w:t>8</w:t>
            </w:r>
            <w:r>
              <w:rPr>
                <w:rFonts w:hint="eastAsia" w:ascii="宋体" w:hAnsi="宋体" w:cs="宋体"/>
                <w:color w:val="000000" w:themeColor="text1"/>
                <w:kern w:val="0"/>
                <w:sz w:val="24"/>
                <w14:textFill>
                  <w14:solidFill>
                    <w14:schemeClr w14:val="tx1"/>
                  </w14:solidFill>
                </w14:textFill>
              </w:rPr>
              <w:t>分）</w:t>
            </w:r>
          </w:p>
        </w:tc>
        <w:tc>
          <w:tcPr>
            <w:tcW w:w="6775" w:type="dxa"/>
            <w:gridSpan w:val="2"/>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比选申请人成立时间：10年（含）以上得5分，9-7年得3分，6-5年得1分。5年以下不得分。201</w:t>
            </w: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年1月1日以来被律师协会评为优秀律师事务所的，得3分。未获得过优秀律师事务所的，不得分。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959" w:type="dxa"/>
            <w:vMerge w:val="restart"/>
            <w:vAlign w:val="center"/>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p>
        </w:tc>
        <w:tc>
          <w:tcPr>
            <w:tcW w:w="1701" w:type="dxa"/>
            <w:vAlign w:val="center"/>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拟投入人员配置明细（满分</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0分</w:t>
            </w:r>
          </w:p>
        </w:tc>
        <w:tc>
          <w:tcPr>
            <w:tcW w:w="6775" w:type="dxa"/>
            <w:gridSpan w:val="2"/>
            <w:vAlign w:val="center"/>
          </w:tcPr>
          <w:p>
            <w:pPr>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拟指派律师团队中3名及以上均为律师事务所主任律师或合伙人，且执业年限达</w:t>
            </w:r>
            <w:r>
              <w:rPr>
                <w:rFonts w:ascii="宋体" w:hAnsi="宋体" w:cs="宋体"/>
                <w:color w:val="000000" w:themeColor="text1"/>
                <w:sz w:val="24"/>
                <w14:textFill>
                  <w14:solidFill>
                    <w14:schemeClr w14:val="tx1"/>
                  </w14:solidFill>
                </w14:textFill>
              </w:rPr>
              <w:t>10年以上</w:t>
            </w:r>
            <w:r>
              <w:rPr>
                <w:rFonts w:hint="eastAsia" w:ascii="宋体" w:hAnsi="宋体" w:cs="宋体"/>
                <w:color w:val="000000" w:themeColor="text1"/>
                <w:sz w:val="24"/>
                <w14:textFill>
                  <w14:solidFill>
                    <w14:schemeClr w14:val="tx1"/>
                  </w14:solidFill>
                </w14:textFill>
              </w:rPr>
              <w:t>的得</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0分，2名为律师事务所主任律师或合伙人，且执业年限达</w:t>
            </w:r>
            <w:r>
              <w:rPr>
                <w:rFonts w:ascii="宋体" w:hAnsi="宋体" w:cs="宋体"/>
                <w:color w:val="000000" w:themeColor="text1"/>
                <w:sz w:val="24"/>
                <w14:textFill>
                  <w14:solidFill>
                    <w14:schemeClr w14:val="tx1"/>
                  </w14:solidFill>
                </w14:textFill>
              </w:rPr>
              <w:t>10年以上</w:t>
            </w:r>
            <w:r>
              <w:rPr>
                <w:rFonts w:hint="eastAsia" w:ascii="宋体" w:hAnsi="宋体" w:cs="宋体"/>
                <w:color w:val="000000" w:themeColor="text1"/>
                <w:sz w:val="24"/>
                <w14:textFill>
                  <w14:solidFill>
                    <w14:schemeClr w14:val="tx1"/>
                  </w14:solidFill>
                </w14:textFill>
              </w:rPr>
              <w:t>的得6分，1名为律师事务所主任律师或合伙人，且执业年限达</w:t>
            </w:r>
            <w:r>
              <w:rPr>
                <w:rFonts w:ascii="宋体" w:hAnsi="宋体" w:cs="宋体"/>
                <w:color w:val="000000" w:themeColor="text1"/>
                <w:sz w:val="24"/>
                <w14:textFill>
                  <w14:solidFill>
                    <w14:schemeClr w14:val="tx1"/>
                  </w14:solidFill>
                </w14:textFill>
              </w:rPr>
              <w:t>10年以上</w:t>
            </w:r>
            <w:r>
              <w:rPr>
                <w:rFonts w:hint="eastAsia" w:ascii="宋体" w:hAnsi="宋体" w:cs="宋体"/>
                <w:color w:val="000000" w:themeColor="text1"/>
                <w:sz w:val="24"/>
                <w14:textFill>
                  <w14:solidFill>
                    <w14:schemeClr w14:val="tx1"/>
                  </w14:solidFill>
                </w14:textFill>
              </w:rPr>
              <w:t>的得3分，</w:t>
            </w:r>
            <w:r>
              <w:rPr>
                <w:rFonts w:hint="eastAsia" w:ascii="宋体" w:hAnsi="宋体" w:cs="宋体"/>
                <w:color w:val="000000" w:themeColor="text1"/>
                <w:kern w:val="0"/>
                <w:sz w:val="24"/>
                <w14:textFill>
                  <w14:solidFill>
                    <w14:schemeClr w14:val="tx1"/>
                  </w14:solidFill>
                </w14:textFill>
              </w:rPr>
              <w:t>指派律师团队中无</w:t>
            </w:r>
            <w:r>
              <w:rPr>
                <w:rFonts w:hint="eastAsia" w:ascii="宋体" w:hAnsi="宋体" w:cs="宋体"/>
                <w:color w:val="000000" w:themeColor="text1"/>
                <w:sz w:val="24"/>
                <w14:textFill>
                  <w14:solidFill>
                    <w14:schemeClr w14:val="tx1"/>
                  </w14:solidFill>
                </w14:textFill>
              </w:rPr>
              <w:t>律师事务所主任律师或合伙人的</w:t>
            </w:r>
            <w:r>
              <w:rPr>
                <w:rFonts w:hint="eastAsia" w:ascii="宋体" w:hAnsi="宋体" w:cs="宋体"/>
                <w:color w:val="000000" w:themeColor="text1"/>
                <w:kern w:val="0"/>
                <w:sz w:val="24"/>
                <w14:textFill>
                  <w14:solidFill>
                    <w14:schemeClr w14:val="tx1"/>
                  </w14:solidFill>
                </w14:textFill>
              </w:rPr>
              <w:t>不得分。（需提供证明材料）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959" w:type="dxa"/>
            <w:vMerge w:val="continue"/>
            <w:vAlign w:val="center"/>
          </w:tcPr>
          <w:p>
            <w:pPr>
              <w:jc w:val="center"/>
              <w:rPr>
                <w:rFonts w:ascii="宋体" w:hAnsi="宋体" w:cs="宋体"/>
                <w:color w:val="000000" w:themeColor="text1"/>
                <w:sz w:val="24"/>
                <w14:textFill>
                  <w14:solidFill>
                    <w14:schemeClr w14:val="tx1"/>
                  </w14:solidFill>
                </w14:textFill>
              </w:rPr>
            </w:pPr>
          </w:p>
        </w:tc>
        <w:tc>
          <w:tcPr>
            <w:tcW w:w="1701" w:type="dxa"/>
            <w:vAlign w:val="center"/>
          </w:tcPr>
          <w:p>
            <w:pPr>
              <w:jc w:val="center"/>
              <w:rPr>
                <w:rFonts w:ascii="宋体" w:hAnsi="宋体" w:cs="宋体"/>
                <w:color w:val="auto"/>
                <w:kern w:val="0"/>
                <w:sz w:val="24"/>
              </w:rPr>
            </w:pPr>
            <w:r>
              <w:rPr>
                <w:rFonts w:hint="eastAsia" w:ascii="宋体" w:hAnsi="宋体" w:cs="宋体"/>
                <w:color w:val="auto"/>
                <w:kern w:val="0"/>
                <w:sz w:val="24"/>
              </w:rPr>
              <w:t>拟投入人员资质（满分15分）</w:t>
            </w:r>
          </w:p>
        </w:tc>
        <w:tc>
          <w:tcPr>
            <w:tcW w:w="6775" w:type="dxa"/>
            <w:gridSpan w:val="2"/>
            <w:vAlign w:val="center"/>
          </w:tcPr>
          <w:p>
            <w:pPr>
              <w:jc w:val="left"/>
              <w:rPr>
                <w:rFonts w:ascii="宋体" w:hAnsi="宋体" w:cs="宋体"/>
                <w:color w:val="auto"/>
                <w:kern w:val="0"/>
                <w:sz w:val="24"/>
              </w:rPr>
            </w:pPr>
            <w:r>
              <w:rPr>
                <w:rFonts w:hint="eastAsia" w:ascii="宋体" w:hAnsi="宋体" w:cs="宋体"/>
                <w:color w:val="auto"/>
                <w:kern w:val="0"/>
                <w:sz w:val="24"/>
              </w:rPr>
              <w:t>拟指派每位团队律师（以三位律师业绩为限）自</w:t>
            </w:r>
            <w:r>
              <w:rPr>
                <w:rFonts w:ascii="宋体" w:hAnsi="宋体" w:cs="宋体"/>
                <w:color w:val="auto"/>
                <w:sz w:val="24"/>
              </w:rPr>
              <w:t>20</w:t>
            </w:r>
            <w:r>
              <w:rPr>
                <w:rFonts w:hint="eastAsia" w:ascii="宋体" w:hAnsi="宋体" w:cs="宋体"/>
                <w:color w:val="auto"/>
                <w:sz w:val="24"/>
              </w:rPr>
              <w:t>2</w:t>
            </w:r>
            <w:r>
              <w:rPr>
                <w:rFonts w:hint="eastAsia" w:ascii="宋体" w:hAnsi="宋体" w:cs="宋体"/>
                <w:color w:val="auto"/>
                <w:sz w:val="24"/>
                <w:lang w:val="en-US" w:eastAsia="zh-CN"/>
              </w:rPr>
              <w:t>1</w:t>
            </w:r>
            <w:r>
              <w:rPr>
                <w:rFonts w:hint="eastAsia" w:ascii="宋体" w:hAnsi="宋体" w:cs="宋体"/>
                <w:color w:val="auto"/>
                <w:sz w:val="24"/>
              </w:rPr>
              <w:t>年</w:t>
            </w:r>
            <w:r>
              <w:rPr>
                <w:rFonts w:ascii="宋体" w:hAnsi="宋体" w:cs="宋体"/>
                <w:color w:val="auto"/>
                <w:sz w:val="24"/>
              </w:rPr>
              <w:t>1月1日</w:t>
            </w:r>
            <w:r>
              <w:rPr>
                <w:rFonts w:hint="eastAsia" w:ascii="宋体" w:hAnsi="宋体" w:cs="宋体"/>
                <w:color w:val="auto"/>
                <w:sz w:val="24"/>
              </w:rPr>
              <w:t>至今</w:t>
            </w:r>
            <w:r>
              <w:rPr>
                <w:rFonts w:hint="eastAsia" w:ascii="宋体" w:hAnsi="宋体" w:cs="宋体"/>
                <w:color w:val="auto"/>
                <w:kern w:val="0"/>
                <w:sz w:val="24"/>
              </w:rPr>
              <w:t>担任</w:t>
            </w:r>
            <w:r>
              <w:rPr>
                <w:rFonts w:hint="eastAsia" w:ascii="宋体" w:hAnsi="宋体" w:cs="宋体"/>
                <w:color w:val="auto"/>
                <w:sz w:val="24"/>
              </w:rPr>
              <w:t>政府部门</w:t>
            </w:r>
            <w:r>
              <w:rPr>
                <w:rFonts w:hint="eastAsia" w:ascii="宋体" w:hAnsi="宋体" w:cs="宋体"/>
                <w:color w:val="auto"/>
                <w:sz w:val="24"/>
                <w:lang w:eastAsia="zh-CN"/>
              </w:rPr>
              <w:t>、</w:t>
            </w:r>
            <w:r>
              <w:rPr>
                <w:rFonts w:hint="eastAsia" w:ascii="宋体" w:hAnsi="宋体" w:cs="宋体"/>
                <w:color w:val="auto"/>
                <w:sz w:val="24"/>
                <w:lang w:val="en-US" w:eastAsia="zh-CN"/>
              </w:rPr>
              <w:t>事业单位</w:t>
            </w:r>
            <w:r>
              <w:rPr>
                <w:rFonts w:hint="eastAsia" w:ascii="宋体" w:hAnsi="宋体" w:cs="宋体"/>
                <w:color w:val="auto"/>
                <w:sz w:val="24"/>
              </w:rPr>
              <w:t>或金融机构或国有企业</w:t>
            </w:r>
            <w:r>
              <w:rPr>
                <w:rFonts w:hint="eastAsia" w:ascii="宋体" w:hAnsi="宋体" w:cs="宋体"/>
                <w:color w:val="auto"/>
                <w:kern w:val="0"/>
                <w:sz w:val="24"/>
              </w:rPr>
              <w:t>法律顾问5家及以上的得5分，4家得3分，3家得1分。累计满分15分。（</w:t>
            </w:r>
            <w:r>
              <w:rPr>
                <w:rFonts w:hint="eastAsia" w:ascii="宋体" w:hAnsi="宋体" w:cs="宋体"/>
                <w:color w:val="auto"/>
                <w:sz w:val="24"/>
              </w:rPr>
              <w:t>提供合同复印件体现合同对方名称及签订时间，涉及到商业秘密的内容可以隐去）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959" w:type="dxa"/>
            <w:vMerge w:val="restart"/>
            <w:vAlign w:val="center"/>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p>
        </w:tc>
        <w:tc>
          <w:tcPr>
            <w:tcW w:w="1701" w:type="dxa"/>
            <w:vMerge w:val="restart"/>
            <w:vAlign w:val="center"/>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服务方案</w:t>
            </w:r>
          </w:p>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（满分</w:t>
            </w:r>
            <w:r>
              <w:rPr>
                <w:rFonts w:ascii="宋体" w:hAnsi="宋体" w:cs="宋体"/>
                <w:color w:val="000000" w:themeColor="text1"/>
                <w:kern w:val="0"/>
                <w:sz w:val="24"/>
                <w14:textFill>
                  <w14:solidFill>
                    <w14:schemeClr w14:val="tx1"/>
                  </w14:solidFill>
                </w14:textFill>
              </w:rPr>
              <w:t>30</w:t>
            </w:r>
            <w:r>
              <w:rPr>
                <w:rFonts w:hint="eastAsia" w:ascii="宋体" w:hAnsi="宋体" w:cs="宋体"/>
                <w:color w:val="000000" w:themeColor="text1"/>
                <w:kern w:val="0"/>
                <w:sz w:val="24"/>
                <w14:textFill>
                  <w14:solidFill>
                    <w14:schemeClr w14:val="tx1"/>
                  </w14:solidFill>
                </w14:textFill>
              </w:rPr>
              <w:t>分）（主要从服务态度、服务质量、服务响应时间、坐班服务、培训等方面</w:t>
            </w:r>
            <w:r>
              <w:rPr>
                <w:rFonts w:hint="eastAsia" w:ascii="宋体" w:hAnsi="宋体" w:cs="宋体"/>
                <w:kern w:val="0"/>
                <w:sz w:val="24"/>
                <w:lang w:val="en-US" w:eastAsia="zh-CN"/>
              </w:rPr>
              <w:t>以及述标问题</w:t>
            </w:r>
            <w:r>
              <w:rPr>
                <w:rFonts w:hint="eastAsia" w:ascii="宋体" w:hAnsi="宋体" w:cs="宋体"/>
                <w:color w:val="000000" w:themeColor="text1"/>
                <w:kern w:val="0"/>
                <w:sz w:val="24"/>
                <w14:textFill>
                  <w14:solidFill>
                    <w14:schemeClr w14:val="tx1"/>
                  </w14:solidFill>
                </w14:textFill>
              </w:rPr>
              <w:t>进行阐述。）</w:t>
            </w:r>
          </w:p>
        </w:tc>
        <w:tc>
          <w:tcPr>
            <w:tcW w:w="5622" w:type="dxa"/>
            <w:vAlign w:val="center"/>
          </w:tcPr>
          <w:p>
            <w:pPr>
              <w:spacing w:line="276" w:lineRule="auto"/>
              <w:jc w:val="left"/>
              <w:rPr>
                <w:rFonts w:ascii="宋体" w:hAnsi="宋体" w:cs="宋体"/>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对法律顾问工作服务方案不够全面，对服务工作重点不够突出，针对性不强，工作内容不够全面，可实施性较差。</w:t>
            </w:r>
            <w:r>
              <w:rPr>
                <w:rFonts w:hint="eastAsia"/>
                <w:sz w:val="24"/>
                <w:lang w:val="en-US" w:eastAsia="zh-CN"/>
              </w:rPr>
              <w:t>述标环节问题把握不准，法律适用错误，表达能力差。</w:t>
            </w:r>
          </w:p>
        </w:tc>
        <w:tc>
          <w:tcPr>
            <w:tcW w:w="1153" w:type="dxa"/>
            <w:vAlign w:val="center"/>
          </w:tcPr>
          <w:p>
            <w:pPr>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一档：0～9分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959" w:type="dxa"/>
            <w:vMerge w:val="continue"/>
            <w:vAlign w:val="center"/>
          </w:tcPr>
          <w:p>
            <w:pPr>
              <w:jc w:val="center"/>
              <w:rPr>
                <w:rFonts w:ascii="宋体" w:hAnsi="宋体" w:cs="宋体"/>
                <w:color w:val="000000" w:themeColor="text1"/>
                <w:kern w:val="0"/>
                <w:sz w:val="24"/>
                <w14:textFill>
                  <w14:solidFill>
                    <w14:schemeClr w14:val="tx1"/>
                  </w14:solidFill>
                </w14:textFill>
              </w:rPr>
            </w:pPr>
          </w:p>
        </w:tc>
        <w:tc>
          <w:tcPr>
            <w:tcW w:w="1701" w:type="dxa"/>
            <w:vMerge w:val="continue"/>
            <w:vAlign w:val="center"/>
          </w:tcPr>
          <w:p>
            <w:pPr>
              <w:jc w:val="center"/>
              <w:rPr>
                <w:rFonts w:ascii="宋体" w:hAnsi="宋体" w:cs="宋体"/>
                <w:color w:val="000000" w:themeColor="text1"/>
                <w:kern w:val="0"/>
                <w:sz w:val="24"/>
                <w14:textFill>
                  <w14:solidFill>
                    <w14:schemeClr w14:val="tx1"/>
                  </w14:solidFill>
                </w14:textFill>
              </w:rPr>
            </w:pPr>
          </w:p>
        </w:tc>
        <w:tc>
          <w:tcPr>
            <w:tcW w:w="5622" w:type="dxa"/>
            <w:vAlign w:val="center"/>
          </w:tcPr>
          <w:p>
            <w:pPr>
              <w:spacing w:line="276" w:lineRule="auto"/>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对法律顾问工作服务方案较全面，科学合理，对服务工作重点较突出，针对性较强，工作内容较全面，有较强的可实施性。</w:t>
            </w:r>
            <w:r>
              <w:rPr>
                <w:rFonts w:hint="eastAsia"/>
                <w:sz w:val="24"/>
                <w:lang w:val="en-US" w:eastAsia="zh-CN"/>
              </w:rPr>
              <w:t>述标环节问题把握较好，法律适用较准确，表达能力较好。</w:t>
            </w:r>
          </w:p>
        </w:tc>
        <w:tc>
          <w:tcPr>
            <w:tcW w:w="1153" w:type="dxa"/>
            <w:vAlign w:val="center"/>
          </w:tcPr>
          <w:p>
            <w:pPr>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二档：9.1～20分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59" w:type="dxa"/>
            <w:vMerge w:val="continue"/>
            <w:vAlign w:val="center"/>
          </w:tcPr>
          <w:p>
            <w:pPr>
              <w:jc w:val="center"/>
              <w:rPr>
                <w:rFonts w:ascii="宋体" w:hAnsi="宋体" w:cs="宋体"/>
                <w:color w:val="000000" w:themeColor="text1"/>
                <w:kern w:val="0"/>
                <w:sz w:val="24"/>
                <w14:textFill>
                  <w14:solidFill>
                    <w14:schemeClr w14:val="tx1"/>
                  </w14:solidFill>
                </w14:textFill>
              </w:rPr>
            </w:pPr>
          </w:p>
        </w:tc>
        <w:tc>
          <w:tcPr>
            <w:tcW w:w="1701" w:type="dxa"/>
            <w:vMerge w:val="continue"/>
            <w:vAlign w:val="center"/>
          </w:tcPr>
          <w:p>
            <w:pPr>
              <w:jc w:val="center"/>
              <w:rPr>
                <w:rFonts w:ascii="宋体" w:hAnsi="宋体" w:cs="宋体"/>
                <w:color w:val="000000" w:themeColor="text1"/>
                <w:kern w:val="0"/>
                <w:sz w:val="24"/>
                <w14:textFill>
                  <w14:solidFill>
                    <w14:schemeClr w14:val="tx1"/>
                  </w14:solidFill>
                </w14:textFill>
              </w:rPr>
            </w:pPr>
          </w:p>
        </w:tc>
        <w:tc>
          <w:tcPr>
            <w:tcW w:w="5622" w:type="dxa"/>
            <w:vAlign w:val="center"/>
          </w:tcPr>
          <w:p>
            <w:pPr>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对法律顾问工作服务方案详细全面，科学合理，对服务工作重点突出，针对性强，工作内容全面，可实施性强。</w:t>
            </w:r>
            <w:r>
              <w:rPr>
                <w:rFonts w:hint="eastAsia"/>
                <w:sz w:val="24"/>
                <w:lang w:val="en-US" w:eastAsia="zh-CN"/>
              </w:rPr>
              <w:t>述标环节问题把握准确，法律适用准确，表达能力好。</w:t>
            </w:r>
          </w:p>
        </w:tc>
        <w:tc>
          <w:tcPr>
            <w:tcW w:w="1153" w:type="dxa"/>
            <w:vAlign w:val="center"/>
          </w:tcPr>
          <w:p>
            <w:pPr>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三档：20.1～30分</w:t>
            </w:r>
          </w:p>
        </w:tc>
      </w:tr>
    </w:tbl>
    <w:p>
      <w:pPr>
        <w:pStyle w:val="4"/>
        <w:spacing w:line="240" w:lineRule="auto"/>
        <w:rPr>
          <w:color w:val="000000" w:themeColor="text1"/>
          <w:szCs w:val="28"/>
          <w14:textFill>
            <w14:solidFill>
              <w14:schemeClr w14:val="tx1"/>
            </w14:solidFill>
          </w14:textFill>
        </w:rPr>
      </w:pPr>
      <w:bookmarkStart w:id="398" w:name="_Toc27525"/>
      <w:bookmarkStart w:id="399" w:name="_Toc19365"/>
      <w:bookmarkStart w:id="400" w:name="_Toc19593"/>
      <w:bookmarkStart w:id="401" w:name="_Toc24296"/>
      <w:bookmarkStart w:id="402" w:name="_Toc10183"/>
      <w:bookmarkStart w:id="403" w:name="_Toc22367"/>
      <w:bookmarkStart w:id="404" w:name="_Toc19395"/>
      <w:bookmarkStart w:id="405" w:name="_Toc21685"/>
      <w:bookmarkStart w:id="406" w:name="_Toc471482377"/>
      <w:bookmarkStart w:id="407" w:name="_Toc15663"/>
      <w:r>
        <w:rPr>
          <w:rFonts w:hint="eastAsia"/>
          <w:color w:val="000000" w:themeColor="text1"/>
          <w:szCs w:val="28"/>
          <w14:textFill>
            <w14:solidFill>
              <w14:schemeClr w14:val="tx1"/>
            </w14:solidFill>
          </w14:textFill>
        </w:rPr>
        <w:t>四、中选标准</w:t>
      </w:r>
      <w:bookmarkEnd w:id="398"/>
      <w:bookmarkEnd w:id="399"/>
      <w:bookmarkEnd w:id="400"/>
      <w:bookmarkEnd w:id="401"/>
      <w:bookmarkEnd w:id="402"/>
      <w:bookmarkEnd w:id="403"/>
      <w:bookmarkEnd w:id="404"/>
      <w:bookmarkEnd w:id="405"/>
      <w:bookmarkEnd w:id="406"/>
      <w:bookmarkEnd w:id="407"/>
    </w:p>
    <w:p>
      <w:pPr>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评比委员会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若排名第一的中选候选人自愿放弃资格或由于不可抗力的原因不能按合同规定履约的，则推荐排名第二的中选候选人，以此类推。</w:t>
      </w:r>
    </w:p>
    <w:p>
      <w:pPr>
        <w:ind w:right="753"/>
        <w:jc w:val="left"/>
        <w:rPr>
          <w:rFonts w:ascii="宋体" w:hAnsi="宋体" w:cs="宋体"/>
          <w:color w:val="000000" w:themeColor="text1"/>
          <w:sz w:val="28"/>
          <w:szCs w:val="28"/>
          <w14:textFill>
            <w14:solidFill>
              <w14:schemeClr w14:val="tx1"/>
            </w14:solidFill>
          </w14:textFill>
        </w:rPr>
      </w:pPr>
    </w:p>
    <w:sectPr>
      <w:footerReference r:id="rId3" w:type="default"/>
      <w:pgSz w:w="11906" w:h="16838"/>
      <w:pgMar w:top="1440" w:right="1440" w:bottom="1440" w:left="1247"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宋体-方正超大字符集">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24180" cy="157480"/>
              <wp:effectExtent l="0" t="0" r="0" b="0"/>
              <wp:wrapNone/>
              <wp:docPr id="1" name="文本框5"/>
              <wp:cNvGraphicFramePr/>
              <a:graphic xmlns:a="http://schemas.openxmlformats.org/drawingml/2006/main">
                <a:graphicData uri="http://schemas.microsoft.com/office/word/2010/wordprocessingShape">
                  <wps:wsp>
                    <wps:cNvSpPr txBox="1"/>
                    <wps:spPr>
                      <a:xfrm>
                        <a:off x="0" y="0"/>
                        <a:ext cx="424180" cy="157480"/>
                      </a:xfrm>
                      <a:prstGeom prst="rect">
                        <a:avLst/>
                      </a:prstGeom>
                      <a:noFill/>
                      <a:ln w="9525">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39</w:t>
                          </w:r>
                          <w:r>
                            <w:rPr>
                              <w:rFonts w:hint="eastAsia"/>
                              <w:sz w:val="18"/>
                            </w:rPr>
                            <w:fldChar w:fldCharType="end"/>
                          </w:r>
                          <w:r>
                            <w:rPr>
                              <w:rFonts w:hint="eastAsia"/>
                              <w:sz w:val="18"/>
                            </w:rPr>
                            <w:t>页</w:t>
                          </w:r>
                        </w:p>
                      </w:txbxContent>
                    </wps:txbx>
                    <wps:bodyPr wrap="none" lIns="0" tIns="0" rIns="0" bIns="0" upright="1">
                      <a:spAutoFit/>
                    </wps:bodyPr>
                  </wps:wsp>
                </a:graphicData>
              </a:graphic>
            </wp:anchor>
          </w:drawing>
        </mc:Choice>
        <mc:Fallback>
          <w:pict>
            <v:shape id="文本框5" o:spid="_x0000_s1026" o:spt="202" type="#_x0000_t202" style="position:absolute;left:0pt;margin-top:0pt;height:12.4pt;width:33.4pt;mso-position-horizontal:center;mso-position-horizontal-relative:margin;mso-wrap-style:none;z-index:251659264;mso-width-relative:page;mso-height-relative:page;" filled="f" stroked="f" coordsize="21600,21600" o:gfxdata="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S6dxLRAAAAAwEAAA8AAAAAAAAAAQAgAAAA&#10;IgAAAGRycy9kb3ducmV2LnhtbFBLAQIUABQAAAAIAIdO4kBQyV772QEAAK0DAAAOAAAAAAAAAAEA&#10;IAAAACABAABkcnMvZTJvRG9jLnhtbFBLBQYAAAAABgAGAFkBAABrBQ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39</w:t>
                    </w:r>
                    <w:r>
                      <w:rPr>
                        <w:rFonts w:hint="eastAsia"/>
                        <w:sz w:val="18"/>
                      </w:rPr>
                      <w:fldChar w:fldCharType="end"/>
                    </w:r>
                    <w:r>
                      <w:rPr>
                        <w:rFonts w:hint="eastAsia"/>
                        <w:sz w:val="18"/>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3A965F"/>
    <w:multiLevelType w:val="singleLevel"/>
    <w:tmpl w:val="E93A965F"/>
    <w:lvl w:ilvl="0" w:tentative="0">
      <w:start w:val="3"/>
      <w:numFmt w:val="chineseCounting"/>
      <w:suff w:val="nothing"/>
      <w:lvlText w:val="%1、"/>
      <w:lvlJc w:val="left"/>
      <w:rPr>
        <w:rFonts w:hint="eastAsia"/>
      </w:rPr>
    </w:lvl>
  </w:abstractNum>
  <w:abstractNum w:abstractNumId="1">
    <w:nsid w:val="1E9A887B"/>
    <w:multiLevelType w:val="singleLevel"/>
    <w:tmpl w:val="1E9A887B"/>
    <w:lvl w:ilvl="0" w:tentative="0">
      <w:start w:val="5"/>
      <w:numFmt w:val="decimal"/>
      <w:lvlText w:val="%1."/>
      <w:lvlJc w:val="left"/>
      <w:pPr>
        <w:tabs>
          <w:tab w:val="left" w:pos="312"/>
        </w:tabs>
      </w:pPr>
    </w:lvl>
  </w:abstractNum>
  <w:abstractNum w:abstractNumId="2">
    <w:nsid w:val="52ABEA66"/>
    <w:multiLevelType w:val="singleLevel"/>
    <w:tmpl w:val="52ABEA66"/>
    <w:lvl w:ilvl="0" w:tentative="0">
      <w:start w:val="3"/>
      <w:numFmt w:val="chineseCounting"/>
      <w:suff w:val="space"/>
      <w:lvlText w:val="第%1章"/>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trackRevisions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YmM5NjU2ZDU0ZDE0ZWM4ZDNhZjc2M2VhMDJhYWEifQ=="/>
  </w:docVars>
  <w:rsids>
    <w:rsidRoot w:val="00172A27"/>
    <w:rsid w:val="00002B51"/>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F7"/>
    <w:rsid w:val="00015CBC"/>
    <w:rsid w:val="00016D41"/>
    <w:rsid w:val="00016E1C"/>
    <w:rsid w:val="0002218A"/>
    <w:rsid w:val="0002500A"/>
    <w:rsid w:val="00025256"/>
    <w:rsid w:val="00025835"/>
    <w:rsid w:val="0002675F"/>
    <w:rsid w:val="00026A53"/>
    <w:rsid w:val="00026FFC"/>
    <w:rsid w:val="000302A5"/>
    <w:rsid w:val="000318D8"/>
    <w:rsid w:val="00035BD9"/>
    <w:rsid w:val="00042228"/>
    <w:rsid w:val="00046AB9"/>
    <w:rsid w:val="00047299"/>
    <w:rsid w:val="000473D4"/>
    <w:rsid w:val="000506DC"/>
    <w:rsid w:val="000509ED"/>
    <w:rsid w:val="00050E7F"/>
    <w:rsid w:val="00052B63"/>
    <w:rsid w:val="00053215"/>
    <w:rsid w:val="00054A84"/>
    <w:rsid w:val="00054F81"/>
    <w:rsid w:val="0005651D"/>
    <w:rsid w:val="00057BDC"/>
    <w:rsid w:val="00062107"/>
    <w:rsid w:val="0007095D"/>
    <w:rsid w:val="000721B2"/>
    <w:rsid w:val="00072A19"/>
    <w:rsid w:val="00073C07"/>
    <w:rsid w:val="0007429E"/>
    <w:rsid w:val="00075096"/>
    <w:rsid w:val="0007583F"/>
    <w:rsid w:val="00076DF2"/>
    <w:rsid w:val="000843B4"/>
    <w:rsid w:val="00090B50"/>
    <w:rsid w:val="00094668"/>
    <w:rsid w:val="000971C8"/>
    <w:rsid w:val="00097B62"/>
    <w:rsid w:val="000A4B9C"/>
    <w:rsid w:val="000A6250"/>
    <w:rsid w:val="000B0BA3"/>
    <w:rsid w:val="000B1107"/>
    <w:rsid w:val="000B2862"/>
    <w:rsid w:val="000B6659"/>
    <w:rsid w:val="000B688D"/>
    <w:rsid w:val="000C488A"/>
    <w:rsid w:val="000C4E33"/>
    <w:rsid w:val="000C69DD"/>
    <w:rsid w:val="000D0354"/>
    <w:rsid w:val="000D67D8"/>
    <w:rsid w:val="000D7E70"/>
    <w:rsid w:val="000E3A4D"/>
    <w:rsid w:val="000E3EF7"/>
    <w:rsid w:val="000E4878"/>
    <w:rsid w:val="000E5816"/>
    <w:rsid w:val="000E59C4"/>
    <w:rsid w:val="000E6869"/>
    <w:rsid w:val="000F032E"/>
    <w:rsid w:val="000F0956"/>
    <w:rsid w:val="000F1C10"/>
    <w:rsid w:val="000F2D03"/>
    <w:rsid w:val="000F36DC"/>
    <w:rsid w:val="000F453A"/>
    <w:rsid w:val="00100558"/>
    <w:rsid w:val="00100DB4"/>
    <w:rsid w:val="001014A5"/>
    <w:rsid w:val="00104172"/>
    <w:rsid w:val="00104382"/>
    <w:rsid w:val="00107C43"/>
    <w:rsid w:val="00111B38"/>
    <w:rsid w:val="00111C5D"/>
    <w:rsid w:val="00111EE3"/>
    <w:rsid w:val="001144D2"/>
    <w:rsid w:val="001202B5"/>
    <w:rsid w:val="00124157"/>
    <w:rsid w:val="00124D07"/>
    <w:rsid w:val="001255FC"/>
    <w:rsid w:val="00126543"/>
    <w:rsid w:val="00127D4A"/>
    <w:rsid w:val="001330C5"/>
    <w:rsid w:val="00133DBF"/>
    <w:rsid w:val="0013663C"/>
    <w:rsid w:val="0014338D"/>
    <w:rsid w:val="0014456C"/>
    <w:rsid w:val="001449DE"/>
    <w:rsid w:val="00150488"/>
    <w:rsid w:val="00153375"/>
    <w:rsid w:val="00153BCB"/>
    <w:rsid w:val="00154126"/>
    <w:rsid w:val="00155A9D"/>
    <w:rsid w:val="00164EAC"/>
    <w:rsid w:val="001662B3"/>
    <w:rsid w:val="001662F2"/>
    <w:rsid w:val="001663DA"/>
    <w:rsid w:val="00170EBD"/>
    <w:rsid w:val="001713FC"/>
    <w:rsid w:val="00172A27"/>
    <w:rsid w:val="00175CD0"/>
    <w:rsid w:val="00176048"/>
    <w:rsid w:val="00177BAE"/>
    <w:rsid w:val="00183305"/>
    <w:rsid w:val="00183B12"/>
    <w:rsid w:val="001843DD"/>
    <w:rsid w:val="00191030"/>
    <w:rsid w:val="00196765"/>
    <w:rsid w:val="001A01E7"/>
    <w:rsid w:val="001A162D"/>
    <w:rsid w:val="001A7092"/>
    <w:rsid w:val="001A7FCC"/>
    <w:rsid w:val="001B1E3E"/>
    <w:rsid w:val="001B374B"/>
    <w:rsid w:val="001B7E76"/>
    <w:rsid w:val="001C499E"/>
    <w:rsid w:val="001C4EF7"/>
    <w:rsid w:val="001D0171"/>
    <w:rsid w:val="001D3F0A"/>
    <w:rsid w:val="001D54D7"/>
    <w:rsid w:val="001D7F3C"/>
    <w:rsid w:val="001E086F"/>
    <w:rsid w:val="001E3135"/>
    <w:rsid w:val="001E3877"/>
    <w:rsid w:val="001E56AB"/>
    <w:rsid w:val="001E6897"/>
    <w:rsid w:val="001E6FA6"/>
    <w:rsid w:val="001F35F6"/>
    <w:rsid w:val="001F3870"/>
    <w:rsid w:val="001F4BDB"/>
    <w:rsid w:val="001F4E5C"/>
    <w:rsid w:val="001F701C"/>
    <w:rsid w:val="0020071F"/>
    <w:rsid w:val="00200760"/>
    <w:rsid w:val="00200936"/>
    <w:rsid w:val="00201BC0"/>
    <w:rsid w:val="00203043"/>
    <w:rsid w:val="00203566"/>
    <w:rsid w:val="00205A6E"/>
    <w:rsid w:val="00207C5E"/>
    <w:rsid w:val="002115C2"/>
    <w:rsid w:val="002134A1"/>
    <w:rsid w:val="0021374F"/>
    <w:rsid w:val="00217C6B"/>
    <w:rsid w:val="00217DCB"/>
    <w:rsid w:val="00217DD1"/>
    <w:rsid w:val="00220C52"/>
    <w:rsid w:val="002230F2"/>
    <w:rsid w:val="00225ADC"/>
    <w:rsid w:val="00225B9E"/>
    <w:rsid w:val="00225C92"/>
    <w:rsid w:val="002267BB"/>
    <w:rsid w:val="00227BD1"/>
    <w:rsid w:val="0023123F"/>
    <w:rsid w:val="002325AE"/>
    <w:rsid w:val="00233898"/>
    <w:rsid w:val="00241BF1"/>
    <w:rsid w:val="002422EC"/>
    <w:rsid w:val="00242EA9"/>
    <w:rsid w:val="0024437B"/>
    <w:rsid w:val="002459DE"/>
    <w:rsid w:val="002470C0"/>
    <w:rsid w:val="002472A7"/>
    <w:rsid w:val="00247729"/>
    <w:rsid w:val="00247D59"/>
    <w:rsid w:val="002528A0"/>
    <w:rsid w:val="002536AF"/>
    <w:rsid w:val="00254C9E"/>
    <w:rsid w:val="002622EC"/>
    <w:rsid w:val="00263316"/>
    <w:rsid w:val="00263451"/>
    <w:rsid w:val="002658DA"/>
    <w:rsid w:val="0026672D"/>
    <w:rsid w:val="00270C77"/>
    <w:rsid w:val="00271F3E"/>
    <w:rsid w:val="002742AA"/>
    <w:rsid w:val="00274AF3"/>
    <w:rsid w:val="00275CC8"/>
    <w:rsid w:val="00276ECA"/>
    <w:rsid w:val="00282402"/>
    <w:rsid w:val="00282FAF"/>
    <w:rsid w:val="002843C7"/>
    <w:rsid w:val="00290F2B"/>
    <w:rsid w:val="0029350D"/>
    <w:rsid w:val="00294554"/>
    <w:rsid w:val="0029680C"/>
    <w:rsid w:val="00296D4F"/>
    <w:rsid w:val="002979D7"/>
    <w:rsid w:val="002A05FA"/>
    <w:rsid w:val="002A0884"/>
    <w:rsid w:val="002A26D4"/>
    <w:rsid w:val="002A27AB"/>
    <w:rsid w:val="002A2901"/>
    <w:rsid w:val="002A5A1A"/>
    <w:rsid w:val="002A6FF2"/>
    <w:rsid w:val="002A75C4"/>
    <w:rsid w:val="002A7A98"/>
    <w:rsid w:val="002B07F0"/>
    <w:rsid w:val="002B4EE6"/>
    <w:rsid w:val="002B51AA"/>
    <w:rsid w:val="002B5539"/>
    <w:rsid w:val="002B5664"/>
    <w:rsid w:val="002B74C3"/>
    <w:rsid w:val="002C01B0"/>
    <w:rsid w:val="002C254F"/>
    <w:rsid w:val="002C3F22"/>
    <w:rsid w:val="002C4464"/>
    <w:rsid w:val="002C44B1"/>
    <w:rsid w:val="002C4B45"/>
    <w:rsid w:val="002C5102"/>
    <w:rsid w:val="002C552D"/>
    <w:rsid w:val="002C57EF"/>
    <w:rsid w:val="002C61BE"/>
    <w:rsid w:val="002C7300"/>
    <w:rsid w:val="002D06CA"/>
    <w:rsid w:val="002D09F6"/>
    <w:rsid w:val="002D2471"/>
    <w:rsid w:val="002E05BD"/>
    <w:rsid w:val="002E0B24"/>
    <w:rsid w:val="002E0BCC"/>
    <w:rsid w:val="002E10A9"/>
    <w:rsid w:val="002E10D0"/>
    <w:rsid w:val="002E41B0"/>
    <w:rsid w:val="002F1449"/>
    <w:rsid w:val="002F470F"/>
    <w:rsid w:val="002F4DB7"/>
    <w:rsid w:val="002F4DBA"/>
    <w:rsid w:val="002F5C79"/>
    <w:rsid w:val="00300C77"/>
    <w:rsid w:val="00301494"/>
    <w:rsid w:val="00301BD5"/>
    <w:rsid w:val="003020C2"/>
    <w:rsid w:val="003031F8"/>
    <w:rsid w:val="003033FE"/>
    <w:rsid w:val="00304405"/>
    <w:rsid w:val="00306511"/>
    <w:rsid w:val="003067AD"/>
    <w:rsid w:val="00306F3B"/>
    <w:rsid w:val="00307799"/>
    <w:rsid w:val="003110D9"/>
    <w:rsid w:val="003117D9"/>
    <w:rsid w:val="00311BC7"/>
    <w:rsid w:val="0031513B"/>
    <w:rsid w:val="003208C7"/>
    <w:rsid w:val="0032184E"/>
    <w:rsid w:val="00326138"/>
    <w:rsid w:val="00330B76"/>
    <w:rsid w:val="00331802"/>
    <w:rsid w:val="00333F76"/>
    <w:rsid w:val="00337398"/>
    <w:rsid w:val="00337566"/>
    <w:rsid w:val="0033784C"/>
    <w:rsid w:val="0034058C"/>
    <w:rsid w:val="00341C6C"/>
    <w:rsid w:val="00343658"/>
    <w:rsid w:val="00344EA4"/>
    <w:rsid w:val="00345496"/>
    <w:rsid w:val="0034733B"/>
    <w:rsid w:val="003507ED"/>
    <w:rsid w:val="00350FDC"/>
    <w:rsid w:val="00354DA5"/>
    <w:rsid w:val="00355333"/>
    <w:rsid w:val="00355ED6"/>
    <w:rsid w:val="00362B06"/>
    <w:rsid w:val="003638C1"/>
    <w:rsid w:val="003657B7"/>
    <w:rsid w:val="00365A1A"/>
    <w:rsid w:val="00367FDA"/>
    <w:rsid w:val="003742BE"/>
    <w:rsid w:val="003746B0"/>
    <w:rsid w:val="00374814"/>
    <w:rsid w:val="00376D62"/>
    <w:rsid w:val="00376F95"/>
    <w:rsid w:val="00381A61"/>
    <w:rsid w:val="0038264F"/>
    <w:rsid w:val="003842F0"/>
    <w:rsid w:val="00384955"/>
    <w:rsid w:val="0038571A"/>
    <w:rsid w:val="00387605"/>
    <w:rsid w:val="003878E6"/>
    <w:rsid w:val="00387FBC"/>
    <w:rsid w:val="00392166"/>
    <w:rsid w:val="00393E7F"/>
    <w:rsid w:val="00393FC8"/>
    <w:rsid w:val="003954D2"/>
    <w:rsid w:val="00397194"/>
    <w:rsid w:val="003A3B68"/>
    <w:rsid w:val="003A4DE9"/>
    <w:rsid w:val="003A5902"/>
    <w:rsid w:val="003A6A4D"/>
    <w:rsid w:val="003B2094"/>
    <w:rsid w:val="003B403A"/>
    <w:rsid w:val="003B4A82"/>
    <w:rsid w:val="003B6F49"/>
    <w:rsid w:val="003C02CA"/>
    <w:rsid w:val="003C1763"/>
    <w:rsid w:val="003C4311"/>
    <w:rsid w:val="003C766A"/>
    <w:rsid w:val="003C7F0E"/>
    <w:rsid w:val="003D011C"/>
    <w:rsid w:val="003D27B8"/>
    <w:rsid w:val="003D33D6"/>
    <w:rsid w:val="003D3CD0"/>
    <w:rsid w:val="003D598F"/>
    <w:rsid w:val="003D5D3B"/>
    <w:rsid w:val="003D6E24"/>
    <w:rsid w:val="003E1AEF"/>
    <w:rsid w:val="003E3E70"/>
    <w:rsid w:val="003E3E74"/>
    <w:rsid w:val="003E510F"/>
    <w:rsid w:val="003E52EC"/>
    <w:rsid w:val="003E55BC"/>
    <w:rsid w:val="003E6D8E"/>
    <w:rsid w:val="003E7497"/>
    <w:rsid w:val="003F2167"/>
    <w:rsid w:val="003F52A4"/>
    <w:rsid w:val="003F5E76"/>
    <w:rsid w:val="003F6C46"/>
    <w:rsid w:val="004017C8"/>
    <w:rsid w:val="004019AE"/>
    <w:rsid w:val="0040307D"/>
    <w:rsid w:val="0040386D"/>
    <w:rsid w:val="00404E8C"/>
    <w:rsid w:val="0041053A"/>
    <w:rsid w:val="00410642"/>
    <w:rsid w:val="00410AC3"/>
    <w:rsid w:val="00410B70"/>
    <w:rsid w:val="00412402"/>
    <w:rsid w:val="00417A21"/>
    <w:rsid w:val="004212DC"/>
    <w:rsid w:val="00421567"/>
    <w:rsid w:val="00424BAC"/>
    <w:rsid w:val="00424DD5"/>
    <w:rsid w:val="004251A5"/>
    <w:rsid w:val="0042526B"/>
    <w:rsid w:val="00432A4C"/>
    <w:rsid w:val="00433147"/>
    <w:rsid w:val="00435970"/>
    <w:rsid w:val="0043626D"/>
    <w:rsid w:val="00437749"/>
    <w:rsid w:val="004379CC"/>
    <w:rsid w:val="00441320"/>
    <w:rsid w:val="004444FC"/>
    <w:rsid w:val="004476AA"/>
    <w:rsid w:val="0045021E"/>
    <w:rsid w:val="00450FEE"/>
    <w:rsid w:val="00452AD2"/>
    <w:rsid w:val="0045560B"/>
    <w:rsid w:val="00455AC3"/>
    <w:rsid w:val="00457035"/>
    <w:rsid w:val="0046006F"/>
    <w:rsid w:val="00460F9E"/>
    <w:rsid w:val="00460FDC"/>
    <w:rsid w:val="00462355"/>
    <w:rsid w:val="00462B7F"/>
    <w:rsid w:val="004635EE"/>
    <w:rsid w:val="004638BB"/>
    <w:rsid w:val="004651BB"/>
    <w:rsid w:val="0046549A"/>
    <w:rsid w:val="00472BE5"/>
    <w:rsid w:val="0047389D"/>
    <w:rsid w:val="004748BA"/>
    <w:rsid w:val="00474A64"/>
    <w:rsid w:val="00475158"/>
    <w:rsid w:val="004763C9"/>
    <w:rsid w:val="0047642C"/>
    <w:rsid w:val="00476779"/>
    <w:rsid w:val="00481247"/>
    <w:rsid w:val="004820A1"/>
    <w:rsid w:val="004820CB"/>
    <w:rsid w:val="00482F02"/>
    <w:rsid w:val="00483CBB"/>
    <w:rsid w:val="004868D1"/>
    <w:rsid w:val="00487EC6"/>
    <w:rsid w:val="00490B21"/>
    <w:rsid w:val="004937E3"/>
    <w:rsid w:val="00494717"/>
    <w:rsid w:val="00494A06"/>
    <w:rsid w:val="004A310F"/>
    <w:rsid w:val="004B331D"/>
    <w:rsid w:val="004B48F1"/>
    <w:rsid w:val="004B494F"/>
    <w:rsid w:val="004B4F24"/>
    <w:rsid w:val="004B5660"/>
    <w:rsid w:val="004B7F0E"/>
    <w:rsid w:val="004C5AC1"/>
    <w:rsid w:val="004D13C3"/>
    <w:rsid w:val="004D1C27"/>
    <w:rsid w:val="004D3130"/>
    <w:rsid w:val="004D42A9"/>
    <w:rsid w:val="004E0E62"/>
    <w:rsid w:val="004E3306"/>
    <w:rsid w:val="004E3429"/>
    <w:rsid w:val="004E3788"/>
    <w:rsid w:val="004E6C6E"/>
    <w:rsid w:val="004E7C52"/>
    <w:rsid w:val="004F0CD4"/>
    <w:rsid w:val="004F2D28"/>
    <w:rsid w:val="004F3BC3"/>
    <w:rsid w:val="004F4566"/>
    <w:rsid w:val="004F4C1F"/>
    <w:rsid w:val="0050000D"/>
    <w:rsid w:val="00500FEC"/>
    <w:rsid w:val="00501978"/>
    <w:rsid w:val="00504C65"/>
    <w:rsid w:val="005065E5"/>
    <w:rsid w:val="0051600C"/>
    <w:rsid w:val="00520A84"/>
    <w:rsid w:val="00520B2C"/>
    <w:rsid w:val="00520EF5"/>
    <w:rsid w:val="00521DA4"/>
    <w:rsid w:val="0052204A"/>
    <w:rsid w:val="0052268A"/>
    <w:rsid w:val="005233B9"/>
    <w:rsid w:val="00523976"/>
    <w:rsid w:val="00523DB7"/>
    <w:rsid w:val="0052471F"/>
    <w:rsid w:val="00524974"/>
    <w:rsid w:val="0052513A"/>
    <w:rsid w:val="0052767A"/>
    <w:rsid w:val="00527B03"/>
    <w:rsid w:val="005328E2"/>
    <w:rsid w:val="0053358D"/>
    <w:rsid w:val="00534951"/>
    <w:rsid w:val="00536023"/>
    <w:rsid w:val="00536191"/>
    <w:rsid w:val="005364BD"/>
    <w:rsid w:val="00536A5A"/>
    <w:rsid w:val="00536E3A"/>
    <w:rsid w:val="005376ED"/>
    <w:rsid w:val="005503C0"/>
    <w:rsid w:val="0055217D"/>
    <w:rsid w:val="00552270"/>
    <w:rsid w:val="005547BA"/>
    <w:rsid w:val="005613F7"/>
    <w:rsid w:val="00561C19"/>
    <w:rsid w:val="00561FE2"/>
    <w:rsid w:val="005622A4"/>
    <w:rsid w:val="00562ABA"/>
    <w:rsid w:val="00563FB5"/>
    <w:rsid w:val="00565FF0"/>
    <w:rsid w:val="00566670"/>
    <w:rsid w:val="0057008C"/>
    <w:rsid w:val="00572644"/>
    <w:rsid w:val="00573FA2"/>
    <w:rsid w:val="00581DB0"/>
    <w:rsid w:val="00585C0E"/>
    <w:rsid w:val="0058671B"/>
    <w:rsid w:val="00587261"/>
    <w:rsid w:val="005875A2"/>
    <w:rsid w:val="00591B2E"/>
    <w:rsid w:val="00592519"/>
    <w:rsid w:val="00593BB5"/>
    <w:rsid w:val="00596B87"/>
    <w:rsid w:val="0059783D"/>
    <w:rsid w:val="005A059C"/>
    <w:rsid w:val="005A0E7A"/>
    <w:rsid w:val="005A28C9"/>
    <w:rsid w:val="005A3FA7"/>
    <w:rsid w:val="005A47F9"/>
    <w:rsid w:val="005A619E"/>
    <w:rsid w:val="005A6664"/>
    <w:rsid w:val="005B0AB7"/>
    <w:rsid w:val="005B11E5"/>
    <w:rsid w:val="005B14EB"/>
    <w:rsid w:val="005B14F2"/>
    <w:rsid w:val="005B303E"/>
    <w:rsid w:val="005B54F2"/>
    <w:rsid w:val="005B64D9"/>
    <w:rsid w:val="005B6F50"/>
    <w:rsid w:val="005B798C"/>
    <w:rsid w:val="005B7AF7"/>
    <w:rsid w:val="005C1BC8"/>
    <w:rsid w:val="005C4241"/>
    <w:rsid w:val="005C629B"/>
    <w:rsid w:val="005C7DD0"/>
    <w:rsid w:val="005D07FC"/>
    <w:rsid w:val="005D12B6"/>
    <w:rsid w:val="005D4AA7"/>
    <w:rsid w:val="005D559C"/>
    <w:rsid w:val="005D67DE"/>
    <w:rsid w:val="005E0625"/>
    <w:rsid w:val="005E181C"/>
    <w:rsid w:val="005E30F0"/>
    <w:rsid w:val="005E3167"/>
    <w:rsid w:val="005E4417"/>
    <w:rsid w:val="005E58A7"/>
    <w:rsid w:val="005F0B89"/>
    <w:rsid w:val="005F0C00"/>
    <w:rsid w:val="005F5682"/>
    <w:rsid w:val="005F648A"/>
    <w:rsid w:val="005F72F4"/>
    <w:rsid w:val="006044FB"/>
    <w:rsid w:val="006051E7"/>
    <w:rsid w:val="00606295"/>
    <w:rsid w:val="00606524"/>
    <w:rsid w:val="006066CA"/>
    <w:rsid w:val="00611C84"/>
    <w:rsid w:val="00612B65"/>
    <w:rsid w:val="006144E3"/>
    <w:rsid w:val="006175FC"/>
    <w:rsid w:val="00617C40"/>
    <w:rsid w:val="00621F5C"/>
    <w:rsid w:val="006235ED"/>
    <w:rsid w:val="00624490"/>
    <w:rsid w:val="0063331F"/>
    <w:rsid w:val="006335CD"/>
    <w:rsid w:val="00633FEC"/>
    <w:rsid w:val="0063597F"/>
    <w:rsid w:val="00637A2B"/>
    <w:rsid w:val="006400D4"/>
    <w:rsid w:val="00642AF7"/>
    <w:rsid w:val="00642D62"/>
    <w:rsid w:val="00643D34"/>
    <w:rsid w:val="00644AFE"/>
    <w:rsid w:val="00645680"/>
    <w:rsid w:val="006503EA"/>
    <w:rsid w:val="00651C7F"/>
    <w:rsid w:val="00652FD2"/>
    <w:rsid w:val="00654370"/>
    <w:rsid w:val="00655FE8"/>
    <w:rsid w:val="00656234"/>
    <w:rsid w:val="00657B19"/>
    <w:rsid w:val="006617AB"/>
    <w:rsid w:val="00662D72"/>
    <w:rsid w:val="00662DEB"/>
    <w:rsid w:val="006639E9"/>
    <w:rsid w:val="00671723"/>
    <w:rsid w:val="006730D5"/>
    <w:rsid w:val="00674162"/>
    <w:rsid w:val="00676A54"/>
    <w:rsid w:val="00677603"/>
    <w:rsid w:val="006777EA"/>
    <w:rsid w:val="00677811"/>
    <w:rsid w:val="0068193F"/>
    <w:rsid w:val="00681BB8"/>
    <w:rsid w:val="00681C07"/>
    <w:rsid w:val="00682AF5"/>
    <w:rsid w:val="00684236"/>
    <w:rsid w:val="0068602D"/>
    <w:rsid w:val="00686FEF"/>
    <w:rsid w:val="0068796D"/>
    <w:rsid w:val="00690253"/>
    <w:rsid w:val="006907B4"/>
    <w:rsid w:val="006919BC"/>
    <w:rsid w:val="00692714"/>
    <w:rsid w:val="006942C0"/>
    <w:rsid w:val="00694527"/>
    <w:rsid w:val="00694561"/>
    <w:rsid w:val="006A0620"/>
    <w:rsid w:val="006A0FE4"/>
    <w:rsid w:val="006A21D9"/>
    <w:rsid w:val="006A58F3"/>
    <w:rsid w:val="006A6755"/>
    <w:rsid w:val="006A6C7D"/>
    <w:rsid w:val="006A6D27"/>
    <w:rsid w:val="006B16DE"/>
    <w:rsid w:val="006B3DB4"/>
    <w:rsid w:val="006B5BE2"/>
    <w:rsid w:val="006B6395"/>
    <w:rsid w:val="006B6C08"/>
    <w:rsid w:val="006B7746"/>
    <w:rsid w:val="006C0643"/>
    <w:rsid w:val="006C0E34"/>
    <w:rsid w:val="006C4ABA"/>
    <w:rsid w:val="006D2FD4"/>
    <w:rsid w:val="006D36A8"/>
    <w:rsid w:val="006D38FB"/>
    <w:rsid w:val="006D41DD"/>
    <w:rsid w:val="006D4A24"/>
    <w:rsid w:val="006D61E6"/>
    <w:rsid w:val="006D71A2"/>
    <w:rsid w:val="006D73F0"/>
    <w:rsid w:val="006E052D"/>
    <w:rsid w:val="006E0D8D"/>
    <w:rsid w:val="006E1592"/>
    <w:rsid w:val="006E7797"/>
    <w:rsid w:val="006E78D1"/>
    <w:rsid w:val="006F2492"/>
    <w:rsid w:val="006F34D0"/>
    <w:rsid w:val="006F4D37"/>
    <w:rsid w:val="006F5482"/>
    <w:rsid w:val="006F7940"/>
    <w:rsid w:val="00700F73"/>
    <w:rsid w:val="00701580"/>
    <w:rsid w:val="00701CC3"/>
    <w:rsid w:val="00702856"/>
    <w:rsid w:val="00702E3F"/>
    <w:rsid w:val="00703456"/>
    <w:rsid w:val="00703842"/>
    <w:rsid w:val="00706C79"/>
    <w:rsid w:val="00710093"/>
    <w:rsid w:val="0071383F"/>
    <w:rsid w:val="00714401"/>
    <w:rsid w:val="00716480"/>
    <w:rsid w:val="00720B8A"/>
    <w:rsid w:val="007257AE"/>
    <w:rsid w:val="00730D40"/>
    <w:rsid w:val="007310C7"/>
    <w:rsid w:val="0073318F"/>
    <w:rsid w:val="007337F6"/>
    <w:rsid w:val="00735747"/>
    <w:rsid w:val="00736FB1"/>
    <w:rsid w:val="00737B62"/>
    <w:rsid w:val="00741229"/>
    <w:rsid w:val="00742890"/>
    <w:rsid w:val="007432C4"/>
    <w:rsid w:val="00743FDD"/>
    <w:rsid w:val="00744A70"/>
    <w:rsid w:val="0074508E"/>
    <w:rsid w:val="00745DF8"/>
    <w:rsid w:val="007511BB"/>
    <w:rsid w:val="007536A1"/>
    <w:rsid w:val="00753C29"/>
    <w:rsid w:val="00753FFB"/>
    <w:rsid w:val="007606B1"/>
    <w:rsid w:val="00761C4D"/>
    <w:rsid w:val="00763D44"/>
    <w:rsid w:val="00766EE3"/>
    <w:rsid w:val="00770B78"/>
    <w:rsid w:val="007716C9"/>
    <w:rsid w:val="00772492"/>
    <w:rsid w:val="0077288A"/>
    <w:rsid w:val="0077410B"/>
    <w:rsid w:val="0077550F"/>
    <w:rsid w:val="0077647A"/>
    <w:rsid w:val="00780E9E"/>
    <w:rsid w:val="007818D3"/>
    <w:rsid w:val="00784805"/>
    <w:rsid w:val="00785936"/>
    <w:rsid w:val="00785FC2"/>
    <w:rsid w:val="00787F88"/>
    <w:rsid w:val="00787FA1"/>
    <w:rsid w:val="00790475"/>
    <w:rsid w:val="007939B8"/>
    <w:rsid w:val="00795C21"/>
    <w:rsid w:val="00796AE4"/>
    <w:rsid w:val="007974EA"/>
    <w:rsid w:val="007A6451"/>
    <w:rsid w:val="007A7416"/>
    <w:rsid w:val="007A7652"/>
    <w:rsid w:val="007B02BE"/>
    <w:rsid w:val="007B182E"/>
    <w:rsid w:val="007B2684"/>
    <w:rsid w:val="007B73E1"/>
    <w:rsid w:val="007C2055"/>
    <w:rsid w:val="007C22C0"/>
    <w:rsid w:val="007C2347"/>
    <w:rsid w:val="007C516C"/>
    <w:rsid w:val="007C5741"/>
    <w:rsid w:val="007D1501"/>
    <w:rsid w:val="007D1932"/>
    <w:rsid w:val="007D32B0"/>
    <w:rsid w:val="007D40B3"/>
    <w:rsid w:val="007D4FFE"/>
    <w:rsid w:val="007E1344"/>
    <w:rsid w:val="007E1350"/>
    <w:rsid w:val="007E252F"/>
    <w:rsid w:val="007E6518"/>
    <w:rsid w:val="007E7A17"/>
    <w:rsid w:val="007F2463"/>
    <w:rsid w:val="007F26E2"/>
    <w:rsid w:val="007F6096"/>
    <w:rsid w:val="00806743"/>
    <w:rsid w:val="00811D8C"/>
    <w:rsid w:val="00811DD5"/>
    <w:rsid w:val="0081544B"/>
    <w:rsid w:val="00817034"/>
    <w:rsid w:val="00817879"/>
    <w:rsid w:val="00820C0E"/>
    <w:rsid w:val="00821BA4"/>
    <w:rsid w:val="008246C8"/>
    <w:rsid w:val="00825269"/>
    <w:rsid w:val="00827179"/>
    <w:rsid w:val="00827A4B"/>
    <w:rsid w:val="00831C1E"/>
    <w:rsid w:val="008332FB"/>
    <w:rsid w:val="00834BCC"/>
    <w:rsid w:val="008353D7"/>
    <w:rsid w:val="00836174"/>
    <w:rsid w:val="00836556"/>
    <w:rsid w:val="00836871"/>
    <w:rsid w:val="00837252"/>
    <w:rsid w:val="00837467"/>
    <w:rsid w:val="008410F3"/>
    <w:rsid w:val="00846472"/>
    <w:rsid w:val="00846762"/>
    <w:rsid w:val="00847F3D"/>
    <w:rsid w:val="00850667"/>
    <w:rsid w:val="00854C44"/>
    <w:rsid w:val="008563C0"/>
    <w:rsid w:val="00857F6A"/>
    <w:rsid w:val="00862772"/>
    <w:rsid w:val="008635F2"/>
    <w:rsid w:val="00864F39"/>
    <w:rsid w:val="00870E5A"/>
    <w:rsid w:val="008718A7"/>
    <w:rsid w:val="00872827"/>
    <w:rsid w:val="00877E85"/>
    <w:rsid w:val="008805E8"/>
    <w:rsid w:val="00882F8B"/>
    <w:rsid w:val="00883718"/>
    <w:rsid w:val="00886E35"/>
    <w:rsid w:val="00892886"/>
    <w:rsid w:val="00892DAC"/>
    <w:rsid w:val="00894324"/>
    <w:rsid w:val="008969C1"/>
    <w:rsid w:val="008974B7"/>
    <w:rsid w:val="00897DC4"/>
    <w:rsid w:val="008A0ABA"/>
    <w:rsid w:val="008A2B13"/>
    <w:rsid w:val="008A372E"/>
    <w:rsid w:val="008A4515"/>
    <w:rsid w:val="008A4698"/>
    <w:rsid w:val="008A7A6C"/>
    <w:rsid w:val="008A7DE9"/>
    <w:rsid w:val="008B0C09"/>
    <w:rsid w:val="008B1E80"/>
    <w:rsid w:val="008B3868"/>
    <w:rsid w:val="008B51AB"/>
    <w:rsid w:val="008C24EB"/>
    <w:rsid w:val="008C2790"/>
    <w:rsid w:val="008C2E5C"/>
    <w:rsid w:val="008C3EDE"/>
    <w:rsid w:val="008C524B"/>
    <w:rsid w:val="008C5A01"/>
    <w:rsid w:val="008C68BC"/>
    <w:rsid w:val="008D373D"/>
    <w:rsid w:val="008D54C1"/>
    <w:rsid w:val="008D656C"/>
    <w:rsid w:val="008D7BB8"/>
    <w:rsid w:val="008E09CE"/>
    <w:rsid w:val="008E09EA"/>
    <w:rsid w:val="008E34C9"/>
    <w:rsid w:val="008E436C"/>
    <w:rsid w:val="008E7D03"/>
    <w:rsid w:val="008F3363"/>
    <w:rsid w:val="008F4978"/>
    <w:rsid w:val="008F4C7F"/>
    <w:rsid w:val="008F506A"/>
    <w:rsid w:val="008F5714"/>
    <w:rsid w:val="008F5F3D"/>
    <w:rsid w:val="008F6C78"/>
    <w:rsid w:val="008F6DDD"/>
    <w:rsid w:val="008F6FE6"/>
    <w:rsid w:val="008F7CE8"/>
    <w:rsid w:val="00900D3F"/>
    <w:rsid w:val="00901FB3"/>
    <w:rsid w:val="00903F1E"/>
    <w:rsid w:val="00905D49"/>
    <w:rsid w:val="009064FF"/>
    <w:rsid w:val="0090660E"/>
    <w:rsid w:val="009108C5"/>
    <w:rsid w:val="009110B9"/>
    <w:rsid w:val="0091410D"/>
    <w:rsid w:val="00915BDE"/>
    <w:rsid w:val="00922051"/>
    <w:rsid w:val="00923522"/>
    <w:rsid w:val="0092381E"/>
    <w:rsid w:val="00923DEA"/>
    <w:rsid w:val="009240A3"/>
    <w:rsid w:val="00925008"/>
    <w:rsid w:val="00925374"/>
    <w:rsid w:val="00925B65"/>
    <w:rsid w:val="00926E26"/>
    <w:rsid w:val="0092735A"/>
    <w:rsid w:val="00931680"/>
    <w:rsid w:val="0093283E"/>
    <w:rsid w:val="0093291B"/>
    <w:rsid w:val="0093797C"/>
    <w:rsid w:val="00937DDE"/>
    <w:rsid w:val="00941381"/>
    <w:rsid w:val="00943377"/>
    <w:rsid w:val="00947099"/>
    <w:rsid w:val="009472A5"/>
    <w:rsid w:val="00947974"/>
    <w:rsid w:val="009534F2"/>
    <w:rsid w:val="00953511"/>
    <w:rsid w:val="00954C30"/>
    <w:rsid w:val="00956A89"/>
    <w:rsid w:val="0096317C"/>
    <w:rsid w:val="00965086"/>
    <w:rsid w:val="0096538C"/>
    <w:rsid w:val="00965D26"/>
    <w:rsid w:val="009660FE"/>
    <w:rsid w:val="009665A3"/>
    <w:rsid w:val="00966EC0"/>
    <w:rsid w:val="00967B5B"/>
    <w:rsid w:val="00970B9C"/>
    <w:rsid w:val="00971836"/>
    <w:rsid w:val="00972036"/>
    <w:rsid w:val="00973407"/>
    <w:rsid w:val="00973964"/>
    <w:rsid w:val="00973AC7"/>
    <w:rsid w:val="0097492D"/>
    <w:rsid w:val="00975C9C"/>
    <w:rsid w:val="00981420"/>
    <w:rsid w:val="009822C4"/>
    <w:rsid w:val="00984C52"/>
    <w:rsid w:val="009851A9"/>
    <w:rsid w:val="00985417"/>
    <w:rsid w:val="00990889"/>
    <w:rsid w:val="00990997"/>
    <w:rsid w:val="00991B0C"/>
    <w:rsid w:val="00991BCE"/>
    <w:rsid w:val="00993FC8"/>
    <w:rsid w:val="00996294"/>
    <w:rsid w:val="00996545"/>
    <w:rsid w:val="009A0088"/>
    <w:rsid w:val="009A166A"/>
    <w:rsid w:val="009A1BEB"/>
    <w:rsid w:val="009A1E0A"/>
    <w:rsid w:val="009A287B"/>
    <w:rsid w:val="009A3F2B"/>
    <w:rsid w:val="009A66F0"/>
    <w:rsid w:val="009A7422"/>
    <w:rsid w:val="009B036A"/>
    <w:rsid w:val="009B089A"/>
    <w:rsid w:val="009B2C73"/>
    <w:rsid w:val="009B33E9"/>
    <w:rsid w:val="009B528F"/>
    <w:rsid w:val="009C0879"/>
    <w:rsid w:val="009C186F"/>
    <w:rsid w:val="009C2A59"/>
    <w:rsid w:val="009C2EFC"/>
    <w:rsid w:val="009C6B00"/>
    <w:rsid w:val="009C7B2B"/>
    <w:rsid w:val="009D0FD9"/>
    <w:rsid w:val="009D3277"/>
    <w:rsid w:val="009D3BD0"/>
    <w:rsid w:val="009D4906"/>
    <w:rsid w:val="009D513C"/>
    <w:rsid w:val="009D5184"/>
    <w:rsid w:val="009E0520"/>
    <w:rsid w:val="009E07FD"/>
    <w:rsid w:val="009E4832"/>
    <w:rsid w:val="009E570F"/>
    <w:rsid w:val="009E6FB5"/>
    <w:rsid w:val="009F029C"/>
    <w:rsid w:val="009F1510"/>
    <w:rsid w:val="009F1541"/>
    <w:rsid w:val="009F1A57"/>
    <w:rsid w:val="009F34C2"/>
    <w:rsid w:val="009F40CE"/>
    <w:rsid w:val="009F4345"/>
    <w:rsid w:val="009F4E41"/>
    <w:rsid w:val="00A0020F"/>
    <w:rsid w:val="00A0108B"/>
    <w:rsid w:val="00A01CE2"/>
    <w:rsid w:val="00A02ED0"/>
    <w:rsid w:val="00A02F87"/>
    <w:rsid w:val="00A046F3"/>
    <w:rsid w:val="00A10627"/>
    <w:rsid w:val="00A119B9"/>
    <w:rsid w:val="00A1249B"/>
    <w:rsid w:val="00A12A60"/>
    <w:rsid w:val="00A1625F"/>
    <w:rsid w:val="00A1660A"/>
    <w:rsid w:val="00A21227"/>
    <w:rsid w:val="00A21392"/>
    <w:rsid w:val="00A21664"/>
    <w:rsid w:val="00A22C8A"/>
    <w:rsid w:val="00A23154"/>
    <w:rsid w:val="00A23221"/>
    <w:rsid w:val="00A252DF"/>
    <w:rsid w:val="00A26E79"/>
    <w:rsid w:val="00A31A45"/>
    <w:rsid w:val="00A31DE0"/>
    <w:rsid w:val="00A32508"/>
    <w:rsid w:val="00A3568F"/>
    <w:rsid w:val="00A377CD"/>
    <w:rsid w:val="00A379BD"/>
    <w:rsid w:val="00A37D27"/>
    <w:rsid w:val="00A45DA2"/>
    <w:rsid w:val="00A46EA5"/>
    <w:rsid w:val="00A479FB"/>
    <w:rsid w:val="00A47BBF"/>
    <w:rsid w:val="00A47CD9"/>
    <w:rsid w:val="00A52877"/>
    <w:rsid w:val="00A5616F"/>
    <w:rsid w:val="00A561E8"/>
    <w:rsid w:val="00A56842"/>
    <w:rsid w:val="00A616C5"/>
    <w:rsid w:val="00A61CA3"/>
    <w:rsid w:val="00A61FB6"/>
    <w:rsid w:val="00A63017"/>
    <w:rsid w:val="00A64448"/>
    <w:rsid w:val="00A65B9A"/>
    <w:rsid w:val="00A674F2"/>
    <w:rsid w:val="00A70ED1"/>
    <w:rsid w:val="00A71652"/>
    <w:rsid w:val="00A726EF"/>
    <w:rsid w:val="00A73818"/>
    <w:rsid w:val="00A73CA7"/>
    <w:rsid w:val="00A7427D"/>
    <w:rsid w:val="00A74F6E"/>
    <w:rsid w:val="00A75B4C"/>
    <w:rsid w:val="00A76CED"/>
    <w:rsid w:val="00A80840"/>
    <w:rsid w:val="00A8562F"/>
    <w:rsid w:val="00A87D0B"/>
    <w:rsid w:val="00A913D7"/>
    <w:rsid w:val="00A920A8"/>
    <w:rsid w:val="00A92252"/>
    <w:rsid w:val="00A93494"/>
    <w:rsid w:val="00A9405C"/>
    <w:rsid w:val="00A9418A"/>
    <w:rsid w:val="00A941D2"/>
    <w:rsid w:val="00A953B2"/>
    <w:rsid w:val="00A96F71"/>
    <w:rsid w:val="00AA112D"/>
    <w:rsid w:val="00AA318E"/>
    <w:rsid w:val="00AA3E97"/>
    <w:rsid w:val="00AA517C"/>
    <w:rsid w:val="00AA7731"/>
    <w:rsid w:val="00AB0368"/>
    <w:rsid w:val="00AB265D"/>
    <w:rsid w:val="00AB409A"/>
    <w:rsid w:val="00AB43E0"/>
    <w:rsid w:val="00AB5A0C"/>
    <w:rsid w:val="00AB5DF9"/>
    <w:rsid w:val="00AB78A7"/>
    <w:rsid w:val="00AC1EB9"/>
    <w:rsid w:val="00AC45D3"/>
    <w:rsid w:val="00AC5AED"/>
    <w:rsid w:val="00AD1F56"/>
    <w:rsid w:val="00AD3BE5"/>
    <w:rsid w:val="00AD4DAF"/>
    <w:rsid w:val="00AD4DCB"/>
    <w:rsid w:val="00AD5CC4"/>
    <w:rsid w:val="00AD6ADB"/>
    <w:rsid w:val="00AE0161"/>
    <w:rsid w:val="00AE37CB"/>
    <w:rsid w:val="00AE4634"/>
    <w:rsid w:val="00AF0E19"/>
    <w:rsid w:val="00AF0EC6"/>
    <w:rsid w:val="00AF213C"/>
    <w:rsid w:val="00AF2299"/>
    <w:rsid w:val="00AF33C1"/>
    <w:rsid w:val="00AF3484"/>
    <w:rsid w:val="00AF421E"/>
    <w:rsid w:val="00AF466D"/>
    <w:rsid w:val="00AF4972"/>
    <w:rsid w:val="00AF49CD"/>
    <w:rsid w:val="00AF688A"/>
    <w:rsid w:val="00B008BD"/>
    <w:rsid w:val="00B00B67"/>
    <w:rsid w:val="00B00BC1"/>
    <w:rsid w:val="00B0126B"/>
    <w:rsid w:val="00B023E0"/>
    <w:rsid w:val="00B03FD4"/>
    <w:rsid w:val="00B05395"/>
    <w:rsid w:val="00B06766"/>
    <w:rsid w:val="00B0772F"/>
    <w:rsid w:val="00B10140"/>
    <w:rsid w:val="00B117C6"/>
    <w:rsid w:val="00B12216"/>
    <w:rsid w:val="00B13DFF"/>
    <w:rsid w:val="00B1458C"/>
    <w:rsid w:val="00B148A9"/>
    <w:rsid w:val="00B200E3"/>
    <w:rsid w:val="00B23644"/>
    <w:rsid w:val="00B23C7D"/>
    <w:rsid w:val="00B25D75"/>
    <w:rsid w:val="00B25DB5"/>
    <w:rsid w:val="00B26CD5"/>
    <w:rsid w:val="00B301AB"/>
    <w:rsid w:val="00B34D7D"/>
    <w:rsid w:val="00B34F16"/>
    <w:rsid w:val="00B3542A"/>
    <w:rsid w:val="00B35D8E"/>
    <w:rsid w:val="00B36DC9"/>
    <w:rsid w:val="00B402E5"/>
    <w:rsid w:val="00B41E48"/>
    <w:rsid w:val="00B467CB"/>
    <w:rsid w:val="00B478FE"/>
    <w:rsid w:val="00B540C3"/>
    <w:rsid w:val="00B54FAB"/>
    <w:rsid w:val="00B5621D"/>
    <w:rsid w:val="00B62EA7"/>
    <w:rsid w:val="00B636B2"/>
    <w:rsid w:val="00B63F4B"/>
    <w:rsid w:val="00B733C2"/>
    <w:rsid w:val="00B738A1"/>
    <w:rsid w:val="00B75321"/>
    <w:rsid w:val="00B75665"/>
    <w:rsid w:val="00B809CD"/>
    <w:rsid w:val="00B826DA"/>
    <w:rsid w:val="00B82A3E"/>
    <w:rsid w:val="00B83FE9"/>
    <w:rsid w:val="00B84823"/>
    <w:rsid w:val="00B853E5"/>
    <w:rsid w:val="00B856A9"/>
    <w:rsid w:val="00B865F9"/>
    <w:rsid w:val="00B87317"/>
    <w:rsid w:val="00B91279"/>
    <w:rsid w:val="00B91D02"/>
    <w:rsid w:val="00B929C6"/>
    <w:rsid w:val="00B93ADA"/>
    <w:rsid w:val="00B95263"/>
    <w:rsid w:val="00B96C05"/>
    <w:rsid w:val="00B97878"/>
    <w:rsid w:val="00BA2E15"/>
    <w:rsid w:val="00BA38E7"/>
    <w:rsid w:val="00BA4898"/>
    <w:rsid w:val="00BA5D4B"/>
    <w:rsid w:val="00BA6828"/>
    <w:rsid w:val="00BA6CC9"/>
    <w:rsid w:val="00BB1AC1"/>
    <w:rsid w:val="00BB652E"/>
    <w:rsid w:val="00BC1D80"/>
    <w:rsid w:val="00BC1EA5"/>
    <w:rsid w:val="00BC1F5B"/>
    <w:rsid w:val="00BC3915"/>
    <w:rsid w:val="00BC39BA"/>
    <w:rsid w:val="00BC4723"/>
    <w:rsid w:val="00BC560D"/>
    <w:rsid w:val="00BC5C52"/>
    <w:rsid w:val="00BC6E26"/>
    <w:rsid w:val="00BC72DB"/>
    <w:rsid w:val="00BD02E3"/>
    <w:rsid w:val="00BD2BAA"/>
    <w:rsid w:val="00BD3E7C"/>
    <w:rsid w:val="00BD4B5F"/>
    <w:rsid w:val="00BD5C71"/>
    <w:rsid w:val="00BE0066"/>
    <w:rsid w:val="00BE0615"/>
    <w:rsid w:val="00BE144B"/>
    <w:rsid w:val="00BE316C"/>
    <w:rsid w:val="00BE4617"/>
    <w:rsid w:val="00BE56E6"/>
    <w:rsid w:val="00BF0B16"/>
    <w:rsid w:val="00BF1068"/>
    <w:rsid w:val="00BF2461"/>
    <w:rsid w:val="00BF27B6"/>
    <w:rsid w:val="00BF5A24"/>
    <w:rsid w:val="00C00BD1"/>
    <w:rsid w:val="00C00C48"/>
    <w:rsid w:val="00C01863"/>
    <w:rsid w:val="00C03A49"/>
    <w:rsid w:val="00C100E2"/>
    <w:rsid w:val="00C10E75"/>
    <w:rsid w:val="00C11DE8"/>
    <w:rsid w:val="00C12947"/>
    <w:rsid w:val="00C13CAC"/>
    <w:rsid w:val="00C150A0"/>
    <w:rsid w:val="00C1532D"/>
    <w:rsid w:val="00C224F7"/>
    <w:rsid w:val="00C22A46"/>
    <w:rsid w:val="00C237AC"/>
    <w:rsid w:val="00C2430B"/>
    <w:rsid w:val="00C25E1C"/>
    <w:rsid w:val="00C3009A"/>
    <w:rsid w:val="00C349EA"/>
    <w:rsid w:val="00C358EC"/>
    <w:rsid w:val="00C3691B"/>
    <w:rsid w:val="00C410D2"/>
    <w:rsid w:val="00C414F9"/>
    <w:rsid w:val="00C421E1"/>
    <w:rsid w:val="00C42931"/>
    <w:rsid w:val="00C43B58"/>
    <w:rsid w:val="00C46414"/>
    <w:rsid w:val="00C506B5"/>
    <w:rsid w:val="00C51FBF"/>
    <w:rsid w:val="00C53358"/>
    <w:rsid w:val="00C56208"/>
    <w:rsid w:val="00C61094"/>
    <w:rsid w:val="00C61725"/>
    <w:rsid w:val="00C6287E"/>
    <w:rsid w:val="00C62EBC"/>
    <w:rsid w:val="00C6389C"/>
    <w:rsid w:val="00C63B3E"/>
    <w:rsid w:val="00C64FE4"/>
    <w:rsid w:val="00C65BF3"/>
    <w:rsid w:val="00C715DC"/>
    <w:rsid w:val="00C720E1"/>
    <w:rsid w:val="00C73F1F"/>
    <w:rsid w:val="00C742E9"/>
    <w:rsid w:val="00C75272"/>
    <w:rsid w:val="00C829AF"/>
    <w:rsid w:val="00C8416C"/>
    <w:rsid w:val="00C84694"/>
    <w:rsid w:val="00C8578D"/>
    <w:rsid w:val="00C857EE"/>
    <w:rsid w:val="00C875EF"/>
    <w:rsid w:val="00C8784A"/>
    <w:rsid w:val="00C90686"/>
    <w:rsid w:val="00C907FB"/>
    <w:rsid w:val="00C909E6"/>
    <w:rsid w:val="00C93313"/>
    <w:rsid w:val="00C978E3"/>
    <w:rsid w:val="00C97915"/>
    <w:rsid w:val="00C97BCD"/>
    <w:rsid w:val="00CA1ED9"/>
    <w:rsid w:val="00CA2985"/>
    <w:rsid w:val="00CA3EBF"/>
    <w:rsid w:val="00CA73C4"/>
    <w:rsid w:val="00CA75AC"/>
    <w:rsid w:val="00CB0E24"/>
    <w:rsid w:val="00CB2297"/>
    <w:rsid w:val="00CB2CA6"/>
    <w:rsid w:val="00CB57CE"/>
    <w:rsid w:val="00CB6194"/>
    <w:rsid w:val="00CB737A"/>
    <w:rsid w:val="00CC2381"/>
    <w:rsid w:val="00CC3070"/>
    <w:rsid w:val="00CC34D1"/>
    <w:rsid w:val="00CC391E"/>
    <w:rsid w:val="00CC3BD8"/>
    <w:rsid w:val="00CD71E8"/>
    <w:rsid w:val="00CE0A32"/>
    <w:rsid w:val="00CE1850"/>
    <w:rsid w:val="00CE30B1"/>
    <w:rsid w:val="00CE4F73"/>
    <w:rsid w:val="00CE5A5A"/>
    <w:rsid w:val="00CE5B60"/>
    <w:rsid w:val="00CE5BDF"/>
    <w:rsid w:val="00CE5D9E"/>
    <w:rsid w:val="00CE7ECA"/>
    <w:rsid w:val="00CF06D9"/>
    <w:rsid w:val="00CF1155"/>
    <w:rsid w:val="00CF12A6"/>
    <w:rsid w:val="00CF197F"/>
    <w:rsid w:val="00CF1EB2"/>
    <w:rsid w:val="00CF3067"/>
    <w:rsid w:val="00CF3BDE"/>
    <w:rsid w:val="00CF4158"/>
    <w:rsid w:val="00CF7C56"/>
    <w:rsid w:val="00D0175D"/>
    <w:rsid w:val="00D02330"/>
    <w:rsid w:val="00D032D8"/>
    <w:rsid w:val="00D03BE6"/>
    <w:rsid w:val="00D03C48"/>
    <w:rsid w:val="00D049F1"/>
    <w:rsid w:val="00D04E41"/>
    <w:rsid w:val="00D0532C"/>
    <w:rsid w:val="00D1000B"/>
    <w:rsid w:val="00D13DCE"/>
    <w:rsid w:val="00D154C7"/>
    <w:rsid w:val="00D15510"/>
    <w:rsid w:val="00D176A2"/>
    <w:rsid w:val="00D20075"/>
    <w:rsid w:val="00D212FC"/>
    <w:rsid w:val="00D23AFB"/>
    <w:rsid w:val="00D24C05"/>
    <w:rsid w:val="00D25DE3"/>
    <w:rsid w:val="00D26B33"/>
    <w:rsid w:val="00D315C0"/>
    <w:rsid w:val="00D34C37"/>
    <w:rsid w:val="00D34E39"/>
    <w:rsid w:val="00D3534C"/>
    <w:rsid w:val="00D354F4"/>
    <w:rsid w:val="00D3552A"/>
    <w:rsid w:val="00D4002E"/>
    <w:rsid w:val="00D40CEC"/>
    <w:rsid w:val="00D41738"/>
    <w:rsid w:val="00D417EE"/>
    <w:rsid w:val="00D433B3"/>
    <w:rsid w:val="00D443CC"/>
    <w:rsid w:val="00D4461A"/>
    <w:rsid w:val="00D46894"/>
    <w:rsid w:val="00D507F4"/>
    <w:rsid w:val="00D52BE8"/>
    <w:rsid w:val="00D55C10"/>
    <w:rsid w:val="00D579A2"/>
    <w:rsid w:val="00D600B3"/>
    <w:rsid w:val="00D6569E"/>
    <w:rsid w:val="00D72851"/>
    <w:rsid w:val="00D73B09"/>
    <w:rsid w:val="00D75C7C"/>
    <w:rsid w:val="00D761F0"/>
    <w:rsid w:val="00D76A57"/>
    <w:rsid w:val="00D772DE"/>
    <w:rsid w:val="00D7741C"/>
    <w:rsid w:val="00D81A63"/>
    <w:rsid w:val="00D8797A"/>
    <w:rsid w:val="00D914A6"/>
    <w:rsid w:val="00D92C31"/>
    <w:rsid w:val="00D92FC9"/>
    <w:rsid w:val="00D9330F"/>
    <w:rsid w:val="00D93532"/>
    <w:rsid w:val="00D944E2"/>
    <w:rsid w:val="00D950F2"/>
    <w:rsid w:val="00DA03D7"/>
    <w:rsid w:val="00DA1387"/>
    <w:rsid w:val="00DA4E23"/>
    <w:rsid w:val="00DA63B8"/>
    <w:rsid w:val="00DA6860"/>
    <w:rsid w:val="00DB0858"/>
    <w:rsid w:val="00DB14BB"/>
    <w:rsid w:val="00DB26F2"/>
    <w:rsid w:val="00DB5C83"/>
    <w:rsid w:val="00DB5F70"/>
    <w:rsid w:val="00DB60F3"/>
    <w:rsid w:val="00DB7E76"/>
    <w:rsid w:val="00DC1ACB"/>
    <w:rsid w:val="00DC2510"/>
    <w:rsid w:val="00DC4B80"/>
    <w:rsid w:val="00DC59C1"/>
    <w:rsid w:val="00DC775F"/>
    <w:rsid w:val="00DC7921"/>
    <w:rsid w:val="00DD1D03"/>
    <w:rsid w:val="00DD32AF"/>
    <w:rsid w:val="00DD5045"/>
    <w:rsid w:val="00DD5E9A"/>
    <w:rsid w:val="00DD6EE9"/>
    <w:rsid w:val="00DE0F6B"/>
    <w:rsid w:val="00DE1473"/>
    <w:rsid w:val="00DE49FC"/>
    <w:rsid w:val="00DE5DD6"/>
    <w:rsid w:val="00DF15FA"/>
    <w:rsid w:val="00DF2F5C"/>
    <w:rsid w:val="00DF3530"/>
    <w:rsid w:val="00DF558F"/>
    <w:rsid w:val="00DF55B1"/>
    <w:rsid w:val="00DF6D2A"/>
    <w:rsid w:val="00DF7B8A"/>
    <w:rsid w:val="00E0238B"/>
    <w:rsid w:val="00E03047"/>
    <w:rsid w:val="00E06D2A"/>
    <w:rsid w:val="00E1169E"/>
    <w:rsid w:val="00E119A2"/>
    <w:rsid w:val="00E12DE5"/>
    <w:rsid w:val="00E15311"/>
    <w:rsid w:val="00E16FDA"/>
    <w:rsid w:val="00E20068"/>
    <w:rsid w:val="00E20573"/>
    <w:rsid w:val="00E20A47"/>
    <w:rsid w:val="00E2309E"/>
    <w:rsid w:val="00E23B0B"/>
    <w:rsid w:val="00E23C4C"/>
    <w:rsid w:val="00E30D77"/>
    <w:rsid w:val="00E3316F"/>
    <w:rsid w:val="00E35197"/>
    <w:rsid w:val="00E3629C"/>
    <w:rsid w:val="00E37CB1"/>
    <w:rsid w:val="00E37EBB"/>
    <w:rsid w:val="00E41A39"/>
    <w:rsid w:val="00E439DF"/>
    <w:rsid w:val="00E44356"/>
    <w:rsid w:val="00E44DE9"/>
    <w:rsid w:val="00E464F5"/>
    <w:rsid w:val="00E51231"/>
    <w:rsid w:val="00E512B9"/>
    <w:rsid w:val="00E57433"/>
    <w:rsid w:val="00E639CA"/>
    <w:rsid w:val="00E63B7F"/>
    <w:rsid w:val="00E651B5"/>
    <w:rsid w:val="00E66856"/>
    <w:rsid w:val="00E66CEB"/>
    <w:rsid w:val="00E67C7F"/>
    <w:rsid w:val="00E706BC"/>
    <w:rsid w:val="00E70E9E"/>
    <w:rsid w:val="00E7154B"/>
    <w:rsid w:val="00E7336B"/>
    <w:rsid w:val="00E73BA7"/>
    <w:rsid w:val="00E73D0E"/>
    <w:rsid w:val="00E75158"/>
    <w:rsid w:val="00E7646F"/>
    <w:rsid w:val="00E7791B"/>
    <w:rsid w:val="00E80FB5"/>
    <w:rsid w:val="00E829A1"/>
    <w:rsid w:val="00E839B5"/>
    <w:rsid w:val="00E85D20"/>
    <w:rsid w:val="00E86942"/>
    <w:rsid w:val="00E90521"/>
    <w:rsid w:val="00E92BD2"/>
    <w:rsid w:val="00E93428"/>
    <w:rsid w:val="00E93C5B"/>
    <w:rsid w:val="00E94D01"/>
    <w:rsid w:val="00E955BC"/>
    <w:rsid w:val="00EA42EC"/>
    <w:rsid w:val="00EA5D5C"/>
    <w:rsid w:val="00EA7F40"/>
    <w:rsid w:val="00EB2242"/>
    <w:rsid w:val="00EB2551"/>
    <w:rsid w:val="00EB35A7"/>
    <w:rsid w:val="00EB37C3"/>
    <w:rsid w:val="00EB3F04"/>
    <w:rsid w:val="00EB79C8"/>
    <w:rsid w:val="00EC3092"/>
    <w:rsid w:val="00EC4C1B"/>
    <w:rsid w:val="00EC4EE9"/>
    <w:rsid w:val="00EC5321"/>
    <w:rsid w:val="00EC5715"/>
    <w:rsid w:val="00EC6583"/>
    <w:rsid w:val="00EC6897"/>
    <w:rsid w:val="00EC6B9A"/>
    <w:rsid w:val="00ED1C74"/>
    <w:rsid w:val="00ED4D5C"/>
    <w:rsid w:val="00ED4FF9"/>
    <w:rsid w:val="00ED7CAE"/>
    <w:rsid w:val="00EE0DCE"/>
    <w:rsid w:val="00EE35C1"/>
    <w:rsid w:val="00EE3A55"/>
    <w:rsid w:val="00EE5A55"/>
    <w:rsid w:val="00EE6555"/>
    <w:rsid w:val="00EF0449"/>
    <w:rsid w:val="00EF2AD5"/>
    <w:rsid w:val="00EF2D7C"/>
    <w:rsid w:val="00EF3D53"/>
    <w:rsid w:val="00EF5EB2"/>
    <w:rsid w:val="00EF623F"/>
    <w:rsid w:val="00F0018D"/>
    <w:rsid w:val="00F02945"/>
    <w:rsid w:val="00F02CC2"/>
    <w:rsid w:val="00F02F82"/>
    <w:rsid w:val="00F02FB9"/>
    <w:rsid w:val="00F04785"/>
    <w:rsid w:val="00F04914"/>
    <w:rsid w:val="00F05490"/>
    <w:rsid w:val="00F054A4"/>
    <w:rsid w:val="00F06958"/>
    <w:rsid w:val="00F06CBB"/>
    <w:rsid w:val="00F06E4E"/>
    <w:rsid w:val="00F10F2E"/>
    <w:rsid w:val="00F11D60"/>
    <w:rsid w:val="00F1651B"/>
    <w:rsid w:val="00F16792"/>
    <w:rsid w:val="00F2284D"/>
    <w:rsid w:val="00F22F32"/>
    <w:rsid w:val="00F23292"/>
    <w:rsid w:val="00F2373C"/>
    <w:rsid w:val="00F24748"/>
    <w:rsid w:val="00F2523B"/>
    <w:rsid w:val="00F26FF0"/>
    <w:rsid w:val="00F27D2C"/>
    <w:rsid w:val="00F30AAA"/>
    <w:rsid w:val="00F32BC2"/>
    <w:rsid w:val="00F33E38"/>
    <w:rsid w:val="00F34AFB"/>
    <w:rsid w:val="00F3645E"/>
    <w:rsid w:val="00F36FB3"/>
    <w:rsid w:val="00F37420"/>
    <w:rsid w:val="00F4020C"/>
    <w:rsid w:val="00F43605"/>
    <w:rsid w:val="00F473C7"/>
    <w:rsid w:val="00F50765"/>
    <w:rsid w:val="00F52E1F"/>
    <w:rsid w:val="00F52FD4"/>
    <w:rsid w:val="00F53299"/>
    <w:rsid w:val="00F550E7"/>
    <w:rsid w:val="00F56B29"/>
    <w:rsid w:val="00F56C1B"/>
    <w:rsid w:val="00F600EB"/>
    <w:rsid w:val="00F603C2"/>
    <w:rsid w:val="00F6186B"/>
    <w:rsid w:val="00F625E8"/>
    <w:rsid w:val="00F6275D"/>
    <w:rsid w:val="00F64279"/>
    <w:rsid w:val="00F65597"/>
    <w:rsid w:val="00F66111"/>
    <w:rsid w:val="00F66117"/>
    <w:rsid w:val="00F7348C"/>
    <w:rsid w:val="00F74418"/>
    <w:rsid w:val="00F74904"/>
    <w:rsid w:val="00F75963"/>
    <w:rsid w:val="00F76EC6"/>
    <w:rsid w:val="00F77085"/>
    <w:rsid w:val="00F804F1"/>
    <w:rsid w:val="00F824D0"/>
    <w:rsid w:val="00F82BBF"/>
    <w:rsid w:val="00F835EF"/>
    <w:rsid w:val="00F8599C"/>
    <w:rsid w:val="00F8691B"/>
    <w:rsid w:val="00F90798"/>
    <w:rsid w:val="00F926DC"/>
    <w:rsid w:val="00F95259"/>
    <w:rsid w:val="00F96EDF"/>
    <w:rsid w:val="00FA09B2"/>
    <w:rsid w:val="00FA1172"/>
    <w:rsid w:val="00FA2117"/>
    <w:rsid w:val="00FA3994"/>
    <w:rsid w:val="00FA3F96"/>
    <w:rsid w:val="00FA66EA"/>
    <w:rsid w:val="00FA6DD7"/>
    <w:rsid w:val="00FA749C"/>
    <w:rsid w:val="00FA7F63"/>
    <w:rsid w:val="00FB305F"/>
    <w:rsid w:val="00FB47BD"/>
    <w:rsid w:val="00FC3D17"/>
    <w:rsid w:val="00FC46E6"/>
    <w:rsid w:val="00FC4DA0"/>
    <w:rsid w:val="00FC5C7D"/>
    <w:rsid w:val="00FC6166"/>
    <w:rsid w:val="00FC682F"/>
    <w:rsid w:val="00FD09A8"/>
    <w:rsid w:val="00FD0ECB"/>
    <w:rsid w:val="00FD109B"/>
    <w:rsid w:val="00FD1BF5"/>
    <w:rsid w:val="00FD22A0"/>
    <w:rsid w:val="00FD30AF"/>
    <w:rsid w:val="00FD3E98"/>
    <w:rsid w:val="00FD4FBC"/>
    <w:rsid w:val="00FD76EE"/>
    <w:rsid w:val="00FE0059"/>
    <w:rsid w:val="00FE095E"/>
    <w:rsid w:val="00FE2806"/>
    <w:rsid w:val="00FE30B7"/>
    <w:rsid w:val="00FE4DB8"/>
    <w:rsid w:val="00FE76A7"/>
    <w:rsid w:val="00FF00A5"/>
    <w:rsid w:val="00FF1968"/>
    <w:rsid w:val="00FF29F5"/>
    <w:rsid w:val="00FF36AD"/>
    <w:rsid w:val="00FF47B4"/>
    <w:rsid w:val="00FF73BF"/>
    <w:rsid w:val="00FF7E0A"/>
    <w:rsid w:val="01281A93"/>
    <w:rsid w:val="01FD2E51"/>
    <w:rsid w:val="0222795D"/>
    <w:rsid w:val="0273086B"/>
    <w:rsid w:val="02B33080"/>
    <w:rsid w:val="03516C2A"/>
    <w:rsid w:val="03985C7D"/>
    <w:rsid w:val="039A405D"/>
    <w:rsid w:val="03D72DE7"/>
    <w:rsid w:val="03E45B3E"/>
    <w:rsid w:val="05546D17"/>
    <w:rsid w:val="064216C6"/>
    <w:rsid w:val="0659602B"/>
    <w:rsid w:val="067D004A"/>
    <w:rsid w:val="068124F2"/>
    <w:rsid w:val="06D62D2C"/>
    <w:rsid w:val="07466D3A"/>
    <w:rsid w:val="080028EE"/>
    <w:rsid w:val="08FD0388"/>
    <w:rsid w:val="09630D8D"/>
    <w:rsid w:val="09C71513"/>
    <w:rsid w:val="09D300D1"/>
    <w:rsid w:val="09D30F7F"/>
    <w:rsid w:val="0AC01942"/>
    <w:rsid w:val="0B2E72C7"/>
    <w:rsid w:val="0BD4011D"/>
    <w:rsid w:val="0C987534"/>
    <w:rsid w:val="0CA3094D"/>
    <w:rsid w:val="0D7B6C02"/>
    <w:rsid w:val="0E075F6F"/>
    <w:rsid w:val="0FB466B0"/>
    <w:rsid w:val="10930E9B"/>
    <w:rsid w:val="11D0244B"/>
    <w:rsid w:val="11FD5C45"/>
    <w:rsid w:val="1250401C"/>
    <w:rsid w:val="12D511D5"/>
    <w:rsid w:val="132035A6"/>
    <w:rsid w:val="137C3474"/>
    <w:rsid w:val="14B552DF"/>
    <w:rsid w:val="150631AD"/>
    <w:rsid w:val="152F2F86"/>
    <w:rsid w:val="16276C03"/>
    <w:rsid w:val="16B21D3B"/>
    <w:rsid w:val="16E24139"/>
    <w:rsid w:val="170F0C33"/>
    <w:rsid w:val="17226867"/>
    <w:rsid w:val="180007BE"/>
    <w:rsid w:val="192E35F3"/>
    <w:rsid w:val="1A6E1B33"/>
    <w:rsid w:val="1AD06756"/>
    <w:rsid w:val="1B474EA2"/>
    <w:rsid w:val="1B5B21F6"/>
    <w:rsid w:val="1C330D62"/>
    <w:rsid w:val="1C3B44E8"/>
    <w:rsid w:val="1C497E2A"/>
    <w:rsid w:val="1D157D7A"/>
    <w:rsid w:val="1D78034B"/>
    <w:rsid w:val="1D860B7E"/>
    <w:rsid w:val="1E5F1152"/>
    <w:rsid w:val="1F2C732E"/>
    <w:rsid w:val="1FA16640"/>
    <w:rsid w:val="1FAA075C"/>
    <w:rsid w:val="21964DFD"/>
    <w:rsid w:val="23F858E2"/>
    <w:rsid w:val="247513A1"/>
    <w:rsid w:val="24FC7F7D"/>
    <w:rsid w:val="25344C05"/>
    <w:rsid w:val="25454858"/>
    <w:rsid w:val="27247978"/>
    <w:rsid w:val="27394EB2"/>
    <w:rsid w:val="27B02A42"/>
    <w:rsid w:val="290A2B37"/>
    <w:rsid w:val="290F13E3"/>
    <w:rsid w:val="295C3186"/>
    <w:rsid w:val="29732D2A"/>
    <w:rsid w:val="2A5E0F40"/>
    <w:rsid w:val="2A6A03C0"/>
    <w:rsid w:val="2BDC13E8"/>
    <w:rsid w:val="2D7F4EB3"/>
    <w:rsid w:val="2E4D2E03"/>
    <w:rsid w:val="2E9651B5"/>
    <w:rsid w:val="2E9928E0"/>
    <w:rsid w:val="2EBE6008"/>
    <w:rsid w:val="2EFA59BE"/>
    <w:rsid w:val="2F9E1B21"/>
    <w:rsid w:val="2FB932F4"/>
    <w:rsid w:val="310F704E"/>
    <w:rsid w:val="31A10066"/>
    <w:rsid w:val="32D71C99"/>
    <w:rsid w:val="32FC5E04"/>
    <w:rsid w:val="33274AF8"/>
    <w:rsid w:val="34820AFC"/>
    <w:rsid w:val="358931C8"/>
    <w:rsid w:val="364F4412"/>
    <w:rsid w:val="365028F0"/>
    <w:rsid w:val="373C7CDF"/>
    <w:rsid w:val="37BE7040"/>
    <w:rsid w:val="39477140"/>
    <w:rsid w:val="39A4566F"/>
    <w:rsid w:val="3A8B3937"/>
    <w:rsid w:val="3B267312"/>
    <w:rsid w:val="3B5F56F9"/>
    <w:rsid w:val="3BCD4780"/>
    <w:rsid w:val="3C0F41EB"/>
    <w:rsid w:val="3C2F7A01"/>
    <w:rsid w:val="3D593E8C"/>
    <w:rsid w:val="3DAF1262"/>
    <w:rsid w:val="3EEF05F7"/>
    <w:rsid w:val="4039719F"/>
    <w:rsid w:val="40FE18D7"/>
    <w:rsid w:val="42834427"/>
    <w:rsid w:val="42A61B46"/>
    <w:rsid w:val="43312BF2"/>
    <w:rsid w:val="465810C1"/>
    <w:rsid w:val="46AD482C"/>
    <w:rsid w:val="47310FA1"/>
    <w:rsid w:val="480E2214"/>
    <w:rsid w:val="48B81E35"/>
    <w:rsid w:val="4AD55B10"/>
    <w:rsid w:val="4CC43F81"/>
    <w:rsid w:val="4DC2042B"/>
    <w:rsid w:val="4EA10878"/>
    <w:rsid w:val="4ECF18DC"/>
    <w:rsid w:val="4F755271"/>
    <w:rsid w:val="50F22FE7"/>
    <w:rsid w:val="523A78CD"/>
    <w:rsid w:val="52631353"/>
    <w:rsid w:val="5333277D"/>
    <w:rsid w:val="538708F0"/>
    <w:rsid w:val="539A6F7E"/>
    <w:rsid w:val="54242E54"/>
    <w:rsid w:val="550E4A05"/>
    <w:rsid w:val="58192794"/>
    <w:rsid w:val="59893102"/>
    <w:rsid w:val="59E648CF"/>
    <w:rsid w:val="5B4F2CD5"/>
    <w:rsid w:val="5C603089"/>
    <w:rsid w:val="5CBE758C"/>
    <w:rsid w:val="5CE6145E"/>
    <w:rsid w:val="5D4759E4"/>
    <w:rsid w:val="5DCB066D"/>
    <w:rsid w:val="5E52066F"/>
    <w:rsid w:val="5EA902B4"/>
    <w:rsid w:val="5F6B2190"/>
    <w:rsid w:val="5F8B10A0"/>
    <w:rsid w:val="5F8F47E3"/>
    <w:rsid w:val="613715C7"/>
    <w:rsid w:val="62443AA9"/>
    <w:rsid w:val="62465B90"/>
    <w:rsid w:val="626A3A22"/>
    <w:rsid w:val="62AB6160"/>
    <w:rsid w:val="63240634"/>
    <w:rsid w:val="63E00724"/>
    <w:rsid w:val="6478698A"/>
    <w:rsid w:val="654710AE"/>
    <w:rsid w:val="654D2A78"/>
    <w:rsid w:val="65B00BC4"/>
    <w:rsid w:val="66C343CE"/>
    <w:rsid w:val="67440CAB"/>
    <w:rsid w:val="678A5E57"/>
    <w:rsid w:val="68C61866"/>
    <w:rsid w:val="6A9938E2"/>
    <w:rsid w:val="6ABF3B8E"/>
    <w:rsid w:val="6B0D446E"/>
    <w:rsid w:val="6BE712D3"/>
    <w:rsid w:val="6C0C512B"/>
    <w:rsid w:val="6EB54C74"/>
    <w:rsid w:val="6ECE3EA8"/>
    <w:rsid w:val="6F0C3B6A"/>
    <w:rsid w:val="6FB24A12"/>
    <w:rsid w:val="70BA1EAD"/>
    <w:rsid w:val="7141019C"/>
    <w:rsid w:val="71BD2C85"/>
    <w:rsid w:val="71C02CF2"/>
    <w:rsid w:val="722B17C0"/>
    <w:rsid w:val="7257796A"/>
    <w:rsid w:val="729A104A"/>
    <w:rsid w:val="72D44EDD"/>
    <w:rsid w:val="72F86392"/>
    <w:rsid w:val="757E7B78"/>
    <w:rsid w:val="75A1317F"/>
    <w:rsid w:val="76E30422"/>
    <w:rsid w:val="76EB1212"/>
    <w:rsid w:val="779B2DCD"/>
    <w:rsid w:val="783B2925"/>
    <w:rsid w:val="784F1575"/>
    <w:rsid w:val="79514ABB"/>
    <w:rsid w:val="7A2C6801"/>
    <w:rsid w:val="7A2E4B0E"/>
    <w:rsid w:val="7B961FB2"/>
    <w:rsid w:val="7BC85150"/>
    <w:rsid w:val="7BD101DF"/>
    <w:rsid w:val="7CC22809"/>
    <w:rsid w:val="7D367143"/>
    <w:rsid w:val="7D86128E"/>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9"/>
    <w:autoRedefine/>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41"/>
    <w:autoRedefine/>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8"/>
    <w:autoRedefine/>
    <w:qFormat/>
    <w:uiPriority w:val="0"/>
    <w:pPr>
      <w:keepNext/>
      <w:keepLines/>
      <w:spacing w:before="260" w:after="260" w:line="413" w:lineRule="auto"/>
      <w:outlineLvl w:val="2"/>
    </w:pPr>
    <w:rPr>
      <w:kern w:val="0"/>
      <w:sz w:val="28"/>
      <w:szCs w:val="20"/>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3">
    <w:name w:val="toa heading"/>
    <w:basedOn w:val="1"/>
    <w:next w:val="1"/>
    <w:autoRedefine/>
    <w:qFormat/>
    <w:uiPriority w:val="0"/>
    <w:pPr>
      <w:spacing w:before="120"/>
    </w:pPr>
    <w:rPr>
      <w:rFonts w:ascii="Arial" w:hAnsi="Arial"/>
      <w:sz w:val="24"/>
    </w:rPr>
  </w:style>
  <w:style w:type="paragraph" w:styleId="6">
    <w:name w:val="toc 7"/>
    <w:basedOn w:val="1"/>
    <w:next w:val="1"/>
    <w:autoRedefine/>
    <w:qFormat/>
    <w:uiPriority w:val="0"/>
    <w:pPr>
      <w:ind w:left="2520" w:leftChars="1200"/>
    </w:pPr>
  </w:style>
  <w:style w:type="paragraph" w:styleId="7">
    <w:name w:val="Document Map"/>
    <w:basedOn w:val="1"/>
    <w:link w:val="34"/>
    <w:autoRedefine/>
    <w:qFormat/>
    <w:uiPriority w:val="0"/>
    <w:rPr>
      <w:rFonts w:ascii="宋体"/>
      <w:sz w:val="18"/>
      <w:szCs w:val="18"/>
    </w:rPr>
  </w:style>
  <w:style w:type="paragraph" w:styleId="8">
    <w:name w:val="annotation text"/>
    <w:basedOn w:val="1"/>
    <w:link w:val="32"/>
    <w:autoRedefine/>
    <w:qFormat/>
    <w:uiPriority w:val="0"/>
    <w:pPr>
      <w:jc w:val="left"/>
    </w:pPr>
    <w:rPr>
      <w:rFonts w:ascii="Calibri" w:hAnsi="Calibri"/>
      <w:szCs w:val="22"/>
    </w:rPr>
  </w:style>
  <w:style w:type="paragraph" w:styleId="9">
    <w:name w:val="Body Text"/>
    <w:basedOn w:val="1"/>
    <w:autoRedefine/>
    <w:qFormat/>
    <w:uiPriority w:val="0"/>
    <w:pPr>
      <w:spacing w:after="120"/>
    </w:pPr>
  </w:style>
  <w:style w:type="paragraph" w:styleId="10">
    <w:name w:val="Body Text Indent"/>
    <w:basedOn w:val="1"/>
    <w:link w:val="43"/>
    <w:autoRedefine/>
    <w:qFormat/>
    <w:uiPriority w:val="0"/>
    <w:pPr>
      <w:spacing w:after="120"/>
      <w:ind w:left="420" w:leftChars="200"/>
    </w:pPr>
  </w:style>
  <w:style w:type="paragraph" w:styleId="11">
    <w:name w:val="toc 5"/>
    <w:basedOn w:val="1"/>
    <w:next w:val="1"/>
    <w:autoRedefine/>
    <w:qFormat/>
    <w:uiPriority w:val="0"/>
    <w:pPr>
      <w:ind w:left="1680" w:leftChars="800"/>
    </w:pPr>
  </w:style>
  <w:style w:type="paragraph" w:styleId="12">
    <w:name w:val="toc 3"/>
    <w:basedOn w:val="1"/>
    <w:next w:val="1"/>
    <w:autoRedefine/>
    <w:qFormat/>
    <w:uiPriority w:val="39"/>
    <w:pPr>
      <w:ind w:left="840" w:leftChars="400"/>
    </w:pPr>
  </w:style>
  <w:style w:type="paragraph" w:styleId="13">
    <w:name w:val="Plain Text"/>
    <w:basedOn w:val="1"/>
    <w:link w:val="50"/>
    <w:autoRedefine/>
    <w:qFormat/>
    <w:uiPriority w:val="0"/>
    <w:pPr>
      <w:adjustRightInd w:val="0"/>
      <w:spacing w:line="312" w:lineRule="atLeast"/>
      <w:textAlignment w:val="baseline"/>
    </w:pPr>
    <w:rPr>
      <w:rFonts w:ascii="宋体" w:hAnsi="Courier New"/>
    </w:rPr>
  </w:style>
  <w:style w:type="paragraph" w:styleId="14">
    <w:name w:val="toc 8"/>
    <w:basedOn w:val="1"/>
    <w:next w:val="1"/>
    <w:autoRedefine/>
    <w:qFormat/>
    <w:uiPriority w:val="0"/>
    <w:pPr>
      <w:ind w:left="2940" w:leftChars="1400"/>
    </w:pPr>
  </w:style>
  <w:style w:type="paragraph" w:styleId="15">
    <w:name w:val="Date"/>
    <w:basedOn w:val="1"/>
    <w:next w:val="1"/>
    <w:link w:val="52"/>
    <w:autoRedefine/>
    <w:qFormat/>
    <w:uiPriority w:val="0"/>
    <w:pPr>
      <w:ind w:left="100" w:leftChars="2500"/>
    </w:pPr>
  </w:style>
  <w:style w:type="paragraph" w:styleId="16">
    <w:name w:val="Balloon Text"/>
    <w:basedOn w:val="1"/>
    <w:link w:val="35"/>
    <w:autoRedefine/>
    <w:qFormat/>
    <w:uiPriority w:val="0"/>
    <w:rPr>
      <w:sz w:val="18"/>
      <w:szCs w:val="18"/>
    </w:rPr>
  </w:style>
  <w:style w:type="paragraph" w:styleId="17">
    <w:name w:val="footer"/>
    <w:basedOn w:val="1"/>
    <w:autoRedefine/>
    <w:qFormat/>
    <w:uiPriority w:val="0"/>
    <w:pPr>
      <w:tabs>
        <w:tab w:val="center" w:pos="4153"/>
        <w:tab w:val="right" w:pos="8306"/>
      </w:tabs>
      <w:snapToGrid w:val="0"/>
      <w:jc w:val="left"/>
    </w:pPr>
    <w:rPr>
      <w:sz w:val="18"/>
    </w:rPr>
  </w:style>
  <w:style w:type="paragraph" w:styleId="1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autoRedefine/>
    <w:qFormat/>
    <w:uiPriority w:val="39"/>
  </w:style>
  <w:style w:type="paragraph" w:styleId="20">
    <w:name w:val="toc 4"/>
    <w:basedOn w:val="1"/>
    <w:next w:val="1"/>
    <w:autoRedefine/>
    <w:qFormat/>
    <w:uiPriority w:val="0"/>
    <w:pPr>
      <w:ind w:left="1260" w:leftChars="600"/>
    </w:pPr>
  </w:style>
  <w:style w:type="paragraph" w:styleId="21">
    <w:name w:val="toc 6"/>
    <w:basedOn w:val="1"/>
    <w:next w:val="1"/>
    <w:autoRedefine/>
    <w:qFormat/>
    <w:uiPriority w:val="0"/>
    <w:pPr>
      <w:ind w:left="2100" w:leftChars="1000"/>
    </w:pPr>
  </w:style>
  <w:style w:type="paragraph" w:styleId="22">
    <w:name w:val="Body Text Indent 3"/>
    <w:basedOn w:val="1"/>
    <w:link w:val="42"/>
    <w:autoRedefine/>
    <w:qFormat/>
    <w:uiPriority w:val="0"/>
    <w:pPr>
      <w:spacing w:after="120"/>
      <w:ind w:left="420" w:leftChars="200"/>
    </w:pPr>
    <w:rPr>
      <w:sz w:val="16"/>
      <w:szCs w:val="16"/>
    </w:rPr>
  </w:style>
  <w:style w:type="paragraph" w:styleId="23">
    <w:name w:val="toc 2"/>
    <w:basedOn w:val="1"/>
    <w:next w:val="1"/>
    <w:autoRedefine/>
    <w:qFormat/>
    <w:uiPriority w:val="39"/>
    <w:pPr>
      <w:ind w:left="420" w:leftChars="200"/>
    </w:pPr>
  </w:style>
  <w:style w:type="paragraph" w:styleId="24">
    <w:name w:val="toc 9"/>
    <w:basedOn w:val="1"/>
    <w:next w:val="1"/>
    <w:autoRedefine/>
    <w:qFormat/>
    <w:uiPriority w:val="0"/>
    <w:pPr>
      <w:ind w:left="3360" w:leftChars="1600"/>
    </w:pPr>
  </w:style>
  <w:style w:type="paragraph" w:styleId="25">
    <w:name w:val="Normal (Web)"/>
    <w:basedOn w:val="1"/>
    <w:autoRedefine/>
    <w:qFormat/>
    <w:uiPriority w:val="0"/>
    <w:rPr>
      <w:sz w:val="24"/>
    </w:rPr>
  </w:style>
  <w:style w:type="paragraph" w:styleId="26">
    <w:name w:val="annotation subject"/>
    <w:basedOn w:val="8"/>
    <w:next w:val="8"/>
    <w:link w:val="33"/>
    <w:autoRedefine/>
    <w:qFormat/>
    <w:uiPriority w:val="0"/>
    <w:rPr>
      <w:rFonts w:ascii="Times New Roman" w:hAnsi="Times New Roman"/>
      <w:b/>
      <w:bCs/>
      <w:szCs w:val="24"/>
    </w:rPr>
  </w:style>
  <w:style w:type="table" w:styleId="28">
    <w:name w:val="Table Grid"/>
    <w:basedOn w:val="27"/>
    <w:autoRedefine/>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Hyperlink"/>
    <w:autoRedefine/>
    <w:unhideWhenUsed/>
    <w:qFormat/>
    <w:uiPriority w:val="99"/>
    <w:rPr>
      <w:color w:val="0000FF"/>
      <w:u w:val="single"/>
    </w:rPr>
  </w:style>
  <w:style w:type="character" w:styleId="31">
    <w:name w:val="annotation reference"/>
    <w:autoRedefine/>
    <w:qFormat/>
    <w:uiPriority w:val="0"/>
    <w:rPr>
      <w:sz w:val="21"/>
      <w:szCs w:val="21"/>
    </w:rPr>
  </w:style>
  <w:style w:type="character" w:customStyle="1" w:styleId="32">
    <w:name w:val="批注文字 字符"/>
    <w:link w:val="8"/>
    <w:autoRedefine/>
    <w:qFormat/>
    <w:uiPriority w:val="0"/>
    <w:rPr>
      <w:rFonts w:ascii="Calibri" w:hAnsi="Calibri"/>
      <w:kern w:val="2"/>
      <w:sz w:val="21"/>
      <w:szCs w:val="22"/>
    </w:rPr>
  </w:style>
  <w:style w:type="character" w:customStyle="1" w:styleId="33">
    <w:name w:val="批注主题 字符"/>
    <w:basedOn w:val="32"/>
    <w:link w:val="26"/>
    <w:autoRedefine/>
    <w:qFormat/>
    <w:uiPriority w:val="0"/>
    <w:rPr>
      <w:rFonts w:ascii="Calibri" w:hAnsi="Calibri"/>
      <w:kern w:val="2"/>
      <w:sz w:val="21"/>
      <w:szCs w:val="22"/>
    </w:rPr>
  </w:style>
  <w:style w:type="character" w:customStyle="1" w:styleId="34">
    <w:name w:val="文档结构图 字符"/>
    <w:link w:val="7"/>
    <w:autoRedefine/>
    <w:qFormat/>
    <w:uiPriority w:val="0"/>
    <w:rPr>
      <w:rFonts w:ascii="宋体"/>
      <w:kern w:val="2"/>
      <w:sz w:val="18"/>
      <w:szCs w:val="18"/>
    </w:rPr>
  </w:style>
  <w:style w:type="character" w:customStyle="1" w:styleId="35">
    <w:name w:val="批注框文本 字符"/>
    <w:link w:val="16"/>
    <w:autoRedefine/>
    <w:qFormat/>
    <w:uiPriority w:val="0"/>
    <w:rPr>
      <w:kern w:val="2"/>
      <w:sz w:val="18"/>
      <w:szCs w:val="18"/>
    </w:rPr>
  </w:style>
  <w:style w:type="character" w:customStyle="1" w:styleId="36">
    <w:name w:val="1101 Char"/>
    <w:link w:val="37"/>
    <w:autoRedefine/>
    <w:qFormat/>
    <w:uiPriority w:val="0"/>
    <w:rPr>
      <w:rFonts w:ascii="宋体" w:hAnsi="宋体" w:cs="宋体"/>
      <w:kern w:val="2"/>
      <w:sz w:val="28"/>
      <w:szCs w:val="28"/>
    </w:rPr>
  </w:style>
  <w:style w:type="paragraph" w:customStyle="1" w:styleId="37">
    <w:name w:val="1101"/>
    <w:basedOn w:val="1"/>
    <w:link w:val="36"/>
    <w:autoRedefine/>
    <w:qFormat/>
    <w:uiPriority w:val="0"/>
    <w:pPr>
      <w:ind w:firstLine="560" w:firstLineChars="200"/>
      <w:jc w:val="left"/>
    </w:pPr>
    <w:rPr>
      <w:rFonts w:ascii="宋体" w:hAnsi="宋体"/>
      <w:sz w:val="28"/>
      <w:szCs w:val="28"/>
    </w:rPr>
  </w:style>
  <w:style w:type="character" w:customStyle="1" w:styleId="38">
    <w:name w:val="标题 3 字符"/>
    <w:link w:val="5"/>
    <w:autoRedefine/>
    <w:qFormat/>
    <w:uiPriority w:val="0"/>
    <w:rPr>
      <w:rFonts w:eastAsia="宋体"/>
      <w:sz w:val="28"/>
    </w:rPr>
  </w:style>
  <w:style w:type="character" w:customStyle="1" w:styleId="39">
    <w:name w:val="标题 1 字符"/>
    <w:link w:val="2"/>
    <w:autoRedefine/>
    <w:qFormat/>
    <w:uiPriority w:val="0"/>
    <w:rPr>
      <w:rFonts w:ascii="Times New Roman" w:hAnsi="Times New Roman" w:eastAsia="宋体"/>
      <w:b/>
      <w:kern w:val="44"/>
      <w:sz w:val="28"/>
      <w:szCs w:val="20"/>
    </w:rPr>
  </w:style>
  <w:style w:type="character" w:customStyle="1" w:styleId="40">
    <w:name w:val="正文文本缩进 Char"/>
    <w:basedOn w:val="29"/>
    <w:autoRedefine/>
    <w:qFormat/>
    <w:uiPriority w:val="0"/>
    <w:rPr>
      <w:kern w:val="2"/>
      <w:sz w:val="21"/>
      <w:szCs w:val="24"/>
    </w:rPr>
  </w:style>
  <w:style w:type="character" w:customStyle="1" w:styleId="41">
    <w:name w:val="标题 2 字符"/>
    <w:link w:val="4"/>
    <w:autoRedefine/>
    <w:qFormat/>
    <w:uiPriority w:val="0"/>
    <w:rPr>
      <w:rFonts w:ascii="Arial" w:hAnsi="Arial" w:eastAsia="宋体"/>
      <w:sz w:val="28"/>
      <w:szCs w:val="20"/>
    </w:rPr>
  </w:style>
  <w:style w:type="character" w:customStyle="1" w:styleId="42">
    <w:name w:val="正文文本缩进 3 字符"/>
    <w:link w:val="22"/>
    <w:autoRedefine/>
    <w:qFormat/>
    <w:uiPriority w:val="0"/>
    <w:rPr>
      <w:kern w:val="2"/>
      <w:sz w:val="16"/>
      <w:szCs w:val="16"/>
    </w:rPr>
  </w:style>
  <w:style w:type="character" w:customStyle="1" w:styleId="43">
    <w:name w:val="正文文本缩进 字符"/>
    <w:basedOn w:val="29"/>
    <w:link w:val="10"/>
    <w:autoRedefine/>
    <w:qFormat/>
    <w:uiPriority w:val="0"/>
    <w:rPr>
      <w:kern w:val="2"/>
      <w:sz w:val="21"/>
      <w:szCs w:val="24"/>
    </w:rPr>
  </w:style>
  <w:style w:type="paragraph" w:customStyle="1" w:styleId="44">
    <w:name w:val="修订1"/>
    <w:autoRedefine/>
    <w:semiHidden/>
    <w:qFormat/>
    <w:uiPriority w:val="99"/>
    <w:rPr>
      <w:rFonts w:ascii="Times New Roman" w:hAnsi="Times New Roman" w:eastAsia="宋体" w:cs="Times New Roman"/>
      <w:kern w:val="2"/>
      <w:sz w:val="21"/>
      <w:szCs w:val="24"/>
      <w:lang w:val="en-US" w:eastAsia="zh-CN" w:bidi="ar-SA"/>
    </w:rPr>
  </w:style>
  <w:style w:type="paragraph" w:customStyle="1" w:styleId="45">
    <w:name w:val="纯文本1"/>
    <w:basedOn w:val="1"/>
    <w:autoRedefine/>
    <w:qFormat/>
    <w:uiPriority w:val="0"/>
    <w:rPr>
      <w:rFonts w:ascii="宋体" w:hAnsi="Courier New" w:cs="黑体"/>
      <w:szCs w:val="21"/>
    </w:rPr>
  </w:style>
  <w:style w:type="paragraph" w:customStyle="1" w:styleId="46">
    <w:name w:val="ST20_2"/>
    <w:basedOn w:val="1"/>
    <w:autoRedefine/>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7">
    <w:name w:val="款下正文"/>
    <w:basedOn w:val="1"/>
    <w:autoRedefine/>
    <w:qFormat/>
    <w:uiPriority w:val="0"/>
    <w:pPr>
      <w:spacing w:beforeLines="50" w:afterLines="50" w:line="480" w:lineRule="exact"/>
      <w:ind w:firstLine="480" w:firstLineChars="200"/>
    </w:pPr>
    <w:rPr>
      <w:sz w:val="24"/>
      <w:szCs w:val="28"/>
    </w:rPr>
  </w:style>
  <w:style w:type="paragraph" w:customStyle="1" w:styleId="48">
    <w:name w:val="TOC 标题1"/>
    <w:basedOn w:val="2"/>
    <w:next w:val="1"/>
    <w:autoRedefine/>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9">
    <w:name w:val="样式1"/>
    <w:basedOn w:val="2"/>
    <w:autoRedefine/>
    <w:qFormat/>
    <w:uiPriority w:val="0"/>
  </w:style>
  <w:style w:type="character" w:customStyle="1" w:styleId="50">
    <w:name w:val="纯文本 字符"/>
    <w:link w:val="13"/>
    <w:autoRedefine/>
    <w:qFormat/>
    <w:uiPriority w:val="0"/>
    <w:rPr>
      <w:rFonts w:ascii="宋体" w:hAnsi="Courier New"/>
      <w:kern w:val="2"/>
      <w:sz w:val="21"/>
      <w:szCs w:val="24"/>
    </w:rPr>
  </w:style>
  <w:style w:type="paragraph" w:customStyle="1" w:styleId="51">
    <w:name w:val="列出段落1"/>
    <w:basedOn w:val="1"/>
    <w:autoRedefine/>
    <w:qFormat/>
    <w:uiPriority w:val="34"/>
    <w:pPr>
      <w:ind w:firstLine="420" w:firstLineChars="200"/>
    </w:pPr>
    <w:rPr>
      <w:rFonts w:ascii="Calibri" w:hAnsi="Calibri"/>
      <w:szCs w:val="22"/>
    </w:rPr>
  </w:style>
  <w:style w:type="character" w:customStyle="1" w:styleId="52">
    <w:name w:val="日期 字符"/>
    <w:basedOn w:val="29"/>
    <w:link w:val="15"/>
    <w:autoRedefine/>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726907-9592-43BA-9565-60D310DAC98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15046</Words>
  <Characters>15799</Characters>
  <Lines>131</Lines>
  <Paragraphs>36</Paragraphs>
  <TotalTime>31</TotalTime>
  <ScaleCrop>false</ScaleCrop>
  <LinksUpToDate>false</LinksUpToDate>
  <CharactersWithSpaces>16363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2021-01-20T02:20:00Z</dcterms:created>
  <dc:creator>jkghj</dc:creator>
  <cp:lastModifiedBy>黄琛琦</cp:lastModifiedBy>
  <cp:lastPrinted>2024-03-20T07:53:00Z</cp:lastPrinted>
  <dcterms:modified xsi:type="dcterms:W3CDTF">2024-03-20T08:52:54Z</dcterms:modified>
  <dc:title>南宁市轨道交通3号线工程可行性研究报告(含选线勘察)编制</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9FDAFEF8D1994C488A7378E84ED1F316_13</vt:lpwstr>
  </property>
</Properties>
</file>