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8"/>
        <w:spacing w:before="0"/>
        <w:ind w:right="-57"/>
        <w:jc w:val="center"/>
        <w:rPr>
          <w:rFonts w:hint="eastAsia" w:ascii="宋体" w:hAnsi="宋体"/>
          <w:b/>
          <w:color w:val="auto"/>
          <w:spacing w:val="-4"/>
          <w:sz w:val="44"/>
          <w:szCs w:val="44"/>
          <w:highlight w:val="none"/>
        </w:rPr>
      </w:pPr>
      <w:r>
        <w:rPr>
          <w:rFonts w:hint="eastAsia" w:ascii="宋体" w:hAnsi="宋体"/>
          <w:b/>
          <w:color w:val="auto"/>
          <w:spacing w:val="-4"/>
          <w:sz w:val="44"/>
          <w:szCs w:val="44"/>
          <w:highlight w:val="none"/>
        </w:rPr>
        <w:t>运营公司档案委外整理及数字化加工服务采购</w:t>
      </w:r>
    </w:p>
    <w:p>
      <w:pPr>
        <w:pStyle w:val="28"/>
        <w:spacing w:before="0"/>
        <w:ind w:right="-57"/>
        <w:jc w:val="center"/>
        <w:rPr>
          <w:rFonts w:ascii="宋体" w:hAnsi="宋体"/>
          <w:b/>
          <w:color w:val="auto"/>
          <w:spacing w:val="-4"/>
          <w:sz w:val="44"/>
          <w:szCs w:val="44"/>
          <w:highlight w:val="none"/>
        </w:rPr>
      </w:pPr>
      <w:r>
        <w:rPr>
          <w:rFonts w:hint="eastAsia" w:ascii="宋体" w:hAnsi="宋体"/>
          <w:b/>
          <w:color w:val="auto"/>
          <w:spacing w:val="-4"/>
          <w:sz w:val="44"/>
          <w:szCs w:val="44"/>
          <w:highlight w:val="none"/>
        </w:rPr>
        <w:t>项目（2024年—2026年）</w:t>
      </w:r>
    </w:p>
    <w:p>
      <w:pPr>
        <w:spacing w:before="0"/>
        <w:ind w:right="-57" w:firstLine="0"/>
        <w:jc w:val="center"/>
        <w:rPr>
          <w:rFonts w:hint="eastAsia" w:ascii="宋体" w:hAnsi="宋体"/>
          <w:color w:val="auto"/>
          <w:sz w:val="72"/>
          <w:szCs w:val="72"/>
          <w:highlight w:val="none"/>
        </w:rPr>
      </w:pPr>
    </w:p>
    <w:p>
      <w:pPr>
        <w:spacing w:before="0"/>
        <w:ind w:right="-57" w:firstLine="0"/>
        <w:jc w:val="center"/>
        <w:rPr>
          <w:rFonts w:ascii="宋体" w:hAnsi="宋体"/>
          <w:color w:val="auto"/>
          <w:sz w:val="32"/>
          <w:szCs w:val="32"/>
          <w:highlight w:val="none"/>
        </w:rPr>
      </w:pPr>
      <w:r>
        <w:rPr>
          <w:rFonts w:hint="eastAsia" w:ascii="宋体" w:hAnsi="宋体"/>
          <w:color w:val="auto"/>
          <w:sz w:val="72"/>
          <w:szCs w:val="72"/>
          <w:highlight w:val="none"/>
        </w:rPr>
        <w:t>比选</w:t>
      </w:r>
      <w:r>
        <w:rPr>
          <w:rFonts w:ascii="宋体" w:hAnsi="宋体"/>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033" w:leftChars="492" w:right="-57" w:firstLine="1475" w:firstLineChars="459"/>
        <w:jc w:val="both"/>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项目编号：202</w:t>
      </w:r>
      <w:r>
        <w:rPr>
          <w:rFonts w:hint="eastAsia" w:ascii="宋体" w:hAnsi="宋体"/>
          <w:b/>
          <w:color w:val="auto"/>
          <w:sz w:val="32"/>
          <w:szCs w:val="32"/>
          <w:highlight w:val="none"/>
          <w:lang w:val="en-US" w:eastAsia="zh-CN"/>
        </w:rPr>
        <w:t>40</w:t>
      </w:r>
      <w:r>
        <w:rPr>
          <w:rFonts w:hint="eastAsia" w:ascii="宋体" w:hAnsi="宋体"/>
          <w:b/>
          <w:color w:val="auto"/>
          <w:sz w:val="32"/>
          <w:szCs w:val="32"/>
          <w:highlight w:val="none"/>
        </w:rPr>
        <w:t>1</w:t>
      </w:r>
      <w:r>
        <w:rPr>
          <w:rFonts w:hint="eastAsia" w:ascii="宋体" w:hAnsi="宋体"/>
          <w:b/>
          <w:color w:val="auto"/>
          <w:sz w:val="32"/>
          <w:szCs w:val="32"/>
          <w:highlight w:val="none"/>
          <w:lang w:val="en-US" w:eastAsia="zh-CN"/>
        </w:rPr>
        <w:t>30</w:t>
      </w:r>
      <w:r>
        <w:rPr>
          <w:rFonts w:hint="eastAsia" w:ascii="宋体" w:hAnsi="宋体"/>
          <w:b/>
          <w:color w:val="auto"/>
          <w:sz w:val="32"/>
          <w:szCs w:val="32"/>
          <w:highlight w:val="none"/>
        </w:rPr>
        <w:t>000</w:t>
      </w:r>
      <w:r>
        <w:rPr>
          <w:rFonts w:hint="eastAsia" w:ascii="宋体" w:hAnsi="宋体"/>
          <w:b/>
          <w:color w:val="auto"/>
          <w:sz w:val="32"/>
          <w:szCs w:val="32"/>
          <w:highlight w:val="none"/>
          <w:lang w:val="en-US" w:eastAsia="zh-CN"/>
        </w:rPr>
        <w:t>1</w:t>
      </w:r>
    </w:p>
    <w:p>
      <w:pPr>
        <w:spacing w:before="0"/>
        <w:ind w:left="1321" w:leftChars="629" w:right="-57" w:firstLine="1006" w:firstLineChars="313"/>
        <w:jc w:val="both"/>
        <w:rPr>
          <w:rFonts w:ascii="宋体" w:hAnsi="宋体"/>
          <w:color w:val="auto"/>
          <w:sz w:val="30"/>
          <w:szCs w:val="30"/>
          <w:highlight w:val="none"/>
        </w:rPr>
      </w:pPr>
      <w:r>
        <w:rPr>
          <w:rFonts w:ascii="宋体" w:hAnsi="宋体"/>
          <w:b/>
          <w:color w:val="auto"/>
          <w:sz w:val="32"/>
          <w:szCs w:val="32"/>
          <w:highlight w:val="none"/>
        </w:rPr>
        <w:t>比选人：</w:t>
      </w:r>
      <w:r>
        <w:rPr>
          <w:rFonts w:ascii="宋体" w:hAnsi="宋体"/>
          <w:b/>
          <w:color w:val="auto"/>
          <w:sz w:val="32"/>
          <w:szCs w:val="32"/>
          <w:highlight w:val="none"/>
          <w:u w:val="single"/>
        </w:rPr>
        <w:t>南宁轨道交通</w:t>
      </w:r>
      <w:r>
        <w:rPr>
          <w:rFonts w:hint="eastAsia" w:ascii="宋体" w:hAnsi="宋体"/>
          <w:b/>
          <w:color w:val="auto"/>
          <w:sz w:val="32"/>
          <w:szCs w:val="32"/>
          <w:highlight w:val="none"/>
          <w:u w:val="single"/>
        </w:rPr>
        <w:t>运营</w:t>
      </w:r>
      <w:r>
        <w:rPr>
          <w:rFonts w:ascii="宋体" w:hAnsi="宋体"/>
          <w:b/>
          <w:color w:val="auto"/>
          <w:sz w:val="32"/>
          <w:szCs w:val="32"/>
          <w:highlight w:val="none"/>
          <w:u w:val="single"/>
        </w:rPr>
        <w:t>有限公司</w:t>
      </w:r>
    </w:p>
    <w:p>
      <w:pPr>
        <w:spacing w:before="0"/>
        <w:ind w:right="-57" w:firstLine="0"/>
        <w:jc w:val="center"/>
        <w:rPr>
          <w:rFonts w:ascii="宋体" w:hAnsi="宋体"/>
          <w:color w:val="auto"/>
          <w:highlight w:val="none"/>
        </w:rPr>
      </w:pPr>
      <w:r>
        <w:rPr>
          <w:rFonts w:hint="eastAsia" w:ascii="宋体" w:hAnsi="宋体"/>
          <w:b/>
          <w:color w:val="auto"/>
          <w:sz w:val="36"/>
          <w:szCs w:val="36"/>
          <w:highlight w:val="none"/>
        </w:rPr>
        <w:t>202</w:t>
      </w:r>
      <w:r>
        <w:rPr>
          <w:rFonts w:hint="eastAsia" w:ascii="宋体" w:hAnsi="宋体"/>
          <w:b/>
          <w:color w:val="auto"/>
          <w:sz w:val="36"/>
          <w:szCs w:val="36"/>
          <w:highlight w:val="none"/>
          <w:lang w:val="en-US" w:eastAsia="zh-CN"/>
        </w:rPr>
        <w:t>4</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4</w:t>
      </w:r>
      <w:r>
        <w:rPr>
          <w:rFonts w:ascii="宋体" w:hAnsi="宋体"/>
          <w:b/>
          <w:color w:val="auto"/>
          <w:sz w:val="36"/>
          <w:szCs w:val="36"/>
          <w:highlight w:val="none"/>
        </w:rPr>
        <w:t>月</w:t>
      </w:r>
    </w:p>
    <w:p>
      <w:pPr>
        <w:ind w:left="0" w:right="-57" w:firstLine="0"/>
        <w:jc w:val="center"/>
        <w:rPr>
          <w:rFonts w:ascii="宋体" w:hAnsi="宋体"/>
          <w:color w:val="auto"/>
          <w:sz w:val="36"/>
          <w:szCs w:val="36"/>
          <w:highlight w:val="none"/>
        </w:rPr>
        <w:sectPr>
          <w:headerReference r:id="rId5" w:type="default"/>
          <w:footerReference r:id="rId6" w:type="default"/>
          <w:pgSz w:w="11905" w:h="16838"/>
          <w:pgMar w:top="1417" w:right="1417" w:bottom="1417" w:left="1417" w:header="0" w:footer="0" w:gutter="0"/>
          <w:pgNumType w:fmt="decimal" w:start="1" w:chapStyle="1"/>
          <w:cols w:space="720" w:num="1"/>
          <w:docGrid w:linePitch="312" w:charSpace="0"/>
        </w:sectPr>
      </w:pPr>
    </w:p>
    <w:p>
      <w:pPr>
        <w:spacing w:before="0" w:beforeLines="-2147483648" w:after="0" w:afterLines="-2147483648" w:line="240" w:lineRule="auto"/>
        <w:ind w:left="0" w:leftChars="0" w:right="0" w:rightChars="0" w:firstLine="0" w:firstLineChars="0"/>
        <w:jc w:val="center"/>
        <w:rPr>
          <w:rFonts w:ascii="宋体" w:hAnsi="宋体" w:eastAsia="宋体"/>
          <w:b/>
          <w:bCs/>
          <w:color w:val="auto"/>
          <w:sz w:val="36"/>
          <w:szCs w:val="36"/>
          <w:highlight w:val="none"/>
        </w:rPr>
      </w:pPr>
      <w:r>
        <w:rPr>
          <w:rFonts w:ascii="宋体" w:hAnsi="宋体" w:eastAsia="宋体"/>
          <w:b/>
          <w:bCs/>
          <w:color w:val="auto"/>
          <w:sz w:val="36"/>
          <w:szCs w:val="36"/>
          <w:highlight w:val="none"/>
        </w:rPr>
        <w:t>目</w:t>
      </w:r>
      <w:r>
        <w:rPr>
          <w:rFonts w:hint="eastAsia" w:ascii="宋体" w:hAnsi="宋体" w:eastAsia="宋体"/>
          <w:b/>
          <w:bCs/>
          <w:color w:val="auto"/>
          <w:sz w:val="36"/>
          <w:szCs w:val="36"/>
          <w:highlight w:val="none"/>
          <w:lang w:val="en-US" w:eastAsia="zh-CN"/>
        </w:rPr>
        <w:t xml:space="preserve">  </w:t>
      </w:r>
      <w:r>
        <w:rPr>
          <w:rFonts w:ascii="宋体" w:hAnsi="宋体" w:eastAsia="宋体"/>
          <w:b/>
          <w:bCs/>
          <w:color w:val="auto"/>
          <w:sz w:val="36"/>
          <w:szCs w:val="36"/>
          <w:highlight w:val="none"/>
        </w:rPr>
        <w:t>录</w:t>
      </w:r>
    </w:p>
    <w:sdt>
      <w:sdtPr>
        <w:rPr>
          <w:rFonts w:ascii="宋体" w:hAnsi="宋体" w:eastAsia="宋体" w:cs="Times New Roman"/>
          <w:color w:val="auto"/>
          <w:sz w:val="21"/>
          <w:szCs w:val="21"/>
          <w:highlight w:val="none"/>
          <w:lang w:val="en-US" w:eastAsia="zh-CN" w:bidi="ar-SA"/>
        </w:rPr>
        <w:id w:val="147464629"/>
        <w15:color w:val="DBDBDB"/>
        <w:docPartObj>
          <w:docPartGallery w:val="Table of Contents"/>
          <w:docPartUnique/>
        </w:docPartObj>
      </w:sdtPr>
      <w:sdtEndPr>
        <w:rPr>
          <w:rFonts w:hint="eastAsia" w:ascii="仿宋" w:hAnsi="仿宋" w:eastAsia="仿宋" w:cs="仿宋"/>
          <w:color w:val="auto"/>
          <w:sz w:val="28"/>
          <w:szCs w:val="28"/>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TOC \o "1-1" \h \u </w:instrText>
          </w:r>
          <w:r>
            <w:rPr>
              <w:rFonts w:hint="eastAsia" w:ascii="仿宋" w:hAnsi="仿宋" w:eastAsia="仿宋" w:cs="仿宋"/>
              <w:color w:val="auto"/>
              <w:sz w:val="28"/>
              <w:szCs w:val="28"/>
              <w:highlight w:val="none"/>
            </w:rPr>
            <w:fldChar w:fldCharType="separate"/>
          </w: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_Toc13484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rPr>
            <w:t>第一章比选公告</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_Toc13484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_Toc12967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rPr>
            <w:t>第二章比选申请须知</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_Toc12967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4</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_Toc641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rPr>
            <w:t>第三章合同条款及格式</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_Toc641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19</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_Toc10830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32"/>
              <w:highlight w:val="none"/>
            </w:rPr>
            <w:t>第四章 比选申请文件格式</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_Toc10830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41</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_Toc3658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 xml:space="preserve"> 法定代表人授权书格式</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_Toc3658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43</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_Toc11230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法定代表人资格证明书格式</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_Toc11230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44</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_Toc9085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承诺书格式</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_Toc9085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45</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_Toc1210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 xml:space="preserve"> 类似项目业绩表</w:t>
          </w:r>
          <w:r>
            <w:rPr>
              <w:rFonts w:hint="eastAsia" w:ascii="宋体" w:hAnsi="宋体" w:eastAsia="宋体" w:cs="宋体"/>
              <w:color w:val="auto"/>
              <w:sz w:val="22"/>
              <w:szCs w:val="22"/>
              <w:highlight w:val="none"/>
            </w:rPr>
            <w:tab/>
          </w:r>
          <w:r>
            <w:rPr>
              <w:rFonts w:hint="eastAsia" w:ascii="宋体" w:hAnsi="宋体" w:cs="宋体"/>
              <w:color w:val="auto"/>
              <w:sz w:val="22"/>
              <w:szCs w:val="22"/>
              <w:highlight w:val="none"/>
              <w:lang w:val="en-US" w:eastAsia="zh-CN"/>
            </w:rPr>
            <w:t>46</w:t>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_Toc7460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rPr>
            <w:t>第五章用户需求书</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_Toc7460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74</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_Toc8755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8"/>
              <w:highlight w:val="none"/>
              <w:lang w:val="en-US" w:eastAsia="zh-CN"/>
            </w:rPr>
            <w:t>1 委外服务项目概况</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_Toc8755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74</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_Toc24592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8"/>
              <w:highlight w:val="none"/>
              <w:lang w:val="en-US" w:eastAsia="zh-CN"/>
            </w:rPr>
            <w:t>2 委外服务项目范围</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_Toc24592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74</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_Toc22414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8"/>
              <w:highlight w:val="none"/>
              <w:lang w:val="en-US" w:eastAsia="zh-CN"/>
            </w:rPr>
            <w:t xml:space="preserve">3 </w:t>
          </w:r>
          <w:r>
            <w:rPr>
              <w:rFonts w:hint="eastAsia" w:ascii="宋体" w:hAnsi="宋体" w:eastAsia="宋体" w:cs="宋体"/>
              <w:color w:val="auto"/>
              <w:sz w:val="22"/>
              <w:szCs w:val="22"/>
              <w:highlight w:val="none"/>
              <w:lang w:val="en-US" w:eastAsia="zh-CN"/>
            </w:rPr>
            <w:t>委外服务项目承包方式及服务期</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_Toc22414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75</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_Toc21823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4 委外服务项目技术标准、规范</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_Toc21823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75</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_Toc2396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5委外服务管理要求</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_Toc2396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76</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_Toc6247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6委外服务整理技术要求</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_Toc6247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77</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_Toc4182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7项目验收要求</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_Toc4182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88</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_Toc969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8场地设备要求</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_Toc969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88</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_Toc30814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9实施要求</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_Toc30814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89</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color w:val="auto"/>
              <w:sz w:val="22"/>
              <w:szCs w:val="22"/>
              <w:highlight w:val="none"/>
            </w:rPr>
          </w:pPr>
          <w:r>
            <w:rPr>
              <w:rFonts w:hint="eastAsia" w:ascii="宋体" w:hAnsi="宋体" w:eastAsia="宋体" w:cs="宋体"/>
              <w:color w:val="auto"/>
              <w:sz w:val="22"/>
              <w:szCs w:val="32"/>
              <w:highlight w:val="none"/>
            </w:rPr>
            <w:fldChar w:fldCharType="begin"/>
          </w:r>
          <w:r>
            <w:rPr>
              <w:rFonts w:hint="eastAsia" w:ascii="宋体" w:hAnsi="宋体" w:eastAsia="宋体" w:cs="宋体"/>
              <w:color w:val="auto"/>
              <w:sz w:val="22"/>
              <w:szCs w:val="32"/>
              <w:highlight w:val="none"/>
            </w:rPr>
            <w:instrText xml:space="preserve"> HYPERLINK \l _Toc19394 </w:instrText>
          </w:r>
          <w:r>
            <w:rPr>
              <w:rFonts w:hint="eastAsia" w:ascii="宋体" w:hAnsi="宋体" w:eastAsia="宋体" w:cs="宋体"/>
              <w:color w:val="auto"/>
              <w:sz w:val="22"/>
              <w:szCs w:val="32"/>
              <w:highlight w:val="none"/>
            </w:rPr>
            <w:fldChar w:fldCharType="separate"/>
          </w:r>
          <w:r>
            <w:rPr>
              <w:rFonts w:hint="eastAsia" w:ascii="宋体" w:hAnsi="宋体" w:eastAsia="宋体" w:cs="宋体"/>
              <w:color w:val="auto"/>
              <w:sz w:val="22"/>
              <w:szCs w:val="22"/>
              <w:highlight w:val="none"/>
              <w:lang w:val="en-US" w:eastAsia="zh-CN"/>
            </w:rPr>
            <w:t>10保密安全要求</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_Toc19394 \h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89</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color w:val="auto"/>
              <w:sz w:val="22"/>
              <w:szCs w:val="22"/>
              <w:highlight w:val="none"/>
            </w:rPr>
          </w:pPr>
          <w:r>
            <w:rPr>
              <w:rFonts w:hint="eastAsia" w:ascii="仿宋" w:hAnsi="仿宋" w:eastAsia="仿宋" w:cs="仿宋"/>
              <w:color w:val="auto"/>
              <w:sz w:val="22"/>
              <w:szCs w:val="32"/>
              <w:highlight w:val="none"/>
            </w:rPr>
            <w:fldChar w:fldCharType="begin"/>
          </w:r>
          <w:r>
            <w:rPr>
              <w:rFonts w:hint="eastAsia" w:ascii="仿宋" w:hAnsi="仿宋" w:eastAsia="仿宋" w:cs="仿宋"/>
              <w:color w:val="auto"/>
              <w:sz w:val="22"/>
              <w:szCs w:val="32"/>
              <w:highlight w:val="none"/>
            </w:rPr>
            <w:instrText xml:space="preserve"> HYPERLINK \l _Toc9308 </w:instrText>
          </w:r>
          <w:r>
            <w:rPr>
              <w:rFonts w:hint="eastAsia" w:ascii="仿宋" w:hAnsi="仿宋" w:eastAsia="仿宋" w:cs="仿宋"/>
              <w:color w:val="auto"/>
              <w:sz w:val="22"/>
              <w:szCs w:val="32"/>
              <w:highlight w:val="none"/>
            </w:rPr>
            <w:fldChar w:fldCharType="separate"/>
          </w:r>
          <w:r>
            <w:rPr>
              <w:rFonts w:hint="eastAsia" w:ascii="宋体" w:hAnsi="宋体" w:eastAsia="宋体" w:cs="宋体"/>
              <w:color w:val="auto"/>
              <w:sz w:val="22"/>
              <w:szCs w:val="22"/>
              <w:highlight w:val="none"/>
              <w:lang w:val="en-US" w:eastAsia="zh-CN"/>
            </w:rPr>
            <w:t>11售后服务要求</w:t>
          </w:r>
          <w:r>
            <w:rPr>
              <w:rFonts w:hint="eastAsia" w:ascii="宋体" w:hAnsi="宋体" w:eastAsia="宋体" w:cs="宋体"/>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_Toc9308 \h </w:instrText>
          </w:r>
          <w:r>
            <w:rPr>
              <w:color w:val="auto"/>
              <w:sz w:val="22"/>
              <w:szCs w:val="22"/>
              <w:highlight w:val="none"/>
            </w:rPr>
            <w:fldChar w:fldCharType="separate"/>
          </w:r>
          <w:r>
            <w:rPr>
              <w:color w:val="auto"/>
              <w:sz w:val="22"/>
              <w:szCs w:val="22"/>
              <w:highlight w:val="none"/>
            </w:rPr>
            <w:t>89</w:t>
          </w:r>
          <w:r>
            <w:rPr>
              <w:color w:val="auto"/>
              <w:sz w:val="22"/>
              <w:szCs w:val="22"/>
              <w:highlight w:val="none"/>
            </w:rPr>
            <w:fldChar w:fldCharType="end"/>
          </w:r>
          <w:r>
            <w:rPr>
              <w:rFonts w:hint="eastAsia" w:ascii="仿宋" w:hAnsi="仿宋" w:eastAsia="仿宋" w:cs="仿宋"/>
              <w:color w:val="auto"/>
              <w:sz w:val="22"/>
              <w:szCs w:val="32"/>
              <w:highlight w:val="none"/>
            </w:rPr>
            <w:fldChar w:fldCharType="end"/>
          </w: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500" w:lineRule="exact"/>
            <w:ind w:left="709" w:right="0" w:hanging="709"/>
            <w:textAlignment w:val="auto"/>
            <w:rPr>
              <w:color w:val="auto"/>
              <w:highlight w:val="none"/>
            </w:rPr>
          </w:pPr>
          <w:r>
            <w:rPr>
              <w:rFonts w:hint="eastAsia" w:ascii="仿宋" w:hAnsi="仿宋" w:eastAsia="仿宋" w:cs="仿宋"/>
              <w:color w:val="auto"/>
              <w:sz w:val="22"/>
              <w:szCs w:val="32"/>
              <w:highlight w:val="none"/>
            </w:rPr>
            <w:fldChar w:fldCharType="begin"/>
          </w:r>
          <w:r>
            <w:rPr>
              <w:rFonts w:hint="eastAsia" w:ascii="仿宋" w:hAnsi="仿宋" w:eastAsia="仿宋" w:cs="仿宋"/>
              <w:color w:val="auto"/>
              <w:sz w:val="22"/>
              <w:szCs w:val="32"/>
              <w:highlight w:val="none"/>
            </w:rPr>
            <w:instrText xml:space="preserve"> HYPERLINK \l _Toc12206 </w:instrText>
          </w:r>
          <w:r>
            <w:rPr>
              <w:rFonts w:hint="eastAsia" w:ascii="仿宋" w:hAnsi="仿宋" w:eastAsia="仿宋" w:cs="仿宋"/>
              <w:color w:val="auto"/>
              <w:sz w:val="22"/>
              <w:szCs w:val="32"/>
              <w:highlight w:val="none"/>
            </w:rPr>
            <w:fldChar w:fldCharType="separate"/>
          </w:r>
          <w:r>
            <w:rPr>
              <w:rFonts w:hint="eastAsia" w:ascii="宋体" w:hAnsi="宋体" w:eastAsia="宋体" w:cs="Times New Roman"/>
              <w:color w:val="auto"/>
              <w:sz w:val="22"/>
              <w:szCs w:val="22"/>
              <w:highlight w:val="none"/>
            </w:rPr>
            <w:t>第六章</w:t>
          </w:r>
          <w:r>
            <w:rPr>
              <w:rFonts w:hint="eastAsia" w:hAnsi="宋体" w:cs="Times New Roman"/>
              <w:color w:val="auto"/>
              <w:sz w:val="22"/>
              <w:szCs w:val="22"/>
              <w:highlight w:val="none"/>
              <w:lang w:val="en-US" w:eastAsia="zh-CN"/>
            </w:rPr>
            <w:t xml:space="preserve"> </w:t>
          </w:r>
          <w:r>
            <w:rPr>
              <w:rFonts w:hint="eastAsia" w:ascii="宋体" w:hAnsi="宋体" w:eastAsia="宋体" w:cs="Times New Roman"/>
              <w:color w:val="auto"/>
              <w:sz w:val="22"/>
              <w:szCs w:val="22"/>
              <w:highlight w:val="none"/>
            </w:rPr>
            <w:t>评审办法</w:t>
          </w:r>
          <w:r>
            <w:rPr>
              <w:rFonts w:hint="eastAsia" w:ascii="宋体" w:hAnsi="宋体" w:eastAsia="宋体" w:cs="宋体"/>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_Toc12206 \h </w:instrText>
          </w:r>
          <w:r>
            <w:rPr>
              <w:color w:val="auto"/>
              <w:sz w:val="22"/>
              <w:szCs w:val="22"/>
              <w:highlight w:val="none"/>
            </w:rPr>
            <w:fldChar w:fldCharType="separate"/>
          </w:r>
          <w:r>
            <w:rPr>
              <w:color w:val="auto"/>
              <w:sz w:val="22"/>
              <w:szCs w:val="22"/>
              <w:highlight w:val="none"/>
            </w:rPr>
            <w:t>90</w:t>
          </w:r>
          <w:r>
            <w:rPr>
              <w:color w:val="auto"/>
              <w:sz w:val="22"/>
              <w:szCs w:val="22"/>
              <w:highlight w:val="none"/>
            </w:rPr>
            <w:fldChar w:fldCharType="end"/>
          </w:r>
          <w:r>
            <w:rPr>
              <w:rFonts w:hint="eastAsia" w:ascii="仿宋" w:hAnsi="仿宋" w:eastAsia="仿宋" w:cs="仿宋"/>
              <w:color w:val="auto"/>
              <w:sz w:val="22"/>
              <w:szCs w:val="32"/>
              <w:highlight w:val="none"/>
            </w:rPr>
            <w:fldChar w:fldCharType="end"/>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Cs w:val="28"/>
              <w:highlight w:val="none"/>
            </w:rPr>
            <w:fldChar w:fldCharType="end"/>
          </w:r>
        </w:p>
      </w:sdtContent>
    </w:sdt>
    <w:p>
      <w:pPr>
        <w:rPr>
          <w:color w:val="auto"/>
          <w:highlight w:val="none"/>
        </w:rPr>
      </w:pPr>
      <w:r>
        <w:rPr>
          <w:rFonts w:ascii="宋体" w:hAnsi="宋体" w:eastAsia="宋体"/>
          <w:b/>
          <w:bCs/>
          <w:color w:val="auto"/>
          <w:sz w:val="32"/>
          <w:szCs w:val="32"/>
          <w:highlight w:val="none"/>
        </w:rPr>
        <w:br w:type="page"/>
      </w:r>
    </w:p>
    <w:p>
      <w:pPr>
        <w:pStyle w:val="2"/>
        <w:pageBreakBefore/>
        <w:ind w:right="-57" w:firstLine="0"/>
        <w:jc w:val="center"/>
        <w:outlineLvl w:val="9"/>
        <w:rPr>
          <w:rFonts w:hint="eastAsia"/>
          <w:color w:val="auto"/>
          <w:highlight w:val="none"/>
          <w:lang w:eastAsia="zh-CN"/>
        </w:rPr>
        <w:sectPr>
          <w:footerReference r:id="rId7" w:type="default"/>
          <w:pgSz w:w="11905" w:h="16838"/>
          <w:pgMar w:top="1417" w:right="1417" w:bottom="1417" w:left="1417" w:header="454" w:footer="113" w:gutter="0"/>
          <w:pgNumType w:fmt="decimal"/>
          <w:cols w:space="720" w:num="1"/>
          <w:docGrid w:linePitch="312" w:charSpace="0"/>
        </w:sectPr>
      </w:pPr>
    </w:p>
    <w:p>
      <w:pPr>
        <w:pStyle w:val="2"/>
        <w:pageBreakBefore/>
        <w:ind w:right="-57" w:firstLine="0"/>
        <w:jc w:val="center"/>
        <w:outlineLvl w:val="0"/>
        <w:rPr>
          <w:rStyle w:val="46"/>
          <w:rFonts w:ascii="宋体" w:hAnsi="宋体" w:eastAsia="宋体"/>
          <w:color w:val="auto"/>
          <w:highlight w:val="none"/>
        </w:rPr>
      </w:pPr>
      <w:r>
        <w:rPr>
          <w:rFonts w:hint="eastAsia"/>
          <w:color w:val="auto"/>
          <w:highlight w:val="none"/>
          <w:lang w:val="en-US" w:eastAsia="zh-CN"/>
        </w:rPr>
        <w:t xml:space="preserve"> </w:t>
      </w:r>
      <w:r>
        <w:rPr>
          <w:rFonts w:hint="eastAsia"/>
          <w:color w:val="auto"/>
          <w:highlight w:val="none"/>
          <w:lang w:eastAsia="zh-CN"/>
        </w:rPr>
        <w:tab/>
      </w:r>
      <w:bookmarkStart w:id="0" w:name="_Toc24217"/>
      <w:bookmarkStart w:id="1" w:name="_Toc25618"/>
      <w:bookmarkStart w:id="2" w:name="_Toc13484"/>
      <w:bookmarkStart w:id="3" w:name="_Toc17693"/>
      <w:bookmarkStart w:id="4" w:name="_Toc28635"/>
      <w:bookmarkStart w:id="5" w:name="_Toc13132"/>
      <w:r>
        <w:rPr>
          <w:rStyle w:val="46"/>
          <w:rFonts w:hint="eastAsia" w:ascii="宋体" w:hAnsi="宋体" w:eastAsia="宋体"/>
          <w:color w:val="auto"/>
          <w:highlight w:val="none"/>
        </w:rPr>
        <w:t>第一章比选公告</w:t>
      </w:r>
      <w:bookmarkEnd w:id="0"/>
      <w:bookmarkEnd w:id="1"/>
      <w:bookmarkEnd w:id="2"/>
      <w:bookmarkEnd w:id="3"/>
      <w:bookmarkEnd w:id="4"/>
      <w:bookmarkEnd w:id="5"/>
    </w:p>
    <w:p>
      <w:pPr>
        <w:spacing w:before="0" w:after="0" w:afterAutospacing="0"/>
        <w:ind w:right="-57" w:firstLine="0"/>
        <w:jc w:val="center"/>
        <w:rPr>
          <w:rFonts w:hint="eastAsia" w:ascii="宋体" w:hAnsi="宋体"/>
          <w:b/>
          <w:color w:val="auto"/>
          <w:sz w:val="28"/>
          <w:szCs w:val="28"/>
          <w:highlight w:val="none"/>
          <w:u w:val="single"/>
          <w:lang w:eastAsia="zh-CN"/>
        </w:rPr>
      </w:pPr>
      <w:bookmarkStart w:id="6" w:name="_Toc7089"/>
      <w:r>
        <w:rPr>
          <w:rFonts w:hint="eastAsia" w:ascii="宋体" w:hAnsi="宋体"/>
          <w:b/>
          <w:color w:val="auto"/>
          <w:sz w:val="28"/>
          <w:szCs w:val="28"/>
          <w:highlight w:val="none"/>
          <w:u w:val="single"/>
          <w:lang w:eastAsia="zh-CN"/>
        </w:rPr>
        <w:t>运营公司档案委外整理及数字化加工服务采购项目</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8"/>
          <w:szCs w:val="28"/>
          <w:highlight w:val="none"/>
          <w:u w:val="single"/>
          <w:lang w:eastAsia="zh-CN"/>
        </w:rPr>
        <w:t>（2024年—2026年）</w:t>
      </w:r>
      <w:r>
        <w:rPr>
          <w:rFonts w:hint="eastAsia" w:ascii="宋体" w:hAnsi="宋体"/>
          <w:b/>
          <w:color w:val="auto"/>
          <w:sz w:val="28"/>
          <w:szCs w:val="28"/>
          <w:highlight w:val="none"/>
        </w:rPr>
        <w:t>比选公告</w:t>
      </w:r>
      <w:bookmarkEnd w:id="6"/>
    </w:p>
    <w:p>
      <w:pPr>
        <w:keepNext w:val="0"/>
        <w:keepLines w:val="0"/>
        <w:pageBreakBefore w:val="0"/>
        <w:widowControl/>
        <w:kinsoku/>
        <w:wordWrap/>
        <w:overflowPunct/>
        <w:topLinePunct w:val="0"/>
        <w:bidi w:val="0"/>
        <w:snapToGrid/>
        <w:spacing w:before="0" w:after="0" w:afterAutospacing="0" w:line="500" w:lineRule="exact"/>
        <w:ind w:left="0" w:right="0" w:firstLine="422" w:firstLineChars="200"/>
        <w:textAlignment w:val="auto"/>
        <w:rPr>
          <w:rFonts w:ascii="宋体" w:hAnsi="宋体"/>
          <w:b/>
          <w:color w:val="auto"/>
          <w:highlight w:val="none"/>
        </w:rPr>
      </w:pPr>
      <w:bookmarkStart w:id="7" w:name="OLE_LINK4"/>
      <w:bookmarkEnd w:id="7"/>
      <w:bookmarkStart w:id="8" w:name="_Toc8506"/>
      <w:r>
        <w:rPr>
          <w:rFonts w:hint="eastAsia" w:ascii="宋体" w:hAnsi="宋体"/>
          <w:b/>
          <w:color w:val="auto"/>
          <w:highlight w:val="none"/>
        </w:rPr>
        <w:t>1.比选条件</w:t>
      </w:r>
      <w:bookmarkEnd w:id="8"/>
    </w:p>
    <w:p>
      <w:pPr>
        <w:keepNext w:val="0"/>
        <w:keepLines w:val="0"/>
        <w:pageBreakBefore w:val="0"/>
        <w:widowControl/>
        <w:kinsoku/>
        <w:wordWrap/>
        <w:overflowPunct/>
        <w:topLinePunct w:val="0"/>
        <w:bidi w:val="0"/>
        <w:snapToGrid/>
        <w:spacing w:before="0" w:after="0" w:afterAutospacing="0" w:line="500" w:lineRule="exact"/>
        <w:ind w:left="0" w:right="0" w:firstLine="420" w:firstLineChars="200"/>
        <w:textAlignment w:val="auto"/>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lang w:eastAsia="zh-CN"/>
        </w:rPr>
        <w:t>运营公司档案委外整理及数字化加工服务采购项目（2024年—2026年）</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，比选项目资金来源为企业自有资金。</w:t>
      </w:r>
    </w:p>
    <w:p>
      <w:pPr>
        <w:keepNext w:val="0"/>
        <w:keepLines w:val="0"/>
        <w:pageBreakBefore w:val="0"/>
        <w:widowControl/>
        <w:kinsoku/>
        <w:wordWrap/>
        <w:overflowPunct/>
        <w:topLinePunct w:val="0"/>
        <w:bidi w:val="0"/>
        <w:snapToGrid/>
        <w:spacing w:before="0" w:after="0" w:afterAutospacing="0" w:line="500" w:lineRule="exact"/>
        <w:ind w:left="0" w:right="0" w:firstLine="422" w:firstLineChars="200"/>
        <w:textAlignment w:val="auto"/>
        <w:rPr>
          <w:rFonts w:ascii="宋体" w:hAnsi="宋体"/>
          <w:b/>
          <w:color w:val="auto"/>
          <w:highlight w:val="none"/>
        </w:rPr>
      </w:pPr>
      <w:bookmarkStart w:id="9" w:name="_Toc28009"/>
      <w:r>
        <w:rPr>
          <w:rFonts w:hint="eastAsia" w:ascii="宋体" w:hAnsi="宋体"/>
          <w:b/>
          <w:color w:val="auto"/>
          <w:highlight w:val="none"/>
        </w:rPr>
        <w:t>2.项目概况与比选范围</w:t>
      </w:r>
      <w:bookmarkEnd w:id="9"/>
    </w:p>
    <w:p>
      <w:pPr>
        <w:keepNext w:val="0"/>
        <w:keepLines w:val="0"/>
        <w:pageBreakBefore w:val="0"/>
        <w:widowControl/>
        <w:kinsoku/>
        <w:wordWrap/>
        <w:overflowPunct/>
        <w:topLinePunct w:val="0"/>
        <w:bidi w:val="0"/>
        <w:snapToGrid/>
        <w:spacing w:before="0" w:after="0" w:afterAutospacing="0" w:line="500" w:lineRule="exact"/>
        <w:ind w:left="0" w:right="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2.1</w:t>
      </w:r>
      <w:r>
        <w:rPr>
          <w:rFonts w:hint="eastAsia" w:ascii="宋体" w:hAnsi="宋体" w:eastAsia="宋体"/>
          <w:color w:val="auto"/>
          <w:highlight w:val="none"/>
        </w:rPr>
        <w:t>项目编号：202</w:t>
      </w:r>
      <w:r>
        <w:rPr>
          <w:rFonts w:hint="eastAsia" w:ascii="宋体" w:hAnsi="宋体"/>
          <w:color w:val="auto"/>
          <w:highlight w:val="none"/>
          <w:lang w:val="en-US" w:eastAsia="zh-CN"/>
        </w:rPr>
        <w:t>40130</w:t>
      </w:r>
      <w:r>
        <w:rPr>
          <w:rFonts w:hint="eastAsia" w:ascii="宋体" w:hAnsi="宋体" w:eastAsia="宋体"/>
          <w:color w:val="auto"/>
          <w:highlight w:val="none"/>
        </w:rPr>
        <w:t>000</w:t>
      </w:r>
      <w:r>
        <w:rPr>
          <w:rFonts w:hint="eastAsia" w:ascii="宋体" w:hAnsi="宋体"/>
          <w:color w:val="auto"/>
          <w:highlight w:val="none"/>
          <w:lang w:val="en-US" w:eastAsia="zh-CN"/>
        </w:rPr>
        <w:t>1</w:t>
      </w:r>
    </w:p>
    <w:p>
      <w:pPr>
        <w:keepNext w:val="0"/>
        <w:keepLines w:val="0"/>
        <w:pageBreakBefore w:val="0"/>
        <w:widowControl/>
        <w:kinsoku/>
        <w:wordWrap/>
        <w:overflowPunct/>
        <w:topLinePunct w:val="0"/>
        <w:bidi w:val="0"/>
        <w:snapToGrid/>
        <w:spacing w:before="0" w:after="0" w:afterAutospacing="0" w:line="500" w:lineRule="exact"/>
        <w:ind w:left="0" w:right="0" w:firstLine="420" w:firstLineChars="200"/>
        <w:textAlignment w:val="auto"/>
        <w:rPr>
          <w:rFonts w:hint="eastAsia" w:ascii="宋体" w:hAnsi="宋体"/>
          <w:color w:val="auto"/>
          <w:highlight w:val="none"/>
          <w:lang w:eastAsia="zh-CN"/>
        </w:rPr>
      </w:pPr>
      <w:r>
        <w:rPr>
          <w:rFonts w:hint="eastAsia" w:ascii="宋体" w:hAnsi="宋体"/>
          <w:color w:val="auto"/>
          <w:highlight w:val="none"/>
          <w:lang w:val="en-US" w:eastAsia="zh-CN"/>
        </w:rPr>
        <w:t>2.2</w:t>
      </w:r>
      <w:r>
        <w:rPr>
          <w:rFonts w:hint="eastAsia" w:ascii="宋体" w:hAnsi="宋体" w:eastAsia="宋体"/>
          <w:color w:val="auto"/>
          <w:highlight w:val="none"/>
        </w:rPr>
        <w:t>项目名称：</w:t>
      </w:r>
      <w:r>
        <w:rPr>
          <w:rFonts w:hint="eastAsia" w:ascii="宋体" w:hAnsi="宋体"/>
          <w:color w:val="auto"/>
          <w:highlight w:val="none"/>
          <w:lang w:eastAsia="zh-CN"/>
        </w:rPr>
        <w:t>运营公司档案委外整理及数字化加工服务采购项目（2024年—2026年）</w:t>
      </w:r>
    </w:p>
    <w:p>
      <w:pPr>
        <w:keepNext w:val="0"/>
        <w:keepLines w:val="0"/>
        <w:pageBreakBefore w:val="0"/>
        <w:widowControl/>
        <w:kinsoku/>
        <w:wordWrap/>
        <w:overflowPunct/>
        <w:topLinePunct w:val="0"/>
        <w:bidi w:val="0"/>
        <w:snapToGrid/>
        <w:spacing w:before="0" w:after="0" w:afterAutospacing="0" w:line="500" w:lineRule="exact"/>
        <w:ind w:left="0" w:right="0" w:firstLine="420" w:firstLineChars="200"/>
        <w:textAlignment w:val="auto"/>
        <w:rPr>
          <w:rFonts w:hint="eastAsia" w:ascii="宋体" w:hAnsi="宋体"/>
          <w:color w:val="auto"/>
          <w:highlight w:val="none"/>
          <w:lang w:eastAsia="zh-CN"/>
        </w:rPr>
      </w:pPr>
      <w:r>
        <w:rPr>
          <w:rFonts w:hint="eastAsia" w:ascii="宋体" w:hAnsi="宋体"/>
          <w:color w:val="auto"/>
          <w:highlight w:val="none"/>
          <w:lang w:val="en-US" w:eastAsia="zh-CN"/>
        </w:rPr>
        <w:t>2.3</w:t>
      </w:r>
      <w:r>
        <w:rPr>
          <w:rFonts w:hint="eastAsia" w:ascii="宋体" w:hAnsi="宋体" w:eastAsia="宋体"/>
          <w:color w:val="auto"/>
          <w:highlight w:val="none"/>
        </w:rPr>
        <w:t>上限控制价：本项目不含税上限控制价为人民币</w:t>
      </w:r>
      <w:r>
        <w:rPr>
          <w:rFonts w:hint="eastAsia" w:ascii="宋体" w:hAnsi="宋体"/>
          <w:color w:val="auto"/>
          <w:highlight w:val="none"/>
          <w:lang w:val="en-US" w:eastAsia="zh-CN"/>
        </w:rPr>
        <w:t>623000</w:t>
      </w:r>
      <w:r>
        <w:rPr>
          <w:rFonts w:hint="eastAsia" w:ascii="宋体" w:hAnsi="宋体" w:eastAsia="宋体"/>
          <w:color w:val="auto"/>
          <w:highlight w:val="none"/>
        </w:rPr>
        <w:t>.00元</w:t>
      </w:r>
      <w:r>
        <w:rPr>
          <w:rFonts w:hint="eastAsia" w:ascii="宋体" w:hAnsi="宋体"/>
          <w:color w:val="auto"/>
          <w:highlight w:val="none"/>
          <w:lang w:eastAsia="zh-CN"/>
        </w:rPr>
        <w:t>。</w:t>
      </w:r>
    </w:p>
    <w:p>
      <w:pPr>
        <w:keepNext w:val="0"/>
        <w:keepLines w:val="0"/>
        <w:pageBreakBefore w:val="0"/>
        <w:widowControl/>
        <w:kinsoku/>
        <w:wordWrap/>
        <w:overflowPunct/>
        <w:topLinePunct w:val="0"/>
        <w:bidi w:val="0"/>
        <w:snapToGrid/>
        <w:spacing w:before="0" w:after="0" w:afterAutospacing="0" w:line="500" w:lineRule="exact"/>
        <w:ind w:left="0" w:right="0" w:firstLine="420" w:firstLineChars="200"/>
        <w:textAlignment w:val="auto"/>
        <w:rPr>
          <w:rFonts w:hint="eastAsia" w:ascii="宋体" w:hAnsi="宋体" w:eastAsia="宋体"/>
          <w:color w:val="auto"/>
          <w:highlight w:val="none"/>
        </w:rPr>
      </w:pPr>
      <w:r>
        <w:rPr>
          <w:rFonts w:hint="eastAsia" w:ascii="宋体" w:hAnsi="宋体" w:eastAsia="宋体" w:cs="Times New Roman"/>
          <w:color w:val="auto"/>
          <w:highlight w:val="none"/>
          <w:lang w:val="en-US" w:eastAsia="zh-CN"/>
        </w:rPr>
        <w:t>2.4计划服务周期</w:t>
      </w:r>
      <w:r>
        <w:rPr>
          <w:rFonts w:hint="eastAsia" w:ascii="宋体" w:hAnsi="宋体" w:eastAsia="宋体"/>
          <w:color w:val="auto"/>
          <w:highlight w:val="none"/>
        </w:rPr>
        <w:t>：</w:t>
      </w:r>
      <w:r>
        <w:rPr>
          <w:rFonts w:hint="eastAsia" w:ascii="宋体" w:hAnsi="宋体" w:eastAsia="宋体" w:cs="Times New Roman"/>
          <w:color w:val="auto"/>
          <w:highlight w:val="none"/>
          <w:lang w:val="en-US" w:eastAsia="zh-CN"/>
        </w:rPr>
        <w:t>合同签订之日起至2026年12月31日。</w:t>
      </w:r>
    </w:p>
    <w:p>
      <w:pPr>
        <w:keepNext w:val="0"/>
        <w:keepLines w:val="0"/>
        <w:pageBreakBefore w:val="0"/>
        <w:widowControl/>
        <w:kinsoku/>
        <w:wordWrap/>
        <w:overflowPunct/>
        <w:topLinePunct w:val="0"/>
        <w:autoSpaceDE w:val="0"/>
        <w:autoSpaceDN w:val="0"/>
        <w:bidi w:val="0"/>
        <w:adjustRightInd w:val="0"/>
        <w:snapToGrid/>
        <w:spacing w:before="0" w:after="0" w:afterAutospacing="0" w:line="500" w:lineRule="exact"/>
        <w:ind w:left="0" w:right="0" w:firstLine="420" w:firstLineChars="200"/>
        <w:textAlignment w:val="auto"/>
        <w:rPr>
          <w:rFonts w:hint="eastAsia" w:ascii="宋体" w:hAnsi="宋体" w:eastAsia="宋体" w:cs="Times New Roman"/>
          <w:color w:val="auto"/>
          <w:kern w:val="0"/>
          <w:szCs w:val="21"/>
          <w:highlight w:val="none"/>
          <w:lang w:val="en-US" w:eastAsia="zh-CN"/>
        </w:rPr>
      </w:pPr>
      <w:r>
        <w:rPr>
          <w:rFonts w:hint="eastAsia" w:ascii="宋体" w:hAnsi="宋体" w:cs="宋体"/>
          <w:color w:val="auto"/>
          <w:highlight w:val="none"/>
          <w:lang w:val="en-US" w:eastAsia="zh-CN"/>
        </w:rPr>
        <w:t>2.5质保期：</w:t>
      </w:r>
      <w:r>
        <w:rPr>
          <w:rFonts w:hint="eastAsia" w:ascii="宋体" w:hAnsi="宋体" w:eastAsia="宋体" w:cs="Times New Roman"/>
          <w:color w:val="auto"/>
          <w:kern w:val="0"/>
          <w:szCs w:val="21"/>
          <w:highlight w:val="none"/>
          <w:lang w:val="en-US" w:eastAsia="zh-CN"/>
        </w:rPr>
        <w:t>项目整体验收合格之日起至少24个月，质保期内提供电话、传真、电子邮件、现场多种方式技术服务，接到比选人处理问题通知后24小时内到达比选人指定现场。</w:t>
      </w:r>
    </w:p>
    <w:p>
      <w:pPr>
        <w:pStyle w:val="32"/>
        <w:keepNext w:val="0"/>
        <w:keepLines w:val="0"/>
        <w:pageBreakBefore w:val="0"/>
        <w:widowControl/>
        <w:kinsoku/>
        <w:wordWrap/>
        <w:overflowPunct/>
        <w:topLinePunct w:val="0"/>
        <w:autoSpaceDE/>
        <w:autoSpaceDN/>
        <w:bidi w:val="0"/>
        <w:adjustRightInd/>
        <w:snapToGrid/>
        <w:spacing w:before="0" w:after="0" w:afterAutospacing="0" w:line="500" w:lineRule="exact"/>
        <w:ind w:left="0" w:leftChars="0" w:right="0" w:firstLine="420" w:firstLineChars="200"/>
        <w:textAlignment w:val="auto"/>
        <w:rPr>
          <w:rFonts w:hint="eastAsia" w:ascii="宋体" w:hAnsi="宋体" w:eastAsia="宋体"/>
          <w:color w:val="auto"/>
          <w:highlight w:val="none"/>
          <w:u w:val="none"/>
        </w:rPr>
      </w:pPr>
      <w:r>
        <w:rPr>
          <w:rFonts w:hint="eastAsia" w:ascii="宋体" w:hAnsi="宋体"/>
          <w:color w:val="auto"/>
          <w:highlight w:val="none"/>
          <w:lang w:val="en-US" w:eastAsia="zh-CN"/>
        </w:rPr>
        <w:t>2.6</w:t>
      </w:r>
      <w:r>
        <w:rPr>
          <w:rFonts w:hint="eastAsia" w:ascii="宋体" w:hAnsi="宋体" w:eastAsia="宋体"/>
          <w:color w:val="auto"/>
          <w:highlight w:val="none"/>
        </w:rPr>
        <w:t>项目地点：</w:t>
      </w:r>
      <w:r>
        <w:rPr>
          <w:rFonts w:hint="eastAsia"/>
          <w:color w:val="auto"/>
          <w:highlight w:val="none"/>
          <w:lang w:val="en-US" w:eastAsia="zh-CN"/>
        </w:rPr>
        <w:t>南宁市青秀区云景路83号屯里车辆段</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color w:val="auto"/>
          <w:highlight w:val="none"/>
          <w:lang w:val="en-US" w:eastAsia="zh-CN"/>
        </w:rPr>
        <w:t>2.7</w:t>
      </w:r>
      <w:r>
        <w:rPr>
          <w:rFonts w:hint="eastAsia" w:ascii="宋体" w:hAnsi="宋体" w:eastAsia="宋体"/>
          <w:color w:val="auto"/>
          <w:highlight w:val="none"/>
        </w:rPr>
        <w:t>比选范围：</w:t>
      </w:r>
    </w:p>
    <w:p>
      <w:pPr>
        <w:pStyle w:val="8"/>
        <w:jc w:val="center"/>
        <w:rPr>
          <w:rFonts w:hint="default"/>
          <w:color w:val="auto"/>
          <w:highlight w:val="none"/>
          <w:lang w:val="en-US"/>
        </w:rPr>
      </w:pPr>
      <w:r>
        <w:rPr>
          <w:rFonts w:hint="eastAsia"/>
          <w:color w:val="auto"/>
          <w:highlight w:val="none"/>
          <w:lang w:val="en-US" w:eastAsia="zh-CN"/>
        </w:rPr>
        <w:t>运营公司档案委外整理及数字化加工服务采购项目内容</w:t>
      </w:r>
    </w:p>
    <w:tbl>
      <w:tblPr>
        <w:tblStyle w:val="33"/>
        <w:tblW w:w="9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09"/>
        <w:gridCol w:w="1157"/>
        <w:gridCol w:w="3597"/>
        <w:gridCol w:w="1109"/>
        <w:gridCol w:w="1109"/>
        <w:gridCol w:w="1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992" w:type="dxa"/>
            <w:tcBorders>
              <w:top w:val="single" w:color="000000" w:sz="8" w:space="0"/>
              <w:left w:val="single" w:color="000000" w:sz="8" w:space="0"/>
              <w:bottom w:val="single" w:color="000000" w:sz="4"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1157" w:type="dxa"/>
            <w:tcBorders>
              <w:top w:val="single" w:color="000000" w:sz="8" w:space="0"/>
              <w:left w:val="nil"/>
              <w:bottom w:val="single" w:color="000000" w:sz="4"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服务名称</w:t>
            </w:r>
          </w:p>
        </w:tc>
        <w:tc>
          <w:tcPr>
            <w:tcW w:w="406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服务内容</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beforeAutospacing="0"/>
              <w:jc w:val="center"/>
              <w:textAlignment w:val="center"/>
              <w:rPr>
                <w:rFonts w:hint="default"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992"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文书档案整理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按规范程序进行组件、分类、排列、编号、修整、编页、装订、编目、录入系统、装盒等</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30000</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科技档案整理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按规范程序进行组卷、修整、编页、编号、编目、录入系统、编制封面、装订、折图、装盒等</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157"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图纸整理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图纸折叠、编号、编目、录入系统、装盒等</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档案数字化加工</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按规范程序进行拆分、扫描、图像处理、质检、命名、数据存储、挂接系统、备份等</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页</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990000</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92"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会计档案整理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按规范程序进行盖章、编号、编目、装订、录入系统、装盒等</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1800</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声像、实物档案整理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声像照片的洗晒、编号、编目、装盒等</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件</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270</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157"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光盘刻录</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从档案系统下载电子文件并刻录到光盘，制作光盘目录、标签等</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992" w:type="dxa"/>
            <w:tcBorders>
              <w:top w:val="nil"/>
              <w:left w:val="nil"/>
              <w:bottom w:val="single" w:color="000000" w:sz="8" w:space="0"/>
              <w:right w:val="single" w:color="000000" w:sz="8" w:space="0"/>
            </w:tcBorders>
            <w:noWrap/>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bl>
    <w:p>
      <w:pPr>
        <w:pStyle w:val="32"/>
        <w:keepNext w:val="0"/>
        <w:keepLines w:val="0"/>
        <w:pageBreakBefore w:val="0"/>
        <w:widowControl/>
        <w:kinsoku/>
        <w:wordWrap/>
        <w:overflowPunct/>
        <w:topLinePunct w:val="0"/>
        <w:autoSpaceDE/>
        <w:autoSpaceDN/>
        <w:bidi w:val="0"/>
        <w:adjustRightInd/>
        <w:snapToGrid/>
        <w:spacing w:before="0" w:after="0" w:afterAutospacing="0"/>
        <w:ind w:left="0" w:leftChars="0" w:right="0"/>
        <w:textAlignment w:val="auto"/>
        <w:rPr>
          <w:rFonts w:hint="eastAsia"/>
          <w:color w:val="auto"/>
          <w:highlight w:val="none"/>
          <w:lang w:val="en-US" w:eastAsia="zh-CN"/>
        </w:rPr>
      </w:pPr>
      <w:r>
        <w:rPr>
          <w:rFonts w:hint="eastAsia"/>
          <w:color w:val="auto"/>
          <w:highlight w:val="none"/>
          <w:lang w:val="en-US" w:eastAsia="zh-CN"/>
        </w:rPr>
        <w:t>注：合同以实际完成的工作量结算。</w:t>
      </w:r>
      <w:bookmarkStart w:id="10" w:name="_Toc27208"/>
    </w:p>
    <w:p>
      <w:pPr>
        <w:pStyle w:val="32"/>
        <w:keepNext w:val="0"/>
        <w:keepLines w:val="0"/>
        <w:pageBreakBefore w:val="0"/>
        <w:widowControl/>
        <w:kinsoku/>
        <w:wordWrap/>
        <w:overflowPunct/>
        <w:topLinePunct w:val="0"/>
        <w:autoSpaceDE/>
        <w:autoSpaceDN/>
        <w:bidi w:val="0"/>
        <w:adjustRightInd/>
        <w:snapToGrid/>
        <w:spacing w:before="0" w:after="0" w:afterAutospacing="0"/>
        <w:ind w:left="0" w:leftChars="0" w:right="0"/>
        <w:textAlignment w:val="auto"/>
        <w:rPr>
          <w:rFonts w:ascii="宋体" w:hAnsi="宋体"/>
          <w:color w:val="auto"/>
          <w:highlight w:val="none"/>
        </w:rPr>
      </w:pPr>
      <w:r>
        <w:rPr>
          <w:rFonts w:hint="eastAsia" w:ascii="宋体" w:hAnsi="宋体"/>
          <w:b/>
          <w:color w:val="auto"/>
          <w:highlight w:val="none"/>
        </w:rPr>
        <w:t>3.比选申请人资格要求</w:t>
      </w:r>
      <w:bookmarkEnd w:id="10"/>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2" w:firstLineChars="200"/>
        <w:textAlignment w:val="auto"/>
        <w:rPr>
          <w:rFonts w:hint="eastAsia" w:ascii="宋体" w:hAnsi="宋体" w:eastAsia="宋体"/>
          <w:b/>
          <w:bCs/>
          <w:color w:val="auto"/>
          <w:highlight w:val="none"/>
        </w:rPr>
      </w:pPr>
      <w:bookmarkStart w:id="11" w:name="_Toc7836"/>
      <w:r>
        <w:rPr>
          <w:rFonts w:hint="eastAsia" w:ascii="宋体" w:hAnsi="宋体"/>
          <w:b/>
          <w:bCs/>
          <w:color w:val="auto"/>
          <w:highlight w:val="none"/>
          <w:lang w:val="en-US" w:eastAsia="zh-CN"/>
        </w:rPr>
        <w:t>3</w:t>
      </w:r>
      <w:r>
        <w:rPr>
          <w:rFonts w:hint="eastAsia" w:ascii="宋体" w:hAnsi="宋体" w:eastAsia="宋体"/>
          <w:b/>
          <w:bCs/>
          <w:color w:val="auto"/>
          <w:highlight w:val="none"/>
        </w:rPr>
        <w:t>.1比选申请人资质要求</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rPr>
      </w:pPr>
      <w:r>
        <w:rPr>
          <w:rFonts w:hint="eastAsia" w:ascii="宋体" w:hAnsi="宋体"/>
          <w:color w:val="auto"/>
          <w:highlight w:val="none"/>
          <w:lang w:val="en-US" w:eastAsia="zh-CN"/>
        </w:rPr>
        <w:t>3</w:t>
      </w:r>
      <w:r>
        <w:rPr>
          <w:rFonts w:hint="eastAsia" w:ascii="宋体" w:hAnsi="宋体" w:eastAsia="宋体"/>
          <w:color w:val="auto"/>
          <w:highlight w:val="none"/>
        </w:rPr>
        <w:t>.1.1比选申请人为中华人民共和国境内依法设立的法人或其他组织（若以分公司名义参与比选申请，必须出具总公司授权参与的证明）。</w:t>
      </w:r>
    </w:p>
    <w:p>
      <w:pPr>
        <w:pStyle w:val="2"/>
        <w:spacing w:before="0" w:after="0" w:afterAutospacing="0" w:line="500" w:lineRule="exact"/>
        <w:ind w:left="0" w:leftChars="0" w:right="0" w:firstLine="420" w:firstLineChars="200"/>
        <w:rPr>
          <w:rFonts w:hint="eastAsia" w:hAnsi="宋体" w:eastAsia="宋体" w:cs="Times New Roman"/>
          <w:color w:val="auto"/>
          <w:sz w:val="21"/>
          <w:szCs w:val="21"/>
          <w:highlight w:val="none"/>
          <w:lang w:eastAsia="zh-CN"/>
        </w:rPr>
      </w:pPr>
      <w:r>
        <w:rPr>
          <w:rFonts w:hint="eastAsia" w:ascii="宋体" w:hAnsi="宋体" w:cs="Times New Roman"/>
          <w:color w:val="auto"/>
          <w:sz w:val="21"/>
          <w:szCs w:val="21"/>
          <w:highlight w:val="none"/>
          <w:lang w:val="en-US" w:eastAsia="zh-CN"/>
        </w:rPr>
        <w:t>3.1.2</w:t>
      </w:r>
      <w:r>
        <w:rPr>
          <w:rFonts w:hint="eastAsia" w:ascii="宋体" w:hAnsi="宋体" w:cs="Times New Roman"/>
          <w:color w:val="auto"/>
          <w:sz w:val="21"/>
          <w:szCs w:val="21"/>
          <w:highlight w:val="none"/>
        </w:rPr>
        <w:t>业绩要求：</w:t>
      </w:r>
      <w:r>
        <w:rPr>
          <w:rFonts w:hint="eastAsia" w:ascii="宋体" w:hAnsi="宋体" w:eastAsia="宋体" w:cs="Times New Roman"/>
          <w:color w:val="auto"/>
          <w:sz w:val="21"/>
          <w:szCs w:val="21"/>
          <w:highlight w:val="none"/>
          <w:lang w:val="en-US" w:eastAsia="zh-CN"/>
        </w:rPr>
        <w:t>比选申请人</w:t>
      </w:r>
      <w:r>
        <w:rPr>
          <w:rFonts w:hint="eastAsia" w:ascii="宋体" w:hAnsi="宋体" w:eastAsia="宋体" w:cs="Times New Roman"/>
          <w:color w:val="auto"/>
          <w:sz w:val="21"/>
          <w:szCs w:val="21"/>
          <w:highlight w:val="none"/>
        </w:rPr>
        <w:t>自201</w:t>
      </w:r>
      <w:r>
        <w:rPr>
          <w:rFonts w:hint="eastAsia" w:hAnsi="宋体" w:cs="Times New Roman"/>
          <w:color w:val="auto"/>
          <w:sz w:val="21"/>
          <w:szCs w:val="21"/>
          <w:highlight w:val="none"/>
          <w:lang w:val="en-US" w:eastAsia="zh-CN"/>
        </w:rPr>
        <w:t>9</w:t>
      </w:r>
      <w:r>
        <w:rPr>
          <w:rFonts w:hint="eastAsia" w:ascii="宋体" w:hAnsi="宋体" w:eastAsia="宋体" w:cs="Times New Roman"/>
          <w:color w:val="auto"/>
          <w:sz w:val="21"/>
          <w:szCs w:val="21"/>
          <w:highlight w:val="none"/>
        </w:rPr>
        <w:t>年1月1日</w:t>
      </w:r>
      <w:r>
        <w:rPr>
          <w:rFonts w:hint="eastAsia" w:ascii="宋体" w:hAnsi="宋体" w:cs="Times New Roman"/>
          <w:color w:val="auto"/>
          <w:sz w:val="21"/>
          <w:szCs w:val="21"/>
          <w:highlight w:val="none"/>
          <w:lang w:val="en-US" w:eastAsia="zh-CN"/>
        </w:rPr>
        <w:t>以来</w:t>
      </w:r>
      <w:r>
        <w:rPr>
          <w:rFonts w:hint="eastAsia" w:hAnsi="宋体" w:cs="Times New Roman"/>
          <w:color w:val="auto"/>
          <w:sz w:val="21"/>
          <w:szCs w:val="21"/>
          <w:highlight w:val="none"/>
          <w:lang w:val="en-US" w:eastAsia="zh-CN"/>
        </w:rPr>
        <w:t>至少</w:t>
      </w:r>
      <w:r>
        <w:rPr>
          <w:rFonts w:hint="eastAsia" w:ascii="宋体" w:hAnsi="宋体" w:cs="Times New Roman"/>
          <w:color w:val="auto"/>
          <w:sz w:val="21"/>
          <w:szCs w:val="21"/>
          <w:highlight w:val="none"/>
          <w:lang w:val="en-US" w:eastAsia="zh-CN"/>
        </w:rPr>
        <w:t>实施</w:t>
      </w:r>
      <w:r>
        <w:rPr>
          <w:rFonts w:hint="eastAsia" w:hAnsi="宋体" w:cs="Times New Roman"/>
          <w:color w:val="auto"/>
          <w:sz w:val="21"/>
          <w:szCs w:val="21"/>
          <w:highlight w:val="none"/>
          <w:lang w:val="en-US" w:eastAsia="zh-CN"/>
        </w:rPr>
        <w:t>过一项</w:t>
      </w:r>
      <w:r>
        <w:rPr>
          <w:rFonts w:hint="eastAsia" w:ascii="宋体" w:hAnsi="宋体" w:eastAsia="宋体" w:cs="Times New Roman"/>
          <w:color w:val="auto"/>
          <w:sz w:val="21"/>
          <w:szCs w:val="21"/>
          <w:highlight w:val="none"/>
        </w:rPr>
        <w:t>档案整理及数字化服务项目</w:t>
      </w:r>
      <w:r>
        <w:rPr>
          <w:rFonts w:hint="eastAsia" w:hAnsi="宋体" w:cs="Times New Roman"/>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3</w:t>
      </w:r>
      <w:r>
        <w:rPr>
          <w:rFonts w:hint="eastAsia" w:ascii="宋体" w:hAnsi="宋体" w:eastAsia="宋体"/>
          <w:color w:val="auto"/>
          <w:highlight w:val="none"/>
        </w:rPr>
        <w:t>.1.</w:t>
      </w:r>
      <w:r>
        <w:rPr>
          <w:rFonts w:hint="eastAsia" w:ascii="宋体" w:hAnsi="宋体"/>
          <w:color w:val="auto"/>
          <w:highlight w:val="none"/>
          <w:lang w:val="en-US" w:eastAsia="zh-CN"/>
        </w:rPr>
        <w:t>3</w:t>
      </w:r>
      <w:r>
        <w:rPr>
          <w:rFonts w:hint="eastAsia" w:ascii="宋体" w:hAnsi="宋体" w:eastAsia="宋体"/>
          <w:color w:val="auto"/>
          <w:highlight w:val="none"/>
        </w:rPr>
        <w:t>比选申请人没有处于被广西行政主管部门或业主取消比选申请资格的处罚期内，且没有处于被责令停业，财产被接管、破产状态；比选申请截止时间前3年内没有骗取中选、严重违约或重大质量安全责任事故的情况</w:t>
      </w:r>
      <w:r>
        <w:rPr>
          <w:rFonts w:hint="eastAsia" w:ascii="宋体" w:hAnsi="宋体"/>
          <w:color w:val="auto"/>
          <w:highlight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rPr>
      </w:pPr>
      <w:r>
        <w:rPr>
          <w:rFonts w:hint="eastAsia" w:ascii="宋体" w:hAnsi="宋体"/>
          <w:color w:val="auto"/>
          <w:highlight w:val="none"/>
          <w:lang w:val="en-US" w:eastAsia="zh-CN"/>
        </w:rPr>
        <w:t>3</w:t>
      </w:r>
      <w:r>
        <w:rPr>
          <w:rFonts w:hint="eastAsia" w:ascii="宋体" w:hAnsi="宋体" w:eastAsia="宋体"/>
          <w:color w:val="auto"/>
          <w:highlight w:val="none"/>
        </w:rPr>
        <w:t>.1.</w:t>
      </w:r>
      <w:r>
        <w:rPr>
          <w:rFonts w:hint="eastAsia" w:ascii="宋体" w:hAnsi="宋体"/>
          <w:color w:val="auto"/>
          <w:highlight w:val="none"/>
          <w:lang w:val="en-US" w:eastAsia="zh-CN"/>
        </w:rPr>
        <w:t>4</w:t>
      </w:r>
      <w:r>
        <w:rPr>
          <w:rFonts w:hint="eastAsia" w:ascii="宋体" w:hAnsi="宋体" w:eastAsia="宋体"/>
          <w:color w:val="auto"/>
          <w:highlight w:val="none"/>
        </w:rPr>
        <w:t>其他要求：单位负责人为同一人或者存在控股、管理关系的不同单位，不得参加同一标段比选申请或者未划分标段的同一比选项目比选申请。</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rPr>
      </w:pPr>
      <w:r>
        <w:rPr>
          <w:rFonts w:hint="eastAsia" w:ascii="宋体" w:hAnsi="宋体"/>
          <w:color w:val="auto"/>
          <w:highlight w:val="none"/>
          <w:lang w:val="en-US" w:eastAsia="zh-CN"/>
        </w:rPr>
        <w:t>3</w:t>
      </w:r>
      <w:r>
        <w:rPr>
          <w:rFonts w:hint="eastAsia" w:ascii="宋体" w:hAnsi="宋体" w:eastAsia="宋体"/>
          <w:color w:val="auto"/>
          <w:highlight w:val="none"/>
        </w:rPr>
        <w:t>.1.</w:t>
      </w:r>
      <w:r>
        <w:rPr>
          <w:rFonts w:hint="eastAsia" w:ascii="宋体" w:hAnsi="宋体"/>
          <w:color w:val="auto"/>
          <w:highlight w:val="none"/>
          <w:lang w:val="en-US" w:eastAsia="zh-CN"/>
        </w:rPr>
        <w:t>5</w:t>
      </w:r>
      <w:r>
        <w:rPr>
          <w:rFonts w:hint="eastAsia" w:ascii="宋体" w:hAnsi="宋体" w:eastAsia="宋体"/>
          <w:color w:val="auto"/>
          <w:highlight w:val="none"/>
        </w:rPr>
        <w:t>本次比选不接受联合体比选申请。</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2" w:firstLineChars="200"/>
        <w:textAlignment w:val="auto"/>
        <w:rPr>
          <w:rFonts w:ascii="宋体" w:hAnsi="宋体"/>
          <w:b/>
          <w:color w:val="auto"/>
          <w:highlight w:val="none"/>
        </w:rPr>
      </w:pPr>
      <w:r>
        <w:rPr>
          <w:rFonts w:hint="eastAsia" w:ascii="宋体" w:hAnsi="宋体"/>
          <w:b/>
          <w:color w:val="auto"/>
          <w:highlight w:val="none"/>
        </w:rPr>
        <w:t>4.资格审查方式</w:t>
      </w:r>
      <w:bookmarkEnd w:id="11"/>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rPr>
      </w:pPr>
      <w:r>
        <w:rPr>
          <w:rFonts w:hint="eastAsia" w:ascii="宋体" w:hAnsi="宋体" w:eastAsia="宋体"/>
          <w:color w:val="auto"/>
          <w:highlight w:val="none"/>
        </w:rPr>
        <w:t>本项目对比选申请人的资格审查采用资格后审方式，只有资格审查合格的比选申请人才有可能被授予合同。</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2" w:firstLineChars="200"/>
        <w:textAlignment w:val="auto"/>
        <w:rPr>
          <w:rFonts w:ascii="宋体" w:hAnsi="宋体"/>
          <w:b/>
          <w:color w:val="auto"/>
          <w:highlight w:val="none"/>
        </w:rPr>
      </w:pPr>
      <w:bookmarkStart w:id="12" w:name="_Toc21304"/>
      <w:r>
        <w:rPr>
          <w:rFonts w:hint="eastAsia" w:ascii="宋体" w:hAnsi="宋体"/>
          <w:b/>
          <w:color w:val="auto"/>
          <w:highlight w:val="none"/>
        </w:rPr>
        <w:t>5.比选文件的获取</w:t>
      </w:r>
      <w:bookmarkEnd w:id="12"/>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ascii="宋体" w:hAnsi="宋体"/>
          <w:color w:val="auto"/>
          <w:highlight w:val="none"/>
        </w:rPr>
      </w:pPr>
      <w:r>
        <w:rPr>
          <w:rFonts w:hint="eastAsia" w:ascii="宋体" w:hAnsi="宋体"/>
          <w:color w:val="auto"/>
          <w:highlight w:val="none"/>
        </w:rPr>
        <w:t>5.1比选文件获取：</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2" w:firstLineChars="200"/>
        <w:textAlignment w:val="auto"/>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2" w:firstLineChars="200"/>
        <w:textAlignment w:val="auto"/>
        <w:rPr>
          <w:rFonts w:ascii="宋体" w:hAnsi="宋体"/>
          <w:b/>
          <w:color w:val="auto"/>
          <w:highlight w:val="none"/>
        </w:rPr>
      </w:pPr>
      <w:bookmarkStart w:id="13" w:name="_Toc2374"/>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13"/>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rPr>
      </w:pPr>
      <w:r>
        <w:rPr>
          <w:rFonts w:hint="eastAsia" w:ascii="宋体" w:hAnsi="宋体" w:eastAsia="宋体"/>
          <w:color w:val="auto"/>
          <w:highlight w:val="none"/>
        </w:rPr>
        <w:t>6.1比选申请文件须密封后于</w:t>
      </w:r>
      <w:bookmarkStart w:id="1888" w:name="_GoBack"/>
      <w:r>
        <w:rPr>
          <w:rFonts w:hint="eastAsia" w:ascii="宋体" w:hAnsi="宋体"/>
          <w:color w:val="auto"/>
          <w:highlight w:val="none"/>
          <w:u w:val="none"/>
          <w:lang w:val="en-US" w:eastAsia="zh-CN"/>
        </w:rPr>
        <w:t>2024</w:t>
      </w:r>
      <w:r>
        <w:rPr>
          <w:rFonts w:hint="eastAsia" w:ascii="宋体" w:hAnsi="宋体" w:eastAsia="宋体"/>
          <w:color w:val="auto"/>
          <w:highlight w:val="none"/>
        </w:rPr>
        <w:t>年</w:t>
      </w:r>
      <w:r>
        <w:rPr>
          <w:rFonts w:hint="eastAsia" w:ascii="宋体" w:hAnsi="宋体"/>
          <w:color w:val="auto"/>
          <w:highlight w:val="none"/>
          <w:lang w:val="en-US" w:eastAsia="zh-CN"/>
        </w:rPr>
        <w:t>4</w:t>
      </w:r>
      <w:r>
        <w:rPr>
          <w:rFonts w:hint="eastAsia" w:ascii="宋体" w:hAnsi="宋体" w:eastAsia="宋体"/>
          <w:color w:val="auto"/>
          <w:highlight w:val="none"/>
        </w:rPr>
        <w:t>月</w:t>
      </w:r>
      <w:r>
        <w:rPr>
          <w:rFonts w:hint="eastAsia" w:ascii="宋体" w:hAnsi="宋体"/>
          <w:color w:val="auto"/>
          <w:highlight w:val="none"/>
          <w:lang w:val="en-US" w:eastAsia="zh-CN"/>
        </w:rPr>
        <w:t>28</w:t>
      </w:r>
      <w:r>
        <w:rPr>
          <w:rFonts w:hint="eastAsia" w:ascii="宋体" w:hAnsi="宋体" w:eastAsia="宋体"/>
          <w:color w:val="auto"/>
          <w:highlight w:val="none"/>
        </w:rPr>
        <w:t>日</w:t>
      </w:r>
      <w:r>
        <w:rPr>
          <w:rFonts w:hint="eastAsia" w:ascii="宋体" w:hAnsi="宋体"/>
          <w:color w:val="auto"/>
          <w:highlight w:val="none"/>
          <w:lang w:val="en-US" w:eastAsia="zh-CN"/>
        </w:rPr>
        <w:t>上午9</w:t>
      </w:r>
      <w:r>
        <w:rPr>
          <w:rFonts w:hint="eastAsia" w:ascii="宋体" w:hAnsi="宋体"/>
          <w:color w:val="auto"/>
          <w:highlight w:val="none"/>
          <w:lang w:eastAsia="zh-CN"/>
        </w:rPr>
        <w:t>：</w:t>
      </w:r>
      <w:r>
        <w:rPr>
          <w:rFonts w:hint="eastAsia" w:ascii="宋体" w:hAnsi="宋体"/>
          <w:color w:val="auto"/>
          <w:highlight w:val="none"/>
          <w:lang w:val="en-US" w:eastAsia="zh-CN"/>
        </w:rPr>
        <w:t>00</w:t>
      </w:r>
      <w:r>
        <w:rPr>
          <w:rFonts w:hint="eastAsia" w:ascii="宋体" w:hAnsi="宋体" w:eastAsia="宋体"/>
          <w:color w:val="auto"/>
          <w:highlight w:val="none"/>
        </w:rPr>
        <w:t>-</w:t>
      </w:r>
      <w:r>
        <w:rPr>
          <w:rFonts w:hint="eastAsia" w:ascii="宋体" w:hAnsi="宋体"/>
          <w:color w:val="auto"/>
          <w:highlight w:val="none"/>
          <w:lang w:val="en-US" w:eastAsia="zh-CN"/>
        </w:rPr>
        <w:t>9：30</w:t>
      </w:r>
      <w:r>
        <w:rPr>
          <w:rFonts w:hint="eastAsia" w:ascii="宋体" w:hAnsi="宋体" w:eastAsia="宋体"/>
          <w:color w:val="auto"/>
          <w:highlight w:val="none"/>
        </w:rPr>
        <w:t>（北京时间）</w:t>
      </w:r>
      <w:bookmarkEnd w:id="1888"/>
      <w:r>
        <w:rPr>
          <w:rFonts w:hint="eastAsia" w:ascii="宋体" w:hAnsi="宋体" w:eastAsia="宋体"/>
          <w:color w:val="auto"/>
          <w:highlight w:val="none"/>
        </w:rPr>
        <w:t>递交，递交地点在广西壮族自治区南宁市青秀区云景路83号南宁轨道交通运营有限公司屯里车辆段综合楼</w:t>
      </w:r>
      <w:r>
        <w:rPr>
          <w:rFonts w:hint="eastAsia" w:ascii="宋体" w:hAnsi="宋体"/>
          <w:color w:val="auto"/>
          <w:highlight w:val="none"/>
          <w:lang w:val="en-US" w:eastAsia="zh-CN"/>
        </w:rPr>
        <w:t xml:space="preserve">205                                                  </w:t>
      </w:r>
      <w:r>
        <w:rPr>
          <w:rFonts w:hint="eastAsia" w:ascii="宋体" w:hAnsi="宋体" w:eastAsia="宋体"/>
          <w:color w:val="auto"/>
          <w:highlight w:val="none"/>
        </w:rPr>
        <w:t>会议室，递交现场联系人：</w:t>
      </w:r>
      <w:r>
        <w:rPr>
          <w:rFonts w:hint="eastAsia" w:ascii="宋体" w:hAnsi="宋体"/>
          <w:color w:val="auto"/>
          <w:highlight w:val="none"/>
          <w:lang w:val="en-US" w:eastAsia="zh-CN"/>
        </w:rPr>
        <w:t>唐工</w:t>
      </w:r>
      <w:r>
        <w:rPr>
          <w:rFonts w:hint="eastAsia" w:ascii="宋体" w:hAnsi="宋体" w:eastAsia="宋体"/>
          <w:color w:val="auto"/>
          <w:highlight w:val="none"/>
          <w:lang w:val="en-US" w:eastAsia="zh-CN"/>
        </w:rPr>
        <w:t xml:space="preserve"> 电话0771-27783</w:t>
      </w:r>
      <w:r>
        <w:rPr>
          <w:rFonts w:hint="eastAsia" w:ascii="宋体" w:hAnsi="宋体"/>
          <w:color w:val="auto"/>
          <w:highlight w:val="none"/>
          <w:lang w:val="en-US" w:eastAsia="zh-CN"/>
        </w:rPr>
        <w:t>21</w:t>
      </w:r>
      <w:r>
        <w:rPr>
          <w:rFonts w:hint="eastAsia" w:ascii="宋体" w:hAnsi="宋体" w:eastAsia="宋体"/>
          <w:color w:val="auto"/>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leftChars="0" w:right="0" w:firstLine="420" w:firstLineChars="200"/>
        <w:textAlignment w:val="auto"/>
        <w:rPr>
          <w:rFonts w:hint="eastAsia" w:ascii="宋体" w:hAnsi="宋体" w:eastAsia="宋体"/>
          <w:color w:val="auto"/>
          <w:highlight w:val="none"/>
        </w:rPr>
      </w:pPr>
      <w:r>
        <w:rPr>
          <w:rFonts w:hint="eastAsia" w:ascii="宋体" w:hAnsi="宋体" w:eastAsia="宋体"/>
          <w:color w:val="auto"/>
          <w:highlight w:val="none"/>
        </w:rPr>
        <w:t>6.2逾期送达的或者未送达指定地点或者未按比选文件要求密封的比选申请文件将被拒绝。</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ascii="宋体" w:hAnsi="宋体"/>
          <w:color w:val="auto"/>
          <w:highlight w:val="none"/>
        </w:rPr>
      </w:pPr>
      <w:r>
        <w:rPr>
          <w:rFonts w:hint="eastAsia" w:ascii="宋体" w:hAnsi="宋体" w:eastAsia="宋体"/>
          <w:color w:val="auto"/>
          <w:highlight w:val="none"/>
        </w:rPr>
        <w:t>6.3请比选申请人法定代表人或其授权代表携法人委托书原件准时参加。比选申请文件必须由比选申请人法定代表人或其授权代表递交，否则比选人不予受理。</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2" w:firstLineChars="200"/>
        <w:textAlignment w:val="auto"/>
        <w:rPr>
          <w:rFonts w:ascii="宋体" w:hAnsi="宋体"/>
          <w:b/>
          <w:color w:val="auto"/>
          <w:highlight w:val="none"/>
        </w:rPr>
      </w:pPr>
      <w:bookmarkStart w:id="14" w:name="_Toc20842"/>
      <w:r>
        <w:rPr>
          <w:rFonts w:hint="eastAsia" w:ascii="宋体" w:hAnsi="宋体"/>
          <w:b/>
          <w:color w:val="auto"/>
          <w:highlight w:val="none"/>
        </w:rPr>
        <w:t>7.发布公告的媒介</w:t>
      </w:r>
      <w:bookmarkEnd w:id="14"/>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ascii="宋体" w:hAnsi="宋体"/>
          <w:color w:val="auto"/>
          <w:highlight w:val="none"/>
        </w:rPr>
      </w:pPr>
      <w:r>
        <w:rPr>
          <w:rFonts w:hint="eastAsia" w:ascii="宋体" w:hAnsi="宋体" w:eastAsia="宋体"/>
          <w:color w:val="auto"/>
          <w:highlight w:val="none"/>
        </w:rPr>
        <w:t>本次比选公告同时在南宁轨道交通集团有限责任公司官网(http://www.nngdjt.com)、中国e车网(http://www.ecrrc.com)发布。</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2" w:firstLineChars="200"/>
        <w:textAlignment w:val="auto"/>
        <w:rPr>
          <w:rFonts w:ascii="宋体" w:hAnsi="宋体"/>
          <w:b/>
          <w:color w:val="auto"/>
          <w:highlight w:val="none"/>
        </w:rPr>
      </w:pPr>
      <w:r>
        <w:rPr>
          <w:rFonts w:hint="eastAsia" w:ascii="宋体" w:hAnsi="宋体"/>
          <w:b/>
          <w:color w:val="auto"/>
          <w:highlight w:val="none"/>
          <w:lang w:val="en-US" w:eastAsia="zh-CN"/>
        </w:rPr>
        <w:t>8</w:t>
      </w:r>
      <w:r>
        <w:rPr>
          <w:rFonts w:hint="eastAsia" w:ascii="宋体" w:hAnsi="宋体"/>
          <w:b/>
          <w:color w:val="auto"/>
          <w:highlight w:val="none"/>
        </w:rPr>
        <w:t>.联系方式</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u w:val="none"/>
        </w:rPr>
      </w:pPr>
      <w:r>
        <w:rPr>
          <w:rFonts w:hint="eastAsia" w:ascii="宋体" w:hAnsi="宋体" w:eastAsia="宋体"/>
          <w:color w:val="auto"/>
          <w:highlight w:val="none"/>
        </w:rPr>
        <w:t xml:space="preserve">比选 人：南宁轨道交通运营有限公司    </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u w:val="none"/>
        </w:rPr>
      </w:pPr>
      <w:r>
        <w:rPr>
          <w:rFonts w:hint="eastAsia" w:ascii="宋体" w:hAnsi="宋体" w:eastAsia="宋体"/>
          <w:color w:val="auto"/>
          <w:highlight w:val="none"/>
        </w:rPr>
        <w:t xml:space="preserve">地    址：南宁市青秀区云景路83号         </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u w:val="none"/>
        </w:rPr>
      </w:pPr>
      <w:r>
        <w:rPr>
          <w:rFonts w:hint="eastAsia" w:ascii="宋体" w:hAnsi="宋体" w:eastAsia="宋体"/>
          <w:color w:val="auto"/>
          <w:highlight w:val="none"/>
        </w:rPr>
        <w:t xml:space="preserve">邮    编：530022                         </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rPr>
      </w:pPr>
      <w:r>
        <w:rPr>
          <w:rFonts w:hint="eastAsia" w:ascii="宋体" w:hAnsi="宋体" w:eastAsia="宋体"/>
          <w:color w:val="auto"/>
          <w:highlight w:val="none"/>
        </w:rPr>
        <w:t>联 系 人：</w:t>
      </w:r>
      <w:r>
        <w:rPr>
          <w:rFonts w:hint="eastAsia" w:ascii="宋体" w:hAnsi="宋体"/>
          <w:color w:val="auto"/>
          <w:highlight w:val="none"/>
          <w:lang w:val="en-US" w:eastAsia="zh-CN"/>
        </w:rPr>
        <w:t>唐工</w:t>
      </w:r>
      <w:r>
        <w:rPr>
          <w:rFonts w:hint="eastAsia" w:ascii="宋体" w:hAnsi="宋体" w:eastAsia="宋体"/>
          <w:color w:val="auto"/>
          <w:highlight w:val="none"/>
        </w:rPr>
        <w:t xml:space="preserve">   </w:t>
      </w:r>
      <w:r>
        <w:rPr>
          <w:rFonts w:hint="eastAsia" w:ascii="宋体" w:hAnsi="宋体"/>
          <w:color w:val="auto"/>
          <w:highlight w:val="none"/>
          <w:lang w:val="en-US" w:eastAsia="zh-CN"/>
        </w:rPr>
        <w:t>王工</w:t>
      </w:r>
      <w:r>
        <w:rPr>
          <w:rFonts w:hint="eastAsia" w:ascii="宋体" w:hAnsi="宋体" w:eastAsia="宋体"/>
          <w:color w:val="auto"/>
          <w:highlight w:val="none"/>
        </w:rPr>
        <w:t xml:space="preserve"> </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default" w:ascii="宋体" w:hAnsi="宋体" w:eastAsia="宋体"/>
          <w:color w:val="auto"/>
          <w:highlight w:val="none"/>
          <w:lang w:val="en-US"/>
        </w:rPr>
      </w:pPr>
      <w:r>
        <w:rPr>
          <w:rFonts w:hint="eastAsia" w:ascii="宋体" w:hAnsi="宋体" w:eastAsia="宋体"/>
          <w:color w:val="auto"/>
          <w:highlight w:val="none"/>
        </w:rPr>
        <w:t>电    话：</w:t>
      </w:r>
      <w:r>
        <w:rPr>
          <w:rFonts w:hint="eastAsia" w:ascii="宋体" w:hAnsi="宋体" w:eastAsia="宋体"/>
          <w:color w:val="auto"/>
          <w:highlight w:val="none"/>
          <w:lang w:val="en-US" w:eastAsia="zh-CN"/>
        </w:rPr>
        <w:t>0771-27783</w:t>
      </w:r>
      <w:r>
        <w:rPr>
          <w:rFonts w:hint="eastAsia" w:ascii="宋体" w:hAnsi="宋体"/>
          <w:color w:val="auto"/>
          <w:highlight w:val="none"/>
          <w:lang w:val="en-US" w:eastAsia="zh-CN"/>
        </w:rPr>
        <w:t>21</w:t>
      </w:r>
      <w:r>
        <w:rPr>
          <w:rFonts w:hint="eastAsia" w:ascii="宋体" w:hAnsi="宋体" w:eastAsia="宋体"/>
          <w:color w:val="auto"/>
          <w:highlight w:val="none"/>
          <w:lang w:val="en-US" w:eastAsia="zh-CN"/>
        </w:rPr>
        <w:t>、0771-</w:t>
      </w:r>
      <w:r>
        <w:rPr>
          <w:rFonts w:hint="eastAsia" w:ascii="宋体" w:hAnsi="宋体" w:eastAsia="宋体" w:cs="Times New Roman"/>
          <w:color w:val="auto"/>
          <w:highlight w:val="none"/>
          <w:lang w:val="en-US" w:eastAsia="zh-CN"/>
        </w:rPr>
        <w:t>2778</w:t>
      </w:r>
      <w:r>
        <w:rPr>
          <w:rFonts w:hint="eastAsia" w:ascii="宋体" w:hAnsi="宋体" w:cs="Times New Roman"/>
          <w:color w:val="auto"/>
          <w:highlight w:val="none"/>
          <w:lang w:val="en-US" w:eastAsia="zh-CN"/>
        </w:rPr>
        <w:t>974</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firstLine="420" w:firstLineChars="200"/>
        <w:textAlignment w:val="auto"/>
        <w:rPr>
          <w:rFonts w:hint="eastAsia" w:ascii="宋体" w:hAnsi="宋体" w:eastAsia="宋体"/>
          <w:color w:val="auto"/>
          <w:highlight w:val="none"/>
        </w:rPr>
      </w:pPr>
      <w:r>
        <w:rPr>
          <w:rFonts w:hint="eastAsia" w:ascii="宋体" w:hAnsi="宋体" w:eastAsia="宋体"/>
          <w:color w:val="auto"/>
          <w:highlight w:val="none"/>
        </w:rPr>
        <w:t>纪检监察室（举报电话）：</w:t>
      </w:r>
      <w:r>
        <w:rPr>
          <w:rFonts w:hint="eastAsia" w:ascii="宋体" w:hAnsi="宋体" w:eastAsia="宋体"/>
          <w:color w:val="auto"/>
          <w:highlight w:val="none"/>
          <w:u w:val="none"/>
        </w:rPr>
        <w:t>0771-2778084</w:t>
      </w:r>
    </w:p>
    <w:p>
      <w:pPr>
        <w:pStyle w:val="2"/>
        <w:pageBreakBefore/>
        <w:ind w:right="-57" w:firstLine="0"/>
        <w:jc w:val="center"/>
        <w:outlineLvl w:val="0"/>
        <w:rPr>
          <w:rStyle w:val="46"/>
          <w:rFonts w:ascii="宋体" w:hAnsi="宋体" w:eastAsia="宋体"/>
          <w:color w:val="auto"/>
          <w:highlight w:val="none"/>
        </w:rPr>
      </w:pPr>
      <w:bookmarkStart w:id="15" w:name="_Toc322528192"/>
      <w:bookmarkEnd w:id="15"/>
      <w:bookmarkStart w:id="16" w:name="_Toc512357502"/>
      <w:bookmarkStart w:id="17" w:name="_Toc17735"/>
      <w:bookmarkStart w:id="18" w:name="_Toc2734"/>
      <w:bookmarkStart w:id="19" w:name="_Toc2901"/>
      <w:bookmarkStart w:id="20" w:name="_Toc29836"/>
      <w:bookmarkStart w:id="21" w:name="_Toc20201"/>
      <w:bookmarkStart w:id="22" w:name="_Toc3495"/>
      <w:bookmarkStart w:id="23" w:name="_Toc17594"/>
      <w:bookmarkStart w:id="24" w:name="_Toc24737"/>
      <w:bookmarkStart w:id="25" w:name="_Toc27268"/>
      <w:bookmarkStart w:id="26" w:name="_Toc24972"/>
      <w:bookmarkStart w:id="27" w:name="_Toc12967"/>
      <w:bookmarkStart w:id="28" w:name="_Toc15976"/>
      <w:bookmarkStart w:id="29" w:name="_Toc32503"/>
      <w:bookmarkStart w:id="30" w:name="_Toc30820"/>
      <w:bookmarkStart w:id="31" w:name="_Toc23577"/>
      <w:bookmarkStart w:id="32" w:name="_Toc24390"/>
      <w:bookmarkStart w:id="33" w:name="_Toc28490"/>
      <w:bookmarkStart w:id="34" w:name="_Toc30950"/>
      <w:bookmarkStart w:id="35" w:name="_Toc4378"/>
      <w:bookmarkStart w:id="36" w:name="_Toc18454"/>
      <w:bookmarkStart w:id="37" w:name="_Toc21830"/>
      <w:bookmarkStart w:id="38" w:name="_Toc1230"/>
      <w:bookmarkStart w:id="39" w:name="_Toc17240"/>
      <w:bookmarkStart w:id="40" w:name="_Toc30725"/>
      <w:bookmarkStart w:id="41" w:name="_Toc30883"/>
      <w:bookmarkStart w:id="42" w:name="_Toc22273"/>
      <w:bookmarkStart w:id="43" w:name="_Toc12635"/>
      <w:r>
        <w:rPr>
          <w:rStyle w:val="46"/>
          <w:rFonts w:hint="eastAsia" w:ascii="宋体" w:hAnsi="宋体" w:eastAsia="宋体"/>
          <w:color w:val="auto"/>
          <w:highlight w:val="none"/>
        </w:rPr>
        <w:t>第二章</w:t>
      </w:r>
      <w:bookmarkEnd w:id="16"/>
      <w:r>
        <w:rPr>
          <w:rStyle w:val="46"/>
          <w:rFonts w:hint="eastAsia" w:ascii="宋体" w:hAnsi="宋体" w:eastAsia="宋体"/>
          <w:color w:val="auto"/>
          <w:highlight w:val="none"/>
        </w:rPr>
        <w:t>比选申请须知</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2"/>
        <w:spacing w:before="0" w:after="0"/>
        <w:ind w:right="0" w:firstLine="0"/>
        <w:jc w:val="center"/>
        <w:rPr>
          <w:rFonts w:hAnsi="宋体"/>
          <w:b/>
          <w:color w:val="auto"/>
          <w:sz w:val="30"/>
          <w:szCs w:val="30"/>
          <w:highlight w:val="none"/>
        </w:rPr>
      </w:pPr>
      <w:bookmarkStart w:id="44" w:name="_Toc19197"/>
      <w:r>
        <w:rPr>
          <w:rFonts w:hint="eastAsia" w:hAnsi="宋体"/>
          <w:b/>
          <w:color w:val="auto"/>
          <w:sz w:val="30"/>
          <w:szCs w:val="30"/>
          <w:highlight w:val="none"/>
        </w:rPr>
        <w:t>比选申请须知前附表</w:t>
      </w:r>
      <w:bookmarkEnd w:id="44"/>
    </w:p>
    <w:tbl>
      <w:tblPr>
        <w:tblStyle w:val="33"/>
        <w:tblW w:w="9587" w:type="dxa"/>
        <w:tblInd w:w="112" w:type="dxa"/>
        <w:tblLayout w:type="fixed"/>
        <w:tblCellMar>
          <w:top w:w="0" w:type="dxa"/>
          <w:left w:w="108" w:type="dxa"/>
          <w:bottom w:w="0" w:type="dxa"/>
          <w:right w:w="108" w:type="dxa"/>
        </w:tblCellMar>
      </w:tblPr>
      <w:tblGrid>
        <w:gridCol w:w="673"/>
        <w:gridCol w:w="1716"/>
        <w:gridCol w:w="7198"/>
      </w:tblGrid>
      <w:tr>
        <w:tblPrEx>
          <w:tblCellMar>
            <w:top w:w="0" w:type="dxa"/>
            <w:left w:w="108" w:type="dxa"/>
            <w:bottom w:w="0" w:type="dxa"/>
            <w:right w:w="108" w:type="dxa"/>
          </w:tblCellMar>
        </w:tblPrEx>
        <w:trPr>
          <w:trHeight w:val="273"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条款名称</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详细内容</w:t>
            </w:r>
          </w:p>
        </w:tc>
      </w:tr>
      <w:tr>
        <w:tblPrEx>
          <w:tblCellMar>
            <w:top w:w="0" w:type="dxa"/>
            <w:left w:w="108" w:type="dxa"/>
            <w:bottom w:w="0" w:type="dxa"/>
            <w:right w:w="108" w:type="dxa"/>
          </w:tblCellMar>
        </w:tblPrEx>
        <w:trPr>
          <w:trHeight w:val="1197"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比选人</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名称：南宁轨道交通运营有限公司</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地址：南宁市青秀区云景路83号</w:t>
            </w:r>
          </w:p>
          <w:p>
            <w:pPr>
              <w:keepNext w:val="0"/>
              <w:keepLines w:val="0"/>
              <w:widowControl/>
              <w:suppressLineNumbers w:val="0"/>
              <w:spacing w:before="0" w:beforeAutospacing="0" w:after="0" w:afterAutospacing="0"/>
              <w:ind w:right="0"/>
              <w:rPr>
                <w:rFonts w:hint="eastAsia" w:ascii="宋体" w:hAnsi="宋体" w:eastAsia="宋体" w:cs="宋体"/>
                <w:color w:val="auto"/>
                <w:highlight w:val="none"/>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唐工</w:t>
            </w:r>
            <w:r>
              <w:rPr>
                <w:rFonts w:hint="eastAsia" w:ascii="宋体" w:hAnsi="宋体" w:eastAsia="宋体" w:cs="宋体"/>
                <w:color w:val="auto"/>
                <w:highlight w:val="none"/>
              </w:rPr>
              <w:t xml:space="preserve">   </w:t>
            </w:r>
            <w:r>
              <w:rPr>
                <w:rFonts w:hint="eastAsia" w:ascii="宋体" w:hAnsi="宋体" w:cs="宋体"/>
                <w:color w:val="auto"/>
                <w:highlight w:val="none"/>
                <w:lang w:val="en-US" w:eastAsia="zh-CN"/>
              </w:rPr>
              <w:t>王工</w:t>
            </w:r>
            <w:r>
              <w:rPr>
                <w:rFonts w:hint="eastAsia" w:ascii="宋体" w:hAnsi="宋体" w:eastAsia="宋体" w:cs="宋体"/>
                <w:color w:val="auto"/>
                <w:highlight w:val="none"/>
              </w:rPr>
              <w:t xml:space="preserve"> </w:t>
            </w:r>
          </w:p>
          <w:p>
            <w:pPr>
              <w:keepNext w:val="0"/>
              <w:keepLines w:val="0"/>
              <w:widowControl/>
              <w:suppressLineNumbers w:val="0"/>
              <w:spacing w:before="0" w:beforeAutospacing="0" w:after="0" w:afterAutospacing="0"/>
              <w:ind w:right="0"/>
              <w:rPr>
                <w:rFonts w:hint="default" w:ascii="宋体" w:hAnsi="宋体" w:eastAsia="宋体" w:cs="宋体"/>
                <w:color w:val="auto"/>
                <w:highlight w:val="none"/>
                <w:lang w:val="en-US"/>
              </w:rPr>
            </w:pPr>
            <w:r>
              <w:rPr>
                <w:rFonts w:hint="eastAsia" w:ascii="宋体" w:hAnsi="宋体" w:eastAsia="宋体" w:cs="宋体"/>
                <w:color w:val="auto"/>
                <w:highlight w:val="none"/>
              </w:rPr>
              <w:t>电话：</w:t>
            </w:r>
            <w:r>
              <w:rPr>
                <w:rFonts w:hint="eastAsia" w:ascii="宋体" w:hAnsi="宋体" w:eastAsia="宋体" w:cs="宋体"/>
                <w:color w:val="auto"/>
                <w:highlight w:val="none"/>
                <w:lang w:val="en-US" w:eastAsia="zh-CN"/>
              </w:rPr>
              <w:t>0771-27783</w:t>
            </w:r>
            <w:r>
              <w:rPr>
                <w:rFonts w:hint="eastAsia" w:ascii="宋体" w:hAnsi="宋体" w:cs="宋体"/>
                <w:color w:val="auto"/>
                <w:highlight w:val="none"/>
                <w:lang w:val="en-US" w:eastAsia="zh-CN"/>
              </w:rPr>
              <w:t>21</w:t>
            </w:r>
            <w:r>
              <w:rPr>
                <w:rFonts w:hint="eastAsia" w:ascii="宋体" w:hAnsi="宋体" w:eastAsia="宋体" w:cs="宋体"/>
                <w:color w:val="auto"/>
                <w:highlight w:val="none"/>
                <w:lang w:val="en-US" w:eastAsia="zh-CN"/>
              </w:rPr>
              <w:t>、0771-2778</w:t>
            </w:r>
            <w:r>
              <w:rPr>
                <w:rFonts w:hint="eastAsia" w:ascii="宋体" w:hAnsi="宋体" w:cs="宋体"/>
                <w:color w:val="auto"/>
                <w:highlight w:val="none"/>
                <w:lang w:val="en-US" w:eastAsia="zh-CN"/>
              </w:rPr>
              <w:t>974</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eastAsia="zh-CN"/>
              </w:rPr>
            </w:pPr>
            <w:r>
              <w:rPr>
                <w:rFonts w:hint="eastAsia" w:ascii="宋体" w:hAnsi="宋体"/>
                <w:color w:val="auto"/>
                <w:highlight w:val="none"/>
                <w:lang w:eastAsia="zh-CN"/>
              </w:rPr>
              <w:t>运营公司档案委外整理及数字化加工服务采购项目（2024年—2026年）</w:t>
            </w:r>
          </w:p>
        </w:tc>
      </w:tr>
      <w:tr>
        <w:tblPrEx>
          <w:tblCellMar>
            <w:top w:w="0" w:type="dxa"/>
            <w:left w:w="108" w:type="dxa"/>
            <w:bottom w:w="0" w:type="dxa"/>
            <w:right w:w="108" w:type="dxa"/>
          </w:tblCellMar>
        </w:tblPrEx>
        <w:trPr>
          <w:trHeight w:val="558"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项目编号</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olor w:val="auto"/>
                <w:highlight w:val="none"/>
              </w:rPr>
              <w:t>202</w:t>
            </w:r>
            <w:r>
              <w:rPr>
                <w:rFonts w:hint="eastAsia" w:ascii="宋体" w:hAnsi="宋体"/>
                <w:color w:val="auto"/>
                <w:highlight w:val="none"/>
                <w:lang w:val="en-US" w:eastAsia="zh-CN"/>
              </w:rPr>
              <w:t>40130</w:t>
            </w:r>
            <w:r>
              <w:rPr>
                <w:rFonts w:hint="eastAsia" w:ascii="宋体" w:hAnsi="宋体" w:eastAsia="宋体"/>
                <w:color w:val="auto"/>
                <w:highlight w:val="none"/>
              </w:rPr>
              <w:t>000</w:t>
            </w:r>
            <w:r>
              <w:rPr>
                <w:rFonts w:hint="eastAsia" w:ascii="宋体" w:hAnsi="宋体"/>
                <w:color w:val="auto"/>
                <w:highlight w:val="none"/>
                <w:lang w:val="en-US" w:eastAsia="zh-CN"/>
              </w:rPr>
              <w:t>1</w:t>
            </w:r>
          </w:p>
        </w:tc>
      </w:tr>
      <w:tr>
        <w:tblPrEx>
          <w:tblCellMar>
            <w:top w:w="0" w:type="dxa"/>
            <w:left w:w="108" w:type="dxa"/>
            <w:bottom w:w="0" w:type="dxa"/>
            <w:right w:w="108" w:type="dxa"/>
          </w:tblCellMar>
        </w:tblPrEx>
        <w:trPr>
          <w:trHeight w:val="10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比选范围</w:t>
            </w:r>
          </w:p>
        </w:tc>
        <w:tc>
          <w:tcPr>
            <w:tcW w:w="7198" w:type="dxa"/>
            <w:tcBorders>
              <w:top w:val="single" w:color="auto" w:sz="4" w:space="0"/>
              <w:left w:val="nil"/>
              <w:bottom w:val="single" w:color="auto" w:sz="4" w:space="0"/>
              <w:right w:val="single" w:color="auto" w:sz="4" w:space="0"/>
            </w:tcBorders>
            <w:vAlign w:val="center"/>
          </w:tcPr>
          <w:p>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textAlignment w:val="auto"/>
              <w:rPr>
                <w:rFonts w:hint="eastAsia" w:ascii="宋体" w:hAnsi="宋体" w:eastAsia="宋体" w:cs="宋体"/>
                <w:color w:val="auto"/>
                <w:highlight w:val="none"/>
              </w:rPr>
            </w:pPr>
            <w:r>
              <w:rPr>
                <w:rFonts w:hint="eastAsia"/>
                <w:color w:val="auto"/>
                <w:highlight w:val="none"/>
                <w:lang w:val="en-US" w:eastAsia="zh-CN"/>
              </w:rPr>
              <w:t>文书档案整理、科技档案整理、图纸整理、档案数字化加工、会计档案整理、声像、实物档案整理、光盘刻录共计7项服务，详见用户需求书。</w:t>
            </w:r>
          </w:p>
        </w:tc>
      </w:tr>
      <w:tr>
        <w:tblPrEx>
          <w:tblCellMar>
            <w:top w:w="0" w:type="dxa"/>
            <w:left w:w="108" w:type="dxa"/>
            <w:bottom w:w="0" w:type="dxa"/>
            <w:right w:w="108" w:type="dxa"/>
          </w:tblCellMar>
        </w:tblPrEx>
        <w:trPr>
          <w:trHeight w:val="79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5</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计划服务周期</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20" w:firstLineChars="200"/>
              <w:rPr>
                <w:rFonts w:hint="eastAsia" w:ascii="宋体" w:hAnsi="宋体" w:eastAsia="宋体" w:cs="宋体"/>
                <w:color w:val="auto"/>
                <w:highlight w:val="none"/>
                <w:u w:val="single"/>
              </w:rPr>
            </w:pPr>
            <w:r>
              <w:rPr>
                <w:rFonts w:hint="eastAsia" w:ascii="宋体" w:hAnsi="宋体" w:eastAsia="宋体" w:cs="Times New Roman"/>
                <w:color w:val="auto"/>
                <w:highlight w:val="none"/>
                <w:lang w:val="en-US" w:eastAsia="zh-CN"/>
              </w:rPr>
              <w:t>合同签订之日起至2026年12月31日。</w:t>
            </w:r>
          </w:p>
        </w:tc>
      </w:tr>
      <w:tr>
        <w:tblPrEx>
          <w:tblCellMar>
            <w:top w:w="0" w:type="dxa"/>
            <w:left w:w="108" w:type="dxa"/>
            <w:bottom w:w="0" w:type="dxa"/>
            <w:right w:w="108" w:type="dxa"/>
          </w:tblCellMar>
        </w:tblPrEx>
        <w:trPr>
          <w:trHeight w:val="78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6</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质保期</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Times New Roman"/>
                <w:color w:val="auto"/>
                <w:kern w:val="0"/>
                <w:szCs w:val="21"/>
                <w:highlight w:val="none"/>
                <w:lang w:val="en-US" w:eastAsia="zh-CN"/>
              </w:rPr>
              <w:t>项目整体验收合格之日起至少24个月，质保期内提供电话、传真、电子邮件、现场多种方式技术服务，接到比选人处理问题通知后24小时内到达比选人指定现场。</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7</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资金来源</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企业自有资金</w:t>
            </w:r>
          </w:p>
        </w:tc>
      </w:tr>
      <w:tr>
        <w:tblPrEx>
          <w:tblCellMar>
            <w:top w:w="0" w:type="dxa"/>
            <w:left w:w="108" w:type="dxa"/>
            <w:bottom w:w="0" w:type="dxa"/>
            <w:right w:w="108" w:type="dxa"/>
          </w:tblCellMar>
        </w:tblPrEx>
        <w:trPr>
          <w:trHeight w:val="13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8</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上限控制价</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highlight w:val="none"/>
                <w:u w:val="single"/>
              </w:rPr>
              <w:t>上限控制价：</w:t>
            </w:r>
            <w:r>
              <w:rPr>
                <w:rFonts w:hint="eastAsia" w:ascii="宋体" w:hAnsi="宋体" w:eastAsia="宋体"/>
                <w:color w:val="auto"/>
                <w:highlight w:val="none"/>
              </w:rPr>
              <w:t>本项目不含税上限控制价为人民币</w:t>
            </w:r>
            <w:r>
              <w:rPr>
                <w:rFonts w:hint="eastAsia" w:ascii="宋体" w:hAnsi="宋体"/>
                <w:color w:val="auto"/>
                <w:highlight w:val="none"/>
                <w:lang w:val="en-US" w:eastAsia="zh-CN"/>
              </w:rPr>
              <w:t>623000</w:t>
            </w:r>
            <w:r>
              <w:rPr>
                <w:rFonts w:hint="eastAsia" w:ascii="宋体" w:hAnsi="宋体" w:eastAsia="宋体"/>
                <w:color w:val="auto"/>
                <w:highlight w:val="none"/>
              </w:rPr>
              <w:t>.00元</w:t>
            </w:r>
            <w:r>
              <w:rPr>
                <w:rFonts w:hint="eastAsia" w:ascii="宋体" w:hAnsi="宋体"/>
                <w:color w:val="auto"/>
                <w:highlight w:val="none"/>
                <w:lang w:eastAsia="zh-CN"/>
              </w:rPr>
              <w:t>。</w:t>
            </w:r>
          </w:p>
        </w:tc>
      </w:tr>
      <w:tr>
        <w:tblPrEx>
          <w:tblCellMar>
            <w:top w:w="0" w:type="dxa"/>
            <w:left w:w="108" w:type="dxa"/>
            <w:bottom w:w="0" w:type="dxa"/>
            <w:right w:w="108" w:type="dxa"/>
          </w:tblCellMar>
        </w:tblPrEx>
        <w:trPr>
          <w:trHeight w:val="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9</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比选申请人应具备的资格条件</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22" w:firstLineChars="200"/>
              <w:rPr>
                <w:rFonts w:hint="eastAsia" w:ascii="宋体" w:hAnsi="宋体" w:eastAsia="宋体"/>
                <w:b/>
                <w:bCs/>
                <w:color w:val="auto"/>
                <w:highlight w:val="none"/>
              </w:rPr>
            </w:pPr>
            <w:r>
              <w:rPr>
                <w:rFonts w:hint="eastAsia" w:ascii="宋体" w:hAnsi="宋体"/>
                <w:b/>
                <w:bCs/>
                <w:color w:val="auto"/>
                <w:highlight w:val="none"/>
                <w:lang w:val="en-US" w:eastAsia="zh-CN"/>
              </w:rPr>
              <w:t>一、</w:t>
            </w:r>
            <w:r>
              <w:rPr>
                <w:rFonts w:hint="eastAsia" w:ascii="宋体" w:hAnsi="宋体" w:eastAsia="宋体"/>
                <w:b/>
                <w:bCs/>
                <w:color w:val="auto"/>
                <w:highlight w:val="none"/>
              </w:rPr>
              <w:t>比选申请人资质要求</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olor w:val="auto"/>
                <w:highlight w:val="none"/>
              </w:rPr>
            </w:pPr>
            <w:r>
              <w:rPr>
                <w:rFonts w:hint="eastAsia" w:ascii="宋体" w:hAnsi="宋体"/>
                <w:color w:val="auto"/>
                <w:highlight w:val="none"/>
                <w:lang w:val="en-US" w:eastAsia="zh-CN"/>
              </w:rPr>
              <w:t>1.</w:t>
            </w:r>
            <w:r>
              <w:rPr>
                <w:rFonts w:hint="eastAsia" w:ascii="宋体" w:hAnsi="宋体" w:eastAsia="宋体"/>
                <w:color w:val="auto"/>
                <w:highlight w:val="none"/>
              </w:rPr>
              <w:t>比选申请人为中华人民共和国境内依法设立的法人或其他组织（若以分公司名义参与比选申请，必须出具总公司授权参与的证明）。</w:t>
            </w:r>
          </w:p>
          <w:p>
            <w:pPr>
              <w:keepNext w:val="0"/>
              <w:keepLines w:val="0"/>
              <w:widowControl/>
              <w:suppressLineNumbers w:val="0"/>
              <w:spacing w:before="0" w:beforeAutospacing="0" w:after="0" w:afterAutospacing="0"/>
              <w:ind w:left="0" w:right="0" w:firstLine="420" w:firstLineChars="200"/>
              <w:rPr>
                <w:rFonts w:hint="default" w:ascii="宋体" w:hAnsi="宋体"/>
                <w:color w:val="auto"/>
                <w:highlight w:val="none"/>
                <w:lang w:eastAsia="zh-CN"/>
              </w:rPr>
            </w:pPr>
            <w:r>
              <w:rPr>
                <w:rFonts w:hint="eastAsia" w:ascii="宋体" w:hAnsi="宋体" w:cs="Times New Roman"/>
                <w:color w:val="auto"/>
                <w:sz w:val="21"/>
                <w:szCs w:val="21"/>
                <w:highlight w:val="none"/>
                <w:lang w:val="en-US" w:eastAsia="zh-CN"/>
              </w:rPr>
              <w:t>2.业绩要求：</w:t>
            </w:r>
            <w:r>
              <w:rPr>
                <w:rFonts w:hint="eastAsia" w:ascii="宋体" w:hAnsi="宋体" w:eastAsia="宋体" w:cs="Times New Roman"/>
                <w:color w:val="auto"/>
                <w:sz w:val="21"/>
                <w:szCs w:val="21"/>
                <w:highlight w:val="none"/>
                <w:lang w:val="en-US" w:eastAsia="zh-CN"/>
              </w:rPr>
              <w:t>比选申请人</w:t>
            </w:r>
            <w:r>
              <w:rPr>
                <w:rFonts w:hint="eastAsia" w:ascii="宋体" w:hAnsi="宋体" w:eastAsia="宋体" w:cs="Times New Roman"/>
                <w:color w:val="auto"/>
                <w:sz w:val="21"/>
                <w:szCs w:val="21"/>
                <w:highlight w:val="none"/>
              </w:rPr>
              <w:t>自201</w:t>
            </w:r>
            <w:r>
              <w:rPr>
                <w:rFonts w:hint="eastAsia" w:ascii="宋体" w:hAnsi="宋体" w:cs="Times New Roman"/>
                <w:color w:val="auto"/>
                <w:sz w:val="21"/>
                <w:szCs w:val="21"/>
                <w:highlight w:val="none"/>
                <w:lang w:val="en-US" w:eastAsia="zh-CN"/>
              </w:rPr>
              <w:t>9</w:t>
            </w:r>
            <w:r>
              <w:rPr>
                <w:rFonts w:hint="eastAsia" w:ascii="宋体" w:hAnsi="宋体" w:eastAsia="宋体" w:cs="Times New Roman"/>
                <w:color w:val="auto"/>
                <w:sz w:val="21"/>
                <w:szCs w:val="21"/>
                <w:highlight w:val="none"/>
              </w:rPr>
              <w:t>年1月1日</w:t>
            </w:r>
            <w:r>
              <w:rPr>
                <w:rFonts w:hint="eastAsia" w:ascii="宋体" w:hAnsi="宋体" w:cs="Times New Roman"/>
                <w:color w:val="auto"/>
                <w:sz w:val="21"/>
                <w:szCs w:val="21"/>
                <w:highlight w:val="none"/>
                <w:lang w:val="en-US" w:eastAsia="zh-CN"/>
              </w:rPr>
              <w:t>以来实施过一项</w:t>
            </w:r>
            <w:r>
              <w:rPr>
                <w:rFonts w:hint="eastAsia" w:ascii="宋体" w:hAnsi="宋体" w:eastAsia="宋体" w:cs="Times New Roman"/>
                <w:color w:val="auto"/>
                <w:sz w:val="21"/>
                <w:szCs w:val="21"/>
                <w:highlight w:val="none"/>
              </w:rPr>
              <w:t>档案整理及数字化服务项目</w:t>
            </w:r>
            <w:r>
              <w:rPr>
                <w:rFonts w:hint="eastAsia" w:ascii="宋体" w:hAnsi="宋体" w:cs="Times New Roman"/>
                <w:color w:val="auto"/>
                <w:sz w:val="21"/>
                <w:szCs w:val="21"/>
                <w:highlight w:val="none"/>
                <w:lang w:eastAsia="zh-CN"/>
              </w:rPr>
              <w:t>。</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lang w:val="en-US" w:eastAsia="zh-CN"/>
              </w:rPr>
              <w:t>3.</w:t>
            </w:r>
            <w:r>
              <w:rPr>
                <w:rFonts w:hint="eastAsia" w:ascii="宋体" w:hAnsi="宋体" w:eastAsia="宋体"/>
                <w:color w:val="auto"/>
                <w:highlight w:val="none"/>
              </w:rPr>
              <w:t>比选申请人没有处于被广西行政管部门或业主取消比选申请资格的处罚期内，且没有处于被责令停业，财产被接管、破产状态；比选申请截止时间前3年内没有骗取中选、严重违约或重大质量安全责任事故的情况</w:t>
            </w:r>
            <w:r>
              <w:rPr>
                <w:rFonts w:hint="eastAsia" w:ascii="宋体" w:hAnsi="宋体" w:eastAsia="宋体"/>
                <w:color w:val="auto"/>
                <w:highlight w:val="none"/>
                <w:lang w:eastAsia="zh-CN"/>
              </w:rPr>
              <w:t>。</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olor w:val="auto"/>
                <w:highlight w:val="none"/>
              </w:rPr>
            </w:pPr>
            <w:r>
              <w:rPr>
                <w:rFonts w:hint="eastAsia" w:ascii="宋体" w:hAnsi="宋体"/>
                <w:color w:val="auto"/>
                <w:highlight w:val="none"/>
                <w:lang w:val="en-US" w:eastAsia="zh-CN"/>
              </w:rPr>
              <w:t>4.</w:t>
            </w:r>
            <w:r>
              <w:rPr>
                <w:rFonts w:hint="eastAsia" w:ascii="宋体" w:hAnsi="宋体" w:eastAsia="宋体"/>
                <w:color w:val="auto"/>
                <w:highlight w:val="none"/>
              </w:rPr>
              <w:t>其他要求：单位负责人为同一人或者存在控股、管理关系的不同单位，不得参加同一标段比选申请或者未划分标段的同一比选项目比选申请。</w:t>
            </w:r>
          </w:p>
          <w:p>
            <w:pPr>
              <w:keepNext w:val="0"/>
              <w:keepLines w:val="0"/>
              <w:widowControl/>
              <w:suppressLineNumbers w:val="0"/>
              <w:spacing w:before="0" w:beforeAutospacing="0" w:after="0" w:afterAutospacing="0"/>
              <w:ind w:left="0" w:right="0" w:firstLine="420" w:firstLineChars="200"/>
              <w:rPr>
                <w:rFonts w:hint="eastAsia"/>
                <w:color w:val="auto"/>
                <w:highlight w:val="none"/>
              </w:rPr>
            </w:pPr>
            <w:r>
              <w:rPr>
                <w:rFonts w:hint="eastAsia" w:ascii="宋体" w:hAnsi="宋体"/>
                <w:color w:val="auto"/>
                <w:highlight w:val="none"/>
                <w:lang w:val="en-US" w:eastAsia="zh-CN"/>
              </w:rPr>
              <w:t>5.</w:t>
            </w:r>
            <w:r>
              <w:rPr>
                <w:rFonts w:hint="eastAsia" w:ascii="宋体" w:hAnsi="宋体" w:eastAsia="宋体"/>
                <w:color w:val="auto"/>
                <w:highlight w:val="none"/>
              </w:rPr>
              <w:t>本次比选不接受联合体比选申请。</w:t>
            </w:r>
          </w:p>
        </w:tc>
      </w:tr>
      <w:tr>
        <w:tblPrEx>
          <w:tblCellMar>
            <w:top w:w="0" w:type="dxa"/>
            <w:left w:w="108" w:type="dxa"/>
            <w:bottom w:w="0" w:type="dxa"/>
            <w:right w:w="108" w:type="dxa"/>
          </w:tblCellMar>
        </w:tblPrEx>
        <w:trPr>
          <w:trHeight w:val="241"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10</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比选申请人要求澄清比选文件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对比选文件提出疑问的截止时间：</w:t>
            </w:r>
            <w:r>
              <w:rPr>
                <w:rFonts w:hint="eastAsia" w:ascii="宋体" w:hAnsi="宋体" w:cs="宋体"/>
                <w:color w:val="auto"/>
                <w:highlight w:val="none"/>
                <w:u w:val="single"/>
                <w:lang w:val="en-US" w:eastAsia="zh-CN"/>
              </w:rPr>
              <w:t>2024</w:t>
            </w:r>
            <w:r>
              <w:rPr>
                <w:rFonts w:hint="eastAsia" w:ascii="宋体" w:hAnsi="宋体" w:eastAsia="宋体" w:cs="宋体"/>
                <w:color w:val="auto"/>
                <w:highlight w:val="none"/>
              </w:rPr>
              <w:t>年</w:t>
            </w:r>
            <w:r>
              <w:rPr>
                <w:rFonts w:hint="eastAsia" w:ascii="宋体" w:hAnsi="宋体" w:cs="宋体"/>
                <w:color w:val="auto"/>
                <w:highlight w:val="none"/>
                <w:lang w:val="en-US" w:eastAsia="zh-CN"/>
              </w:rPr>
              <w:t>4</w:t>
            </w:r>
            <w:r>
              <w:rPr>
                <w:rFonts w:hint="eastAsia" w:ascii="宋体" w:hAnsi="宋体" w:eastAsia="宋体" w:cs="宋体"/>
                <w:color w:val="auto"/>
                <w:highlight w:val="none"/>
              </w:rPr>
              <w:t>月</w:t>
            </w:r>
            <w:r>
              <w:rPr>
                <w:rFonts w:hint="eastAsia" w:ascii="宋体" w:hAnsi="宋体" w:cs="宋体"/>
                <w:color w:val="auto"/>
                <w:highlight w:val="none"/>
                <w:lang w:val="en-US" w:eastAsia="zh-CN"/>
              </w:rPr>
              <w:t>24</w:t>
            </w:r>
            <w:r>
              <w:rPr>
                <w:rFonts w:hint="eastAsia" w:ascii="宋体" w:hAnsi="宋体" w:eastAsia="宋体" w:cs="宋体"/>
                <w:color w:val="auto"/>
                <w:highlight w:val="none"/>
              </w:rPr>
              <w:t>日</w:t>
            </w:r>
            <w:r>
              <w:rPr>
                <w:rFonts w:hint="eastAsia" w:ascii="宋体" w:hAnsi="宋体" w:cs="宋体"/>
                <w:color w:val="auto"/>
                <w:highlight w:val="none"/>
                <w:u w:val="single"/>
                <w:lang w:val="en-US" w:eastAsia="zh-CN"/>
              </w:rPr>
              <w:t>12：00</w:t>
            </w:r>
            <w:r>
              <w:rPr>
                <w:rFonts w:hint="eastAsia" w:ascii="宋体" w:hAnsi="宋体" w:eastAsia="宋体" w:cs="宋体"/>
                <w:color w:val="auto"/>
                <w:highlight w:val="none"/>
              </w:rPr>
              <w:t>前。比选申请人不在规定期限内提出，比选人有权不予答复，或答复后比选申请截止时间由比选人确定是否顺延。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u w:val="single"/>
              </w:rPr>
            </w:pPr>
            <w:r>
              <w:rPr>
                <w:rFonts w:hint="eastAsia" w:ascii="宋体" w:hAnsi="宋体" w:eastAsia="宋体" w:cs="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比选文件澄清发布方式</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kern w:val="2"/>
                <w:highlight w:val="none"/>
              </w:rPr>
              <w:t>南宁轨道交通集团有限责任公司官网发布(</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"http://www.nngdjt.com" </w:instrText>
            </w:r>
            <w:r>
              <w:rPr>
                <w:rFonts w:hint="eastAsia" w:ascii="宋体" w:hAnsi="宋体" w:eastAsia="宋体" w:cs="宋体"/>
                <w:color w:val="auto"/>
                <w:highlight w:val="none"/>
              </w:rPr>
              <w:fldChar w:fldCharType="separate"/>
            </w:r>
            <w:r>
              <w:rPr>
                <w:rStyle w:val="38"/>
                <w:rFonts w:hint="eastAsia" w:ascii="宋体" w:hAnsi="宋体" w:eastAsia="宋体" w:cs="宋体"/>
                <w:color w:val="auto"/>
                <w:kern w:val="2"/>
                <w:highlight w:val="none"/>
              </w:rPr>
              <w:t>http://www.nngdjt.com</w:t>
            </w:r>
            <w:r>
              <w:rPr>
                <w:rStyle w:val="38"/>
                <w:rFonts w:hint="eastAsia" w:ascii="宋体" w:hAnsi="宋体" w:eastAsia="宋体" w:cs="宋体"/>
                <w:color w:val="auto"/>
                <w:kern w:val="2"/>
                <w:highlight w:val="none"/>
              </w:rPr>
              <w:fldChar w:fldCharType="end"/>
            </w:r>
            <w:r>
              <w:rPr>
                <w:rFonts w:hint="eastAsia" w:ascii="宋体" w:hAnsi="宋体" w:eastAsia="宋体" w:cs="宋体"/>
                <w:color w:val="auto"/>
                <w:kern w:val="2"/>
                <w:highlight w:val="none"/>
              </w:rPr>
              <w:t>)、</w:t>
            </w:r>
            <w:r>
              <w:rPr>
                <w:rFonts w:hint="eastAsia" w:ascii="宋体" w:hAnsi="宋体" w:eastAsia="宋体" w:cs="宋体"/>
                <w:color w:val="auto"/>
                <w:highlight w:val="none"/>
              </w:rPr>
              <w:t>中国e车网(http://www.ecrrc.com)发布</w:t>
            </w:r>
          </w:p>
        </w:tc>
      </w:tr>
      <w:tr>
        <w:tblPrEx>
          <w:tblCellMar>
            <w:top w:w="0" w:type="dxa"/>
            <w:left w:w="108" w:type="dxa"/>
            <w:bottom w:w="0" w:type="dxa"/>
            <w:right w:w="108" w:type="dxa"/>
          </w:tblCellMar>
        </w:tblPrEx>
        <w:trPr>
          <w:trHeight w:val="1205"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比选申请人确认收到澄清的方式</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358"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构成比选申请文件的组成</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比选申请文件组成部分：资格审查文件、技术文件</w:t>
            </w:r>
            <w:r>
              <w:rPr>
                <w:rFonts w:hint="eastAsia" w:ascii="宋体" w:hAnsi="宋体" w:cs="宋体"/>
                <w:color w:val="auto"/>
                <w:highlight w:val="none"/>
                <w:lang w:eastAsia="zh-CN"/>
              </w:rPr>
              <w:t>、</w:t>
            </w:r>
            <w:r>
              <w:rPr>
                <w:rFonts w:hint="eastAsia" w:ascii="宋体" w:hAnsi="宋体" w:eastAsia="宋体" w:cs="宋体"/>
                <w:color w:val="auto"/>
                <w:highlight w:val="none"/>
              </w:rPr>
              <w:t>价格文件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资格审查文件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（1）法定代表人授权书（格式见A1）及法定代表人资格证明书（如无授权时，只需提供法定代表人资格证明书，格式见A2），法定代表人及被授权人身份证复印件；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（2）比选申请人有效的营业执照复印件；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（3）承诺书（格式见A3）；</w:t>
            </w:r>
          </w:p>
          <w:p>
            <w:pPr>
              <w:pStyle w:val="2"/>
              <w:keepNext w:val="0"/>
              <w:keepLines w:val="0"/>
              <w:widowControl/>
              <w:suppressLineNumbers w:val="0"/>
              <w:spacing w:before="0" w:beforeAutospacing="0" w:after="0" w:afterAutospacing="0" w:line="240" w:lineRule="auto"/>
              <w:ind w:right="0"/>
              <w:rPr>
                <w:rFonts w:hint="default" w:eastAsia="宋体"/>
                <w:color w:val="auto"/>
                <w:highlight w:val="none"/>
                <w:lang w:val="en-US" w:eastAsia="zh-CN"/>
              </w:rPr>
            </w:pPr>
            <w:r>
              <w:rPr>
                <w:rFonts w:hint="eastAsia" w:hAnsi="宋体" w:cs="宋体"/>
                <w:color w:val="auto"/>
                <w:highlight w:val="none"/>
                <w:lang w:eastAsia="zh-CN"/>
              </w:rPr>
              <w:t>（</w:t>
            </w:r>
            <w:r>
              <w:rPr>
                <w:rFonts w:hint="eastAsia" w:hAnsi="宋体" w:cs="宋体"/>
                <w:color w:val="auto"/>
                <w:highlight w:val="none"/>
                <w:lang w:val="en-US" w:eastAsia="zh-CN"/>
              </w:rPr>
              <w:t>4</w:t>
            </w:r>
            <w:r>
              <w:rPr>
                <w:rFonts w:hint="eastAsia" w:hAnsi="宋体" w:cs="宋体"/>
                <w:color w:val="auto"/>
                <w:highlight w:val="none"/>
                <w:lang w:eastAsia="zh-CN"/>
              </w:rPr>
              <w:t>）</w:t>
            </w:r>
            <w:r>
              <w:rPr>
                <w:rFonts w:hint="eastAsia" w:hAnsi="宋体" w:cs="宋体"/>
                <w:color w:val="auto"/>
                <w:highlight w:val="none"/>
                <w:lang w:val="en-US" w:eastAsia="zh-CN"/>
              </w:rPr>
              <w:t>类似项目业绩表；</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5</w:t>
            </w:r>
            <w:r>
              <w:rPr>
                <w:rFonts w:hint="eastAsia" w:ascii="宋体" w:hAnsi="宋体" w:eastAsia="宋体" w:cs="宋体"/>
                <w:color w:val="auto"/>
                <w:highlight w:val="none"/>
              </w:rPr>
              <w:t>）比选申请人认为应提交的其他比选申请资料（如有）。</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资信文件</w:t>
            </w:r>
          </w:p>
          <w:p>
            <w:pPr>
              <w:keepNext w:val="0"/>
              <w:keepLines w:val="0"/>
              <w:widowControl/>
              <w:suppressLineNumbers w:val="0"/>
              <w:spacing w:before="0" w:beforeAutospacing="0" w:after="0" w:afterAutospacing="0" w:line="240" w:lineRule="auto"/>
              <w:ind w:left="0" w:right="0" w:firstLine="0"/>
              <w:rPr>
                <w:rFonts w:hint="eastAsia"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cs="宋体"/>
                <w:color w:val="auto"/>
                <w:highlight w:val="none"/>
              </w:rPr>
              <w:t>类似项目业绩表；</w:t>
            </w:r>
          </w:p>
          <w:p>
            <w:pPr>
              <w:keepNext w:val="0"/>
              <w:keepLines w:val="0"/>
              <w:widowControl/>
              <w:suppressLineNumbers w:val="0"/>
              <w:spacing w:before="0" w:beforeAutospacing="0" w:after="0" w:afterAutospacing="0" w:line="240" w:lineRule="auto"/>
              <w:ind w:left="0" w:right="0" w:firstLine="0"/>
              <w:rPr>
                <w:rFonts w:hint="default" w:ascii="宋体" w:hAnsi="宋体" w:cs="宋体"/>
                <w:color w:val="auto"/>
                <w:highlight w:val="none"/>
                <w:lang w:val="en-US"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比选申请人2022年度或2023年度审计报告；</w:t>
            </w:r>
          </w:p>
          <w:p>
            <w:pPr>
              <w:keepNext w:val="0"/>
              <w:keepLines w:val="0"/>
              <w:widowControl/>
              <w:suppressLineNumbers w:val="0"/>
              <w:spacing w:before="0" w:beforeAutospacing="0" w:after="0" w:afterAutospacing="0" w:line="240" w:lineRule="auto"/>
              <w:ind w:left="0" w:right="0" w:firstLine="0"/>
              <w:rPr>
                <w:rFonts w:hint="eastAsia" w:ascii="宋体" w:hAnsi="宋体" w:cs="宋体"/>
                <w:color w:val="auto"/>
                <w:highlight w:val="none"/>
                <w:lang w:val="en-US"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3</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拟投入人员一览表；</w:t>
            </w:r>
          </w:p>
          <w:p>
            <w:pPr>
              <w:keepNext w:val="0"/>
              <w:keepLines w:val="0"/>
              <w:widowControl/>
              <w:suppressLineNumbers w:val="0"/>
              <w:spacing w:before="0" w:beforeAutospacing="0" w:after="0" w:afterAutospacing="0" w:line="240" w:lineRule="auto"/>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企业证书。</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技术文件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（1）商务响应表；</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（2）技术响应表；</w:t>
            </w:r>
          </w:p>
          <w:p>
            <w:pPr>
              <w:keepNext w:val="0"/>
              <w:keepLines w:val="0"/>
              <w:widowControl/>
              <w:suppressLineNumbers w:val="0"/>
              <w:spacing w:before="0" w:beforeAutospacing="0" w:after="0" w:afterAutospacing="0" w:line="240" w:lineRule="auto"/>
              <w:ind w:left="0" w:right="0" w:firstLine="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（3）项目执行方案（包括但不限于整体方案、档案管理、录入扫描、安全保密、项目管理、质量保障以及售后服务，格式自拟）；</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（4）比选申请人认为应提交的其他比选申请资料（如有）。</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价格文件</w:t>
            </w:r>
          </w:p>
          <w:p>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eastAsia="宋体"/>
                <w:color w:val="auto"/>
                <w:highlight w:val="none"/>
                <w:lang w:val="en-US" w:eastAsia="zh-CN"/>
              </w:rPr>
            </w:pPr>
            <w:r>
              <w:rPr>
                <w:rFonts w:hint="eastAsia" w:ascii="宋体" w:hAnsi="宋体" w:eastAsia="宋体" w:cs="宋体"/>
                <w:color w:val="auto"/>
                <w:highlight w:val="none"/>
              </w:rPr>
              <w:t>（1）</w:t>
            </w:r>
            <w:r>
              <w:rPr>
                <w:rFonts w:hint="eastAsia" w:eastAsia="宋体"/>
                <w:color w:val="auto"/>
                <w:highlight w:val="none"/>
                <w:lang w:val="en-US" w:eastAsia="zh-CN"/>
              </w:rPr>
              <w:t>比选申请函；</w:t>
            </w:r>
          </w:p>
          <w:p>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eastAsia="宋体"/>
                <w:color w:val="auto"/>
                <w:highlight w:val="none"/>
                <w:lang w:val="en-US" w:eastAsia="zh-CN"/>
              </w:rPr>
            </w:pPr>
            <w:r>
              <w:rPr>
                <w:rFonts w:hint="eastAsia" w:eastAsia="宋体"/>
                <w:color w:val="auto"/>
                <w:highlight w:val="none"/>
                <w:lang w:val="en-US" w:eastAsia="zh-CN"/>
              </w:rPr>
              <w:t>（2）</w:t>
            </w:r>
            <w:r>
              <w:rPr>
                <w:rFonts w:hint="eastAsia" w:ascii="宋体" w:hAnsi="宋体"/>
                <w:color w:val="auto"/>
                <w:highlight w:val="none"/>
              </w:rPr>
              <w:t>比选申请报价汇总表（不含税）</w:t>
            </w:r>
            <w:r>
              <w:rPr>
                <w:rFonts w:hint="eastAsia" w:eastAsia="宋体"/>
                <w:color w:val="auto"/>
                <w:highlight w:val="none"/>
                <w:lang w:val="en-US" w:eastAsia="zh-CN"/>
              </w:rPr>
              <w:t>；</w:t>
            </w:r>
          </w:p>
          <w:p>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eastAsia="宋体"/>
                <w:color w:val="auto"/>
                <w:highlight w:val="none"/>
                <w:lang w:val="en-US" w:eastAsia="zh-CN"/>
              </w:rPr>
            </w:pPr>
            <w:r>
              <w:rPr>
                <w:rFonts w:hint="eastAsia" w:eastAsia="宋体"/>
                <w:color w:val="auto"/>
                <w:highlight w:val="none"/>
                <w:lang w:val="en-US" w:eastAsia="zh-CN"/>
              </w:rPr>
              <w:t>（3）比选申请报价表（不含税）；</w:t>
            </w:r>
          </w:p>
          <w:p>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color w:val="auto"/>
                <w:highlight w:val="none"/>
              </w:rPr>
            </w:pPr>
            <w:r>
              <w:rPr>
                <w:rFonts w:hint="eastAsia" w:eastAsia="宋体"/>
                <w:color w:val="auto"/>
                <w:highlight w:val="none"/>
                <w:lang w:val="en-US" w:eastAsia="zh-CN"/>
              </w:rPr>
              <w:t>（4）比选申请人认为应提交的其他比选申请资料（如有）</w:t>
            </w:r>
            <w:r>
              <w:rPr>
                <w:rFonts w:hint="eastAsia" w:ascii="宋体" w:hAnsi="宋体" w:eastAsia="宋体" w:cs="宋体"/>
                <w:color w:val="auto"/>
                <w:highlight w:val="none"/>
              </w:rPr>
              <w:t>。</w:t>
            </w:r>
          </w:p>
        </w:tc>
      </w:tr>
      <w:tr>
        <w:tblPrEx>
          <w:tblCellMar>
            <w:top w:w="0" w:type="dxa"/>
            <w:left w:w="108" w:type="dxa"/>
            <w:bottom w:w="0" w:type="dxa"/>
            <w:right w:w="108" w:type="dxa"/>
          </w:tblCellMar>
        </w:tblPrEx>
        <w:trPr>
          <w:trHeight w:val="1113"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12</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比选申请报价</w:t>
            </w:r>
          </w:p>
        </w:tc>
        <w:tc>
          <w:tcPr>
            <w:tcW w:w="719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比选申请人必须对比选项目内容中所有工作内容作完整唯一的报价。本项目采用不含税报价，不含税报价为合同暂定价，本合同最终税金在结算阶段，按实际产生的税金进行核算，但合同不含税价格不因国家税率调整而调整。</w:t>
            </w:r>
          </w:p>
        </w:tc>
      </w:tr>
      <w:tr>
        <w:tblPrEx>
          <w:tblCellMar>
            <w:top w:w="0" w:type="dxa"/>
            <w:left w:w="108" w:type="dxa"/>
            <w:bottom w:w="0" w:type="dxa"/>
            <w:right w:w="108" w:type="dxa"/>
          </w:tblCellMar>
        </w:tblPrEx>
        <w:trPr>
          <w:trHeight w:val="70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13</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比选申请保证金</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673"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14</w:t>
            </w:r>
          </w:p>
        </w:tc>
        <w:tc>
          <w:tcPr>
            <w:tcW w:w="1716" w:type="dxa"/>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比选申请有效期</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15</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比选申请文件副本份数</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正本1份，副本</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份。</w:t>
            </w:r>
          </w:p>
        </w:tc>
      </w:tr>
      <w:tr>
        <w:tblPrEx>
          <w:tblCellMar>
            <w:top w:w="0" w:type="dxa"/>
            <w:left w:w="108" w:type="dxa"/>
            <w:bottom w:w="0" w:type="dxa"/>
            <w:right w:w="108" w:type="dxa"/>
          </w:tblCellMar>
        </w:tblPrEx>
        <w:trPr>
          <w:trHeight w:val="140"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16</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比选申请截止时间</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right="0"/>
              <w:jc w:val="left"/>
              <w:rPr>
                <w:rFonts w:hint="eastAsia" w:ascii="宋体" w:hAnsi="宋体" w:eastAsia="宋体" w:cs="宋体"/>
                <w:color w:val="auto"/>
                <w:highlight w:val="none"/>
              </w:rPr>
            </w:pPr>
            <w:r>
              <w:rPr>
                <w:rFonts w:hint="eastAsia" w:ascii="宋体" w:hAnsi="宋体"/>
                <w:color w:val="auto"/>
                <w:highlight w:val="none"/>
                <w:u w:val="none"/>
                <w:lang w:val="en-US" w:eastAsia="zh-CN"/>
              </w:rPr>
              <w:t>2024</w:t>
            </w:r>
            <w:r>
              <w:rPr>
                <w:rFonts w:hint="eastAsia" w:ascii="宋体" w:hAnsi="宋体" w:eastAsia="宋体"/>
                <w:color w:val="auto"/>
                <w:highlight w:val="none"/>
              </w:rPr>
              <w:t>年</w:t>
            </w:r>
            <w:r>
              <w:rPr>
                <w:rFonts w:hint="eastAsia" w:ascii="宋体" w:hAnsi="宋体"/>
                <w:color w:val="auto"/>
                <w:highlight w:val="none"/>
                <w:lang w:val="en-US" w:eastAsia="zh-CN"/>
              </w:rPr>
              <w:t>4</w:t>
            </w:r>
            <w:r>
              <w:rPr>
                <w:rFonts w:hint="eastAsia" w:ascii="宋体" w:hAnsi="宋体" w:eastAsia="宋体"/>
                <w:color w:val="auto"/>
                <w:highlight w:val="none"/>
              </w:rPr>
              <w:t>月</w:t>
            </w:r>
            <w:r>
              <w:rPr>
                <w:rFonts w:hint="eastAsia" w:ascii="宋体" w:hAnsi="宋体"/>
                <w:color w:val="auto"/>
                <w:highlight w:val="none"/>
                <w:lang w:val="en-US" w:eastAsia="zh-CN"/>
              </w:rPr>
              <w:t>28</w:t>
            </w:r>
            <w:r>
              <w:rPr>
                <w:rFonts w:hint="eastAsia" w:ascii="宋体" w:hAnsi="宋体" w:eastAsia="宋体"/>
                <w:color w:val="auto"/>
                <w:highlight w:val="none"/>
              </w:rPr>
              <w:t>日</w:t>
            </w:r>
            <w:r>
              <w:rPr>
                <w:rFonts w:hint="eastAsia" w:ascii="宋体" w:hAnsi="宋体"/>
                <w:color w:val="auto"/>
                <w:highlight w:val="none"/>
                <w:lang w:val="en-US" w:eastAsia="zh-CN"/>
              </w:rPr>
              <w:t>上午9</w:t>
            </w:r>
            <w:r>
              <w:rPr>
                <w:rFonts w:hint="eastAsia" w:ascii="宋体" w:hAnsi="宋体"/>
                <w:color w:val="auto"/>
                <w:highlight w:val="none"/>
                <w:lang w:eastAsia="zh-CN"/>
              </w:rPr>
              <w:t>：</w:t>
            </w:r>
            <w:r>
              <w:rPr>
                <w:rFonts w:hint="eastAsia" w:ascii="宋体" w:hAnsi="宋体"/>
                <w:color w:val="auto"/>
                <w:highlight w:val="none"/>
                <w:lang w:val="en-US" w:eastAsia="zh-CN"/>
              </w:rPr>
              <w:t>00</w:t>
            </w:r>
            <w:r>
              <w:rPr>
                <w:rFonts w:hint="eastAsia" w:ascii="宋体" w:hAnsi="宋体" w:eastAsia="宋体"/>
                <w:color w:val="auto"/>
                <w:highlight w:val="none"/>
              </w:rPr>
              <w:t>-</w:t>
            </w:r>
            <w:r>
              <w:rPr>
                <w:rFonts w:hint="eastAsia" w:ascii="宋体" w:hAnsi="宋体"/>
                <w:color w:val="auto"/>
                <w:highlight w:val="none"/>
                <w:lang w:val="en-US" w:eastAsia="zh-CN"/>
              </w:rPr>
              <w:t>9：30（北京时间）</w:t>
            </w:r>
          </w:p>
        </w:tc>
      </w:tr>
      <w:tr>
        <w:tblPrEx>
          <w:tblCellMar>
            <w:top w:w="0" w:type="dxa"/>
            <w:left w:w="108" w:type="dxa"/>
            <w:bottom w:w="0" w:type="dxa"/>
            <w:right w:w="108" w:type="dxa"/>
          </w:tblCellMar>
        </w:tblPrEx>
        <w:trPr>
          <w:trHeight w:val="797"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递交比选申请文件地点</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单位：</w:t>
            </w:r>
            <w:r>
              <w:rPr>
                <w:rFonts w:hint="eastAsia" w:ascii="宋体" w:hAnsi="宋体" w:eastAsia="宋体" w:cs="宋体"/>
                <w:color w:val="auto"/>
                <w:highlight w:val="none"/>
                <w:lang w:eastAsia="zh-CN"/>
              </w:rPr>
              <w:t>南宁轨道交通运营有限公司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630" w:right="0" w:hanging="630" w:hangingChars="300"/>
              <w:textAlignment w:val="auto"/>
              <w:rPr>
                <w:rFonts w:hint="eastAsia" w:ascii="宋体" w:hAnsi="宋体" w:eastAsia="宋体" w:cs="宋体"/>
                <w:color w:val="auto"/>
                <w:highlight w:val="none"/>
              </w:rPr>
            </w:pPr>
            <w:r>
              <w:rPr>
                <w:rFonts w:hint="eastAsia" w:ascii="宋体" w:hAnsi="宋体" w:eastAsia="宋体" w:cs="宋体"/>
                <w:color w:val="auto"/>
                <w:highlight w:val="none"/>
              </w:rPr>
              <w:t>地址：南宁市青秀区云景路83号南宁轨道交通运营有限公司屯里车辆段综</w:t>
            </w:r>
            <w:r>
              <w:rPr>
                <w:rFonts w:hint="eastAsia" w:ascii="宋体" w:hAnsi="宋体" w:cs="宋体"/>
                <w:color w:val="auto"/>
                <w:highlight w:val="none"/>
                <w:lang w:val="en-US" w:eastAsia="zh-CN"/>
              </w:rPr>
              <w:t>合</w:t>
            </w:r>
            <w:r>
              <w:rPr>
                <w:rFonts w:hint="eastAsia" w:ascii="宋体" w:hAnsi="宋体" w:eastAsia="宋体" w:cs="宋体"/>
                <w:color w:val="auto"/>
                <w:highlight w:val="none"/>
              </w:rPr>
              <w:t>楼</w:t>
            </w:r>
            <w:r>
              <w:rPr>
                <w:rFonts w:hint="eastAsia" w:ascii="宋体" w:hAnsi="宋体" w:cs="宋体"/>
                <w:color w:val="auto"/>
                <w:highlight w:val="none"/>
                <w:lang w:val="en-US" w:eastAsia="zh-CN"/>
              </w:rPr>
              <w:t>205</w:t>
            </w:r>
            <w:r>
              <w:rPr>
                <w:rFonts w:hint="eastAsia" w:ascii="宋体" w:hAnsi="宋体" w:eastAsia="宋体" w:cs="宋体"/>
                <w:color w:val="auto"/>
                <w:highlight w:val="none"/>
              </w:rPr>
              <w:t>会议室</w:t>
            </w:r>
          </w:p>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rPr>
            </w:pPr>
            <w:r>
              <w:rPr>
                <w:rFonts w:hint="eastAsia" w:ascii="宋体" w:hAnsi="宋体" w:eastAsia="宋体" w:cs="宋体"/>
                <w:color w:val="auto"/>
                <w:highlight w:val="none"/>
              </w:rPr>
              <w:t>递交现场联系人：</w:t>
            </w:r>
            <w:r>
              <w:rPr>
                <w:rFonts w:hint="eastAsia" w:ascii="宋体" w:hAnsi="宋体" w:cs="宋体"/>
                <w:color w:val="auto"/>
                <w:highlight w:val="none"/>
                <w:lang w:val="en-US" w:eastAsia="zh-CN"/>
              </w:rPr>
              <w:t>唐工</w:t>
            </w:r>
            <w:r>
              <w:rPr>
                <w:rFonts w:hint="eastAsia" w:ascii="宋体" w:hAnsi="宋体" w:eastAsia="宋体" w:cs="宋体"/>
                <w:color w:val="auto"/>
                <w:highlight w:val="none"/>
                <w:lang w:val="en-US" w:eastAsia="zh-CN"/>
              </w:rPr>
              <w:t xml:space="preserve"> 电话0771-27783</w:t>
            </w:r>
            <w:r>
              <w:rPr>
                <w:rFonts w:hint="eastAsia" w:ascii="宋体" w:hAnsi="宋体" w:cs="宋体"/>
                <w:color w:val="auto"/>
                <w:highlight w:val="none"/>
                <w:lang w:val="en-US" w:eastAsia="zh-CN"/>
              </w:rPr>
              <w:t>21</w:t>
            </w:r>
          </w:p>
        </w:tc>
      </w:tr>
      <w:tr>
        <w:tblPrEx>
          <w:tblCellMar>
            <w:top w:w="0" w:type="dxa"/>
            <w:left w:w="108" w:type="dxa"/>
            <w:bottom w:w="0" w:type="dxa"/>
            <w:right w:w="108" w:type="dxa"/>
          </w:tblCellMar>
        </w:tblPrEx>
        <w:trPr>
          <w:trHeight w:val="24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17</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评审方法</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color w:val="auto"/>
                <w:highlight w:val="none"/>
              </w:rPr>
              <w:t>综合评分法（评审价以不含税总报价为基准）</w:t>
            </w:r>
          </w:p>
        </w:tc>
      </w:tr>
      <w:tr>
        <w:tblPrEx>
          <w:tblCellMar>
            <w:top w:w="0" w:type="dxa"/>
            <w:left w:w="108" w:type="dxa"/>
            <w:bottom w:w="0" w:type="dxa"/>
            <w:right w:w="108" w:type="dxa"/>
          </w:tblCellMar>
        </w:tblPrEx>
        <w:trPr>
          <w:trHeight w:val="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18</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放弃中选人资格</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中选人如放弃中选资格，或由于其他原因（非不可抗力）不能履约的，比选人有权将其列入不良信用名单，一年内禁止其参加比选人的任何采购活动。</w:t>
            </w:r>
          </w:p>
        </w:tc>
      </w:tr>
      <w:tr>
        <w:tblPrEx>
          <w:tblCellMar>
            <w:top w:w="0" w:type="dxa"/>
            <w:left w:w="108" w:type="dxa"/>
            <w:bottom w:w="0" w:type="dxa"/>
            <w:right w:w="108" w:type="dxa"/>
          </w:tblCellMar>
        </w:tblPrEx>
        <w:trPr>
          <w:trHeight w:val="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19</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履约担保</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履</w:t>
            </w:r>
            <w:r>
              <w:rPr>
                <w:rFonts w:hint="eastAsia" w:ascii="宋体" w:hAnsi="宋体" w:eastAsia="宋体" w:cs="宋体"/>
                <w:color w:val="auto"/>
                <w:highlight w:val="none"/>
              </w:rPr>
              <w:t>约保证金的金额：</w:t>
            </w:r>
            <w:r>
              <w:rPr>
                <w:rFonts w:hint="eastAsia" w:ascii="宋体" w:hAnsi="宋体" w:cs="宋体"/>
                <w:color w:val="auto"/>
                <w:highlight w:val="none"/>
                <w:lang w:val="en-US" w:eastAsia="zh-CN"/>
              </w:rPr>
              <w:t>中选</w:t>
            </w:r>
            <w:r>
              <w:rPr>
                <w:rFonts w:hint="eastAsia" w:ascii="宋体" w:hAnsi="宋体" w:eastAsia="宋体" w:cs="宋体"/>
                <w:color w:val="auto"/>
                <w:highlight w:val="none"/>
              </w:rPr>
              <w:t>价格的</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履约保证金的形式：转账或电汇或银行保函；</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递交地点：南宁市青秀区云景路83号；</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备注：</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1.提交履约保证金的时间：应在合同签订前且最迟应在</w:t>
            </w:r>
            <w:r>
              <w:rPr>
                <w:rFonts w:hint="eastAsia" w:ascii="宋体" w:hAnsi="宋体" w:cs="宋体"/>
                <w:color w:val="auto"/>
                <w:highlight w:val="none"/>
                <w:lang w:val="en-US" w:eastAsia="zh-CN"/>
              </w:rPr>
              <w:t>中选</w:t>
            </w:r>
            <w:r>
              <w:rPr>
                <w:rFonts w:hint="eastAsia" w:ascii="宋体" w:hAnsi="宋体" w:eastAsia="宋体" w:cs="宋体"/>
                <w:color w:val="auto"/>
                <w:highlight w:val="none"/>
              </w:rPr>
              <w:t>通知书发出之日起20日内。</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2.若中</w:t>
            </w:r>
            <w:r>
              <w:rPr>
                <w:rFonts w:hint="eastAsia" w:ascii="宋体" w:hAnsi="宋体" w:cs="宋体"/>
                <w:color w:val="auto"/>
                <w:highlight w:val="none"/>
                <w:lang w:val="en-US" w:eastAsia="zh-CN"/>
              </w:rPr>
              <w:t>选</w:t>
            </w:r>
            <w:r>
              <w:rPr>
                <w:rFonts w:hint="eastAsia" w:ascii="宋体" w:hAnsi="宋体" w:eastAsia="宋体" w:cs="宋体"/>
                <w:color w:val="auto"/>
                <w:highlight w:val="none"/>
              </w:rPr>
              <w:t>人未在规定时间内足额缴纳履约保证金，</w:t>
            </w:r>
            <w:r>
              <w:rPr>
                <w:rFonts w:hint="eastAsia" w:ascii="宋体" w:hAnsi="宋体" w:eastAsia="宋体" w:cs="宋体"/>
                <w:color w:val="auto"/>
                <w:highlight w:val="none"/>
                <w:lang w:val="en-US" w:eastAsia="zh-CN"/>
              </w:rPr>
              <w:t>比选人</w:t>
            </w:r>
            <w:r>
              <w:rPr>
                <w:rFonts w:hint="eastAsia" w:ascii="宋体" w:hAnsi="宋体" w:eastAsia="宋体" w:cs="宋体"/>
                <w:color w:val="auto"/>
                <w:highlight w:val="none"/>
              </w:rPr>
              <w:t>有权取消其</w:t>
            </w:r>
            <w:r>
              <w:rPr>
                <w:rFonts w:hint="eastAsia" w:ascii="宋体" w:hAnsi="宋体" w:cs="宋体"/>
                <w:color w:val="auto"/>
                <w:highlight w:val="none"/>
                <w:lang w:val="en-US" w:eastAsia="zh-CN"/>
              </w:rPr>
              <w:t>中选</w:t>
            </w:r>
            <w:r>
              <w:rPr>
                <w:rFonts w:hint="eastAsia" w:ascii="宋体" w:hAnsi="宋体" w:eastAsia="宋体" w:cs="宋体"/>
                <w:color w:val="auto"/>
                <w:highlight w:val="none"/>
              </w:rPr>
              <w:t>资格。</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3.履约保函应采用合同规定格式，其开具银行应为中国境内商业银行地市级以上支行（含地市级支行），并须是以</w:t>
            </w:r>
            <w:r>
              <w:rPr>
                <w:rFonts w:hint="eastAsia" w:ascii="宋体" w:hAnsi="宋体" w:cs="宋体"/>
                <w:color w:val="auto"/>
                <w:highlight w:val="none"/>
                <w:lang w:val="en-US" w:eastAsia="zh-CN"/>
              </w:rPr>
              <w:t>比选人</w:t>
            </w:r>
            <w:r>
              <w:rPr>
                <w:rFonts w:hint="eastAsia" w:ascii="宋体" w:hAnsi="宋体" w:eastAsia="宋体" w:cs="宋体"/>
                <w:color w:val="auto"/>
                <w:highlight w:val="none"/>
              </w:rPr>
              <w:t>为受益人，见索即付无条件付款的、不可撤销的银行保函。</w:t>
            </w:r>
          </w:p>
        </w:tc>
      </w:tr>
      <w:tr>
        <w:tblPrEx>
          <w:tblCellMar>
            <w:top w:w="0" w:type="dxa"/>
            <w:left w:w="108" w:type="dxa"/>
            <w:bottom w:w="0" w:type="dxa"/>
            <w:right w:w="108" w:type="dxa"/>
          </w:tblCellMar>
        </w:tblPrEx>
        <w:trPr>
          <w:trHeight w:val="347"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20</w:t>
            </w:r>
          </w:p>
        </w:tc>
        <w:tc>
          <w:tcPr>
            <w:tcW w:w="1716"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需要补充的其他内容</w:t>
            </w:r>
          </w:p>
        </w:tc>
        <w:tc>
          <w:tcPr>
            <w:tcW w:w="71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1.比选申请人在递交比选申请文件时，同时递交比选申请文件电子版。</w:t>
            </w:r>
          </w:p>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2.比选申请文件电子版内容：资格审查文件、</w:t>
            </w:r>
            <w:r>
              <w:rPr>
                <w:rFonts w:hint="eastAsia" w:ascii="宋体" w:hAnsi="宋体" w:cs="宋体"/>
                <w:color w:val="auto"/>
                <w:highlight w:val="none"/>
                <w:lang w:val="en-US" w:eastAsia="zh-CN"/>
              </w:rPr>
              <w:t>资信文件</w:t>
            </w:r>
            <w:r>
              <w:rPr>
                <w:rFonts w:hint="eastAsia" w:ascii="宋体" w:hAnsi="宋体" w:cs="宋体"/>
                <w:color w:val="auto"/>
                <w:highlight w:val="none"/>
                <w:lang w:eastAsia="zh-CN"/>
              </w:rPr>
              <w:t>、</w:t>
            </w:r>
            <w:r>
              <w:rPr>
                <w:rFonts w:hint="eastAsia" w:ascii="宋体" w:hAnsi="宋体" w:eastAsia="宋体" w:cs="宋体"/>
                <w:color w:val="auto"/>
                <w:highlight w:val="none"/>
              </w:rPr>
              <w:t>技术文件</w:t>
            </w:r>
            <w:r>
              <w:rPr>
                <w:rFonts w:hint="eastAsia" w:ascii="宋体" w:hAnsi="宋体" w:cs="宋体"/>
                <w:color w:val="auto"/>
                <w:highlight w:val="none"/>
                <w:lang w:val="en-US" w:eastAsia="zh-CN"/>
              </w:rPr>
              <w:t>和价格文件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3.比选申请文件电子版份数：</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份。</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4.比选申请文件电子版形式：每份包括office版本（文本内容为Word格式，工程量清单为word或Excel格式）的全套比选申请文件(资格审查文件、价格文件和技术文件)和盖章后的全套比选申请文件(资格审查文件、价格文件和技术文件)正本的PDF版本扫描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保存介质：U盘。</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5.比选申请文件电子版密封方式：比选申请文件电子版与纸质版比选申请文件一并装入比选申请文件袋中。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71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71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1.本项目比选文件的最终解释权归比选人。</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签订本项目合同时，中选人须按比选人要求，与资金支付方签订</w:t>
            </w:r>
            <w:r>
              <w:rPr>
                <w:rFonts w:hint="eastAsia" w:ascii="宋体" w:hAnsi="宋体" w:eastAsia="宋体" w:cs="宋体"/>
                <w:color w:val="auto"/>
                <w:highlight w:val="none"/>
                <w:lang w:val="en-US" w:eastAsia="zh-CN"/>
              </w:rPr>
              <w:t>多</w:t>
            </w:r>
            <w:r>
              <w:rPr>
                <w:rFonts w:hint="eastAsia" w:ascii="宋体" w:hAnsi="宋体" w:eastAsia="宋体" w:cs="宋体"/>
                <w:color w:val="auto"/>
                <w:highlight w:val="none"/>
              </w:rPr>
              <w:t>方支付协议。</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45" w:name="_Toc322528193"/>
      <w:bookmarkEnd w:id="45"/>
      <w:bookmarkStart w:id="46" w:name="_Toc29598"/>
      <w:bookmarkStart w:id="47" w:name="_Toc23332"/>
      <w:bookmarkStart w:id="48" w:name="_Toc12898"/>
      <w:bookmarkStart w:id="49" w:name="_Toc24906"/>
      <w:bookmarkStart w:id="50" w:name="_Toc229"/>
      <w:bookmarkStart w:id="51" w:name="_Toc4073"/>
      <w:bookmarkStart w:id="52" w:name="_Toc31407"/>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6"/>
      <w:bookmarkEnd w:id="47"/>
      <w:bookmarkEnd w:id="48"/>
      <w:bookmarkEnd w:id="49"/>
      <w:bookmarkEnd w:id="50"/>
      <w:bookmarkEnd w:id="51"/>
      <w:bookmarkEnd w:id="52"/>
    </w:p>
    <w:p>
      <w:pPr>
        <w:pStyle w:val="6"/>
        <w:spacing w:before="0" w:after="0" w:afterAutospacing="0"/>
        <w:ind w:left="0" w:right="0" w:firstLine="422" w:firstLineChars="200"/>
        <w:rPr>
          <w:rFonts w:ascii="宋体" w:hAnsi="宋体"/>
          <w:color w:val="auto"/>
          <w:sz w:val="21"/>
          <w:szCs w:val="21"/>
          <w:highlight w:val="none"/>
        </w:rPr>
      </w:pPr>
      <w:bookmarkStart w:id="53" w:name="_Toc17845"/>
      <w:bookmarkStart w:id="54" w:name="_Toc463"/>
      <w:bookmarkStart w:id="55" w:name="_Toc21139"/>
      <w:bookmarkStart w:id="56" w:name="_Toc383891168"/>
      <w:bookmarkStart w:id="57" w:name="_Toc30570"/>
      <w:bookmarkStart w:id="58" w:name="_Toc385427793"/>
      <w:bookmarkStart w:id="59" w:name="_Toc12526"/>
      <w:bookmarkStart w:id="60" w:name="_Toc28326"/>
      <w:bookmarkStart w:id="61" w:name="_Toc9366"/>
      <w:bookmarkStart w:id="62" w:name="_Toc32592"/>
      <w:bookmarkStart w:id="63" w:name="_Toc14066"/>
      <w:bookmarkStart w:id="64" w:name="_Toc3804"/>
      <w:bookmarkStart w:id="65" w:name="_Toc3364"/>
      <w:bookmarkStart w:id="66" w:name="_Toc11224"/>
      <w:bookmarkStart w:id="67" w:name="_Toc7778"/>
      <w:bookmarkStart w:id="68" w:name="_Toc31563"/>
      <w:bookmarkStart w:id="69" w:name="_Toc8166"/>
      <w:bookmarkStart w:id="70" w:name="_Toc5495"/>
      <w:bookmarkStart w:id="71" w:name="_Toc6861"/>
      <w:bookmarkStart w:id="72" w:name="_Toc12983505"/>
      <w:bookmarkStart w:id="73" w:name="_Toc375039064"/>
      <w:bookmarkStart w:id="74" w:name="_Toc492478718"/>
      <w:bookmarkStart w:id="75" w:name="_Toc390098419"/>
      <w:bookmarkStart w:id="76" w:name="_Toc25750591"/>
      <w:bookmarkStart w:id="77" w:name="_Toc27079"/>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rPr>
        <w:t>1.4比选范围：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rPr>
        <w:t>服务期：</w:t>
      </w:r>
      <w:r>
        <w:rPr>
          <w:rFonts w:ascii="宋体" w:hAnsi="宋体"/>
          <w:color w:val="auto"/>
          <w:highlight w:val="none"/>
        </w:rPr>
        <w:t>详见比选申请须知前附表。</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rPr>
        <w:t>1.</w:t>
      </w:r>
      <w:r>
        <w:rPr>
          <w:rFonts w:hint="eastAsia" w:ascii="宋体" w:hAnsi="宋体"/>
          <w:color w:val="auto"/>
          <w:highlight w:val="none"/>
          <w:lang w:val="en-US" w:eastAsia="zh-CN"/>
        </w:rPr>
        <w:t>6</w:t>
      </w:r>
      <w:r>
        <w:rPr>
          <w:rFonts w:hint="eastAsia" w:ascii="宋体" w:hAnsi="宋体"/>
          <w:color w:val="auto"/>
          <w:highlight w:val="none"/>
        </w:rPr>
        <w:t xml:space="preserve"> </w:t>
      </w:r>
      <w:r>
        <w:rPr>
          <w:rFonts w:hint="eastAsia" w:ascii="宋体" w:hAnsi="宋体"/>
          <w:color w:val="auto"/>
          <w:highlight w:val="none"/>
          <w:lang w:val="en-US" w:eastAsia="zh-CN"/>
        </w:rPr>
        <w:t>质保期：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1.7</w:t>
      </w:r>
      <w:r>
        <w:rPr>
          <w:rFonts w:hint="eastAsia" w:ascii="宋体" w:hAnsi="宋体"/>
          <w:color w:val="auto"/>
          <w:highlight w:val="none"/>
        </w:rPr>
        <w:t>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.8</w:t>
      </w:r>
      <w:r>
        <w:rPr>
          <w:rFonts w:hint="eastAsia" w:ascii="宋体" w:hAnsi="宋体"/>
          <w:color w:val="auto"/>
          <w:highlight w:val="none"/>
        </w:rPr>
        <w:t>上限控制价</w:t>
      </w:r>
      <w:r>
        <w:rPr>
          <w:rFonts w:ascii="宋体" w:hAnsi="宋体"/>
          <w:color w:val="auto"/>
          <w:highlight w:val="none"/>
        </w:rPr>
        <w:t>：详见比选申请须知前附表。</w:t>
      </w:r>
    </w:p>
    <w:p>
      <w:pPr>
        <w:pStyle w:val="6"/>
        <w:spacing w:before="0" w:after="0" w:afterAutospacing="0"/>
        <w:ind w:left="0" w:right="0" w:firstLine="422" w:firstLineChars="200"/>
        <w:rPr>
          <w:rFonts w:ascii="宋体" w:hAnsi="宋体"/>
          <w:color w:val="auto"/>
          <w:sz w:val="21"/>
          <w:szCs w:val="21"/>
          <w:highlight w:val="none"/>
        </w:rPr>
      </w:pPr>
      <w:bookmarkStart w:id="78" w:name="_Toc1552"/>
      <w:bookmarkStart w:id="79" w:name="_Toc10907"/>
      <w:bookmarkStart w:id="80" w:name="_Toc6985"/>
      <w:bookmarkStart w:id="81" w:name="_Toc383891169"/>
      <w:bookmarkStart w:id="82" w:name="_Toc24429"/>
      <w:bookmarkStart w:id="83" w:name="_Toc6038"/>
      <w:bookmarkStart w:id="84" w:name="_Toc390098420"/>
      <w:bookmarkStart w:id="85" w:name="_Toc16860"/>
      <w:bookmarkStart w:id="86" w:name="_Toc22987"/>
      <w:bookmarkStart w:id="87" w:name="_Toc492478719"/>
      <w:bookmarkStart w:id="88" w:name="_Toc12983506"/>
      <w:bookmarkStart w:id="89" w:name="_Toc8052"/>
      <w:bookmarkStart w:id="90" w:name="_Toc21874"/>
      <w:bookmarkStart w:id="91" w:name="_Toc27847"/>
      <w:bookmarkStart w:id="92" w:name="_Toc4780"/>
      <w:bookmarkStart w:id="93" w:name="_Toc375039065"/>
      <w:bookmarkStart w:id="94" w:name="_Toc27845"/>
      <w:bookmarkStart w:id="95" w:name="_Toc13261"/>
      <w:bookmarkStart w:id="96" w:name="_Toc385427794"/>
      <w:bookmarkStart w:id="97" w:name="_Toc31314"/>
      <w:bookmarkStart w:id="98" w:name="_Toc25750592"/>
      <w:r>
        <w:rPr>
          <w:rFonts w:hint="eastAsia" w:ascii="宋体" w:hAnsi="宋体"/>
          <w:color w:val="auto"/>
          <w:sz w:val="21"/>
          <w:szCs w:val="21"/>
          <w:highlight w:val="none"/>
        </w:rPr>
        <w:t>2. 定义</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w:t>
      </w:r>
      <w:r>
        <w:rPr>
          <w:rFonts w:hint="eastAsia" w:ascii="宋体" w:hAnsi="宋体"/>
          <w:color w:val="auto"/>
          <w:highlight w:val="none"/>
        </w:rPr>
        <w:t>项目</w:t>
      </w:r>
      <w:r>
        <w:rPr>
          <w:rFonts w:ascii="宋体" w:hAnsi="宋体"/>
          <w:color w:val="auto"/>
          <w:highlight w:val="none"/>
        </w:rPr>
        <w:t>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服务”系指比选文件规定比选申请人须承担的与项目有关的辅助服务，包括但不限于往返南宁的动车票费用、住宿费、餐费、市内交通费、学习资料、保险费、教学费、管理费、税费等一切费用和比选申请人应承担的其他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2.7</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2.9</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6"/>
        <w:spacing w:before="0" w:after="0" w:afterAutospacing="0"/>
        <w:ind w:left="0" w:right="0" w:firstLine="422" w:firstLineChars="200"/>
        <w:rPr>
          <w:rFonts w:ascii="宋体" w:hAnsi="宋体"/>
          <w:color w:val="auto"/>
          <w:sz w:val="21"/>
          <w:szCs w:val="21"/>
          <w:highlight w:val="none"/>
        </w:rPr>
      </w:pPr>
      <w:bookmarkStart w:id="99" w:name="_Toc385427795"/>
      <w:bookmarkStart w:id="100" w:name="_Toc383891170"/>
      <w:bookmarkStart w:id="101" w:name="_Toc492478720"/>
      <w:bookmarkStart w:id="102" w:name="_Toc390098421"/>
      <w:bookmarkStart w:id="103" w:name="_Toc375039066"/>
      <w:bookmarkStart w:id="104" w:name="_Toc29859"/>
      <w:bookmarkStart w:id="105" w:name="_Toc17568"/>
      <w:bookmarkStart w:id="106" w:name="_Toc22845"/>
      <w:bookmarkStart w:id="107" w:name="_Toc12940"/>
      <w:bookmarkStart w:id="108" w:name="_Toc24844"/>
      <w:bookmarkStart w:id="109" w:name="_Toc31477"/>
      <w:bookmarkStart w:id="110" w:name="_Toc10653"/>
      <w:bookmarkStart w:id="111" w:name="_Toc7797"/>
      <w:bookmarkStart w:id="112" w:name="_Toc22115"/>
      <w:bookmarkStart w:id="113" w:name="_Toc307"/>
      <w:bookmarkStart w:id="114" w:name="_Toc29401"/>
      <w:bookmarkStart w:id="115" w:name="_Toc9929"/>
      <w:bookmarkStart w:id="116" w:name="_Toc7306"/>
      <w:bookmarkStart w:id="117" w:name="_Toc8288"/>
      <w:bookmarkStart w:id="118" w:name="_Toc17075"/>
      <w:bookmarkStart w:id="119" w:name="_Toc30498"/>
      <w:bookmarkStart w:id="120" w:name="_Toc25786"/>
      <w:bookmarkStart w:id="121" w:name="_Toc23433"/>
      <w:bookmarkStart w:id="122" w:name="_Toc25750593"/>
      <w:bookmarkStart w:id="123" w:name="_Toc12983507"/>
      <w:r>
        <w:rPr>
          <w:rFonts w:ascii="宋体" w:hAnsi="宋体"/>
          <w:color w:val="auto"/>
          <w:sz w:val="21"/>
          <w:szCs w:val="21"/>
          <w:highlight w:val="none"/>
        </w:rPr>
        <w:t>3. 比选申请人</w:t>
      </w:r>
      <w:bookmarkEnd w:id="99"/>
      <w:bookmarkEnd w:id="100"/>
      <w:bookmarkEnd w:id="101"/>
      <w:bookmarkEnd w:id="102"/>
      <w:bookmarkEnd w:id="103"/>
      <w:r>
        <w:rPr>
          <w:rFonts w:hint="eastAsia" w:ascii="宋体" w:hAnsi="宋体"/>
          <w:color w:val="auto"/>
          <w:sz w:val="21"/>
          <w:szCs w:val="21"/>
          <w:highlight w:val="none"/>
        </w:rPr>
        <w:t>应具备的资格条件</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（2）没有处于被广西行政主管部门或业主取消比选申请资格的处罚期内，且没有处于被责令停业，财产被接管、破产状态；比选申请截止时间前3年内没有骗取中选、严重违约或重大质量安全责任事故的情况</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）在比选申请文件中提供虚假文件或资料的。</w:t>
      </w:r>
    </w:p>
    <w:p>
      <w:pPr>
        <w:pStyle w:val="6"/>
        <w:spacing w:before="0" w:after="0" w:afterAutospacing="0"/>
        <w:ind w:left="0" w:right="0" w:firstLine="422" w:firstLineChars="200"/>
        <w:rPr>
          <w:rFonts w:ascii="宋体" w:hAnsi="宋体"/>
          <w:color w:val="auto"/>
          <w:sz w:val="21"/>
          <w:szCs w:val="21"/>
          <w:highlight w:val="none"/>
        </w:rPr>
      </w:pPr>
      <w:bookmarkStart w:id="124" w:name="_Toc31789"/>
      <w:bookmarkStart w:id="125" w:name="_Toc30752"/>
      <w:bookmarkStart w:id="126" w:name="_Toc1737"/>
      <w:bookmarkStart w:id="127" w:name="_Toc383891171"/>
      <w:bookmarkStart w:id="128" w:name="_Toc12983508"/>
      <w:bookmarkStart w:id="129" w:name="_Toc24103"/>
      <w:bookmarkStart w:id="130" w:name="_Toc1125"/>
      <w:bookmarkStart w:id="131" w:name="_Toc3292"/>
      <w:bookmarkStart w:id="132" w:name="_Toc390098422"/>
      <w:bookmarkStart w:id="133" w:name="_Toc7832"/>
      <w:bookmarkStart w:id="134" w:name="_Toc19055"/>
      <w:bookmarkStart w:id="135" w:name="_Toc23146"/>
      <w:bookmarkStart w:id="136" w:name="_Toc4438"/>
      <w:bookmarkStart w:id="137" w:name="_Toc19709"/>
      <w:bookmarkStart w:id="138" w:name="_Toc25914"/>
      <w:bookmarkStart w:id="139" w:name="_Toc492478721"/>
      <w:bookmarkStart w:id="140" w:name="_Toc375039067"/>
      <w:bookmarkStart w:id="141" w:name="_Toc18668"/>
      <w:bookmarkStart w:id="142" w:name="_Toc7103"/>
      <w:bookmarkStart w:id="143" w:name="_Toc25750594"/>
      <w:bookmarkStart w:id="144" w:name="_Toc21602"/>
      <w:bookmarkStart w:id="145" w:name="_Toc616"/>
      <w:bookmarkStart w:id="146" w:name="_Toc21215"/>
      <w:bookmarkStart w:id="147" w:name="_Toc19081"/>
      <w:bookmarkStart w:id="148" w:name="_Toc385427796"/>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比选申请人应承担其编制文件与递交文件所涉及的一切费用。无论评审结果如何，比选人对上述费用不承担任何责任</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1"/>
          <w:szCs w:val="21"/>
          <w:highlight w:val="none"/>
        </w:rPr>
      </w:pPr>
      <w:bookmarkStart w:id="149" w:name="_Toc6528"/>
      <w:bookmarkStart w:id="150" w:name="_Toc385427797"/>
      <w:bookmarkStart w:id="151" w:name="_Toc383891172"/>
      <w:bookmarkStart w:id="152" w:name="_Toc8562"/>
      <w:bookmarkStart w:id="153" w:name="_Toc16530"/>
      <w:bookmarkStart w:id="154" w:name="_Toc29160"/>
      <w:bookmarkStart w:id="155" w:name="_Toc6420"/>
      <w:bookmarkStart w:id="156" w:name="_Toc5487"/>
      <w:bookmarkStart w:id="157" w:name="_Toc21845"/>
      <w:bookmarkStart w:id="158" w:name="_Toc2609"/>
      <w:bookmarkStart w:id="159" w:name="_Toc1609"/>
      <w:bookmarkStart w:id="160" w:name="_Toc16131"/>
      <w:bookmarkStart w:id="161" w:name="_Toc22200"/>
      <w:bookmarkStart w:id="162" w:name="_Toc375039068"/>
      <w:bookmarkStart w:id="163" w:name="_Toc16608"/>
      <w:bookmarkStart w:id="164" w:name="_Toc18528"/>
      <w:bookmarkStart w:id="165" w:name="_Toc27229"/>
      <w:bookmarkStart w:id="166" w:name="_Toc7339"/>
      <w:bookmarkStart w:id="167" w:name="_Toc19617"/>
      <w:bookmarkStart w:id="168" w:name="_Toc12983509"/>
      <w:bookmarkStart w:id="169" w:name="_Toc3854"/>
      <w:bookmarkStart w:id="170" w:name="_Toc2986"/>
      <w:bookmarkStart w:id="171" w:name="_Toc390098423"/>
      <w:bookmarkStart w:id="172" w:name="_Toc492478722"/>
      <w:bookmarkStart w:id="173" w:name="_Toc15763"/>
      <w:bookmarkStart w:id="174" w:name="_Toc14645"/>
      <w:bookmarkStart w:id="175" w:name="_Toc9677"/>
      <w:bookmarkStart w:id="176" w:name="_Toc5160"/>
      <w:bookmarkStart w:id="177" w:name="_Toc20452"/>
      <w:bookmarkStart w:id="178" w:name="_Toc28220"/>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6"/>
        <w:spacing w:before="0" w:after="0" w:afterAutospacing="0"/>
        <w:ind w:left="0" w:right="0" w:firstLine="422" w:firstLineChars="200"/>
        <w:rPr>
          <w:rFonts w:ascii="宋体" w:hAnsi="宋体"/>
          <w:color w:val="auto"/>
          <w:sz w:val="21"/>
          <w:szCs w:val="21"/>
          <w:highlight w:val="none"/>
        </w:rPr>
      </w:pPr>
      <w:bookmarkStart w:id="179" w:name="_Toc25378"/>
      <w:bookmarkStart w:id="180" w:name="_Toc18436"/>
      <w:bookmarkStart w:id="181" w:name="_Toc32710"/>
      <w:bookmarkStart w:id="182" w:name="_Toc839"/>
      <w:bookmarkStart w:id="183" w:name="_Toc385427798"/>
      <w:bookmarkStart w:id="184" w:name="_Toc6764"/>
      <w:bookmarkStart w:id="185" w:name="_Toc30401"/>
      <w:bookmarkStart w:id="186" w:name="_Toc375039069"/>
      <w:bookmarkStart w:id="187" w:name="_Toc4157"/>
      <w:bookmarkStart w:id="188" w:name="_Toc12983510"/>
      <w:bookmarkStart w:id="189" w:name="_Toc10213"/>
      <w:bookmarkStart w:id="190" w:name="_Toc5877"/>
      <w:bookmarkStart w:id="191" w:name="_Toc29472"/>
      <w:bookmarkStart w:id="192" w:name="_Toc25750596"/>
      <w:bookmarkStart w:id="193" w:name="_Toc29225"/>
      <w:bookmarkStart w:id="194" w:name="_Toc390098424"/>
      <w:bookmarkStart w:id="195" w:name="_Toc21811"/>
      <w:bookmarkStart w:id="196" w:name="_Toc19561"/>
      <w:bookmarkStart w:id="197" w:name="_Toc27870"/>
      <w:bookmarkStart w:id="198" w:name="_Toc13114"/>
      <w:bookmarkStart w:id="199" w:name="_Toc6637"/>
      <w:bookmarkStart w:id="200" w:name="_Toc383891173"/>
      <w:bookmarkStart w:id="201" w:name="_Toc9756"/>
      <w:bookmarkStart w:id="202" w:name="_Toc492478723"/>
      <w:bookmarkStart w:id="203" w:name="_Toc26333"/>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left="430" w:leftChars="0" w:right="0" w:firstLine="200" w:firstLineChars="0"/>
        <w:rPr>
          <w:rFonts w:ascii="宋体" w:hAnsi="宋体"/>
          <w:color w:val="auto"/>
          <w:highlight w:val="none"/>
        </w:rPr>
      </w:pPr>
      <w:r>
        <w:rPr>
          <w:rFonts w:hint="eastAsia" w:ascii="宋体" w:hAnsi="宋体"/>
          <w:color w:val="auto"/>
          <w:highlight w:val="none"/>
          <w:lang w:val="en-US" w:eastAsia="zh-CN"/>
        </w:rPr>
        <w:t xml:space="preserve"> </w:t>
      </w:r>
      <w:r>
        <w:rPr>
          <w:rFonts w:ascii="宋体" w:hAnsi="宋体"/>
          <w:color w:val="auto"/>
          <w:highlight w:val="none"/>
        </w:rPr>
        <w:t>比选公告</w:t>
      </w:r>
    </w:p>
    <w:p>
      <w:pPr>
        <w:numPr>
          <w:ilvl w:val="0"/>
          <w:numId w:val="1"/>
        </w:numPr>
        <w:spacing w:before="0"/>
        <w:ind w:left="430" w:leftChars="0" w:right="0" w:firstLine="200" w:firstLineChars="0"/>
        <w:rPr>
          <w:rFonts w:ascii="宋体" w:hAnsi="宋体"/>
          <w:color w:val="auto"/>
          <w:highlight w:val="none"/>
        </w:rPr>
      </w:pPr>
      <w:r>
        <w:rPr>
          <w:rFonts w:hint="eastAsia" w:ascii="宋体" w:hAnsi="宋体"/>
          <w:color w:val="auto"/>
          <w:highlight w:val="none"/>
          <w:lang w:val="en-US" w:eastAsia="zh-CN"/>
        </w:rPr>
        <w:t xml:space="preserve"> </w:t>
      </w:r>
      <w:r>
        <w:rPr>
          <w:rFonts w:ascii="宋体" w:hAnsi="宋体"/>
          <w:color w:val="auto"/>
          <w:highlight w:val="none"/>
        </w:rPr>
        <w:t>比选申请人须知</w:t>
      </w:r>
    </w:p>
    <w:p>
      <w:pPr>
        <w:numPr>
          <w:ilvl w:val="0"/>
          <w:numId w:val="1"/>
        </w:numPr>
        <w:spacing w:before="0"/>
        <w:ind w:left="430" w:leftChars="0" w:right="0" w:firstLine="200" w:firstLineChars="0"/>
        <w:rPr>
          <w:rFonts w:ascii="宋体" w:hAnsi="宋体"/>
          <w:color w:val="auto"/>
          <w:highlight w:val="none"/>
        </w:rPr>
      </w:pPr>
      <w:r>
        <w:rPr>
          <w:rFonts w:hint="eastAsia" w:ascii="宋体" w:hAnsi="宋体"/>
          <w:color w:val="auto"/>
          <w:highlight w:val="none"/>
          <w:lang w:val="en-US" w:eastAsia="zh-CN"/>
        </w:rPr>
        <w:t xml:space="preserve"> </w:t>
      </w: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left="430" w:leftChars="0" w:right="0" w:firstLine="200" w:firstLineChars="0"/>
        <w:rPr>
          <w:rFonts w:ascii="宋体" w:hAnsi="宋体"/>
          <w:color w:val="auto"/>
          <w:highlight w:val="none"/>
        </w:rPr>
      </w:pPr>
      <w:r>
        <w:rPr>
          <w:rFonts w:hint="eastAsia" w:ascii="宋体" w:hAnsi="宋体"/>
          <w:color w:val="auto"/>
          <w:highlight w:val="none"/>
          <w:lang w:val="en-US" w:eastAsia="zh-CN"/>
        </w:rPr>
        <w:t xml:space="preserve"> </w:t>
      </w:r>
      <w:r>
        <w:rPr>
          <w:rFonts w:ascii="宋体" w:hAnsi="宋体"/>
          <w:color w:val="auto"/>
          <w:highlight w:val="none"/>
        </w:rPr>
        <w:t>比选申请文件格式</w:t>
      </w:r>
    </w:p>
    <w:p>
      <w:pPr>
        <w:numPr>
          <w:ilvl w:val="0"/>
          <w:numId w:val="1"/>
        </w:numPr>
        <w:spacing w:before="0"/>
        <w:ind w:left="430" w:leftChars="0" w:right="0" w:firstLine="200" w:firstLineChars="0"/>
        <w:rPr>
          <w:rFonts w:ascii="宋体" w:hAnsi="宋体"/>
          <w:color w:val="auto"/>
          <w:highlight w:val="none"/>
        </w:rPr>
      </w:pPr>
      <w:r>
        <w:rPr>
          <w:rFonts w:hint="eastAsia" w:ascii="宋体" w:hAnsi="宋体"/>
          <w:color w:val="auto"/>
          <w:highlight w:val="none"/>
          <w:lang w:val="en-US" w:eastAsia="zh-CN"/>
        </w:rPr>
        <w:t xml:space="preserve"> </w:t>
      </w:r>
      <w:r>
        <w:rPr>
          <w:rFonts w:ascii="宋体" w:hAnsi="宋体"/>
          <w:color w:val="auto"/>
          <w:highlight w:val="none"/>
        </w:rPr>
        <w:t>用户需求书</w:t>
      </w:r>
    </w:p>
    <w:p>
      <w:pPr>
        <w:numPr>
          <w:ilvl w:val="0"/>
          <w:numId w:val="1"/>
        </w:numPr>
        <w:spacing w:before="0" w:after="0" w:afterAutospacing="0"/>
        <w:ind w:left="430" w:leftChars="0" w:right="0" w:firstLine="198" w:firstLineChars="0"/>
        <w:rPr>
          <w:rFonts w:ascii="宋体" w:hAnsi="宋体"/>
          <w:color w:val="auto"/>
          <w:highlight w:val="none"/>
        </w:rPr>
      </w:pPr>
      <w:r>
        <w:rPr>
          <w:rFonts w:hint="eastAsia" w:ascii="宋体" w:hAnsi="宋体"/>
          <w:color w:val="auto"/>
          <w:highlight w:val="none"/>
          <w:lang w:val="en-US" w:eastAsia="zh-CN"/>
        </w:rPr>
        <w:t xml:space="preserve"> </w:t>
      </w:r>
      <w:r>
        <w:rPr>
          <w:rFonts w:hint="eastAsia" w:ascii="宋体" w:hAnsi="宋体"/>
          <w:color w:val="auto"/>
          <w:highlight w:val="none"/>
        </w:rPr>
        <w:t>评审办法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highlight w:val="none"/>
        </w:rPr>
      </w:pPr>
      <w:bookmarkStart w:id="204" w:name="_Toc26909"/>
      <w:bookmarkStart w:id="205" w:name="_Toc375039070"/>
      <w:bookmarkStart w:id="206" w:name="_Toc2489"/>
      <w:bookmarkStart w:id="207" w:name="_Toc21365"/>
      <w:bookmarkStart w:id="208" w:name="_Toc10162"/>
      <w:bookmarkStart w:id="209" w:name="_Toc31848"/>
      <w:bookmarkStart w:id="210" w:name="_Toc11715"/>
      <w:bookmarkStart w:id="211" w:name="_Toc383891174"/>
      <w:bookmarkStart w:id="212" w:name="_Toc2789"/>
      <w:bookmarkStart w:id="213" w:name="_Toc12983511"/>
      <w:bookmarkStart w:id="214" w:name="_Toc15154"/>
      <w:bookmarkStart w:id="215" w:name="_Toc26811"/>
      <w:bookmarkStart w:id="216" w:name="_Toc31386"/>
      <w:bookmarkStart w:id="217" w:name="_Toc492478724"/>
      <w:bookmarkStart w:id="218" w:name="_Toc20903"/>
      <w:bookmarkStart w:id="219" w:name="_Toc25750597"/>
      <w:bookmarkStart w:id="220" w:name="_Toc17279"/>
      <w:bookmarkStart w:id="221" w:name="_Toc2664"/>
      <w:bookmarkStart w:id="222" w:name="_Toc28270"/>
      <w:bookmarkStart w:id="223" w:name="_Toc390098425"/>
      <w:bookmarkStart w:id="224" w:name="_Toc385427799"/>
      <w:bookmarkStart w:id="225" w:name="_Toc11896"/>
      <w:bookmarkStart w:id="226" w:name="_Toc29001"/>
      <w:bookmarkStart w:id="227" w:name="_Toc14426"/>
      <w:bookmarkStart w:id="228" w:name="_Toc18631"/>
      <w:r>
        <w:rPr>
          <w:rFonts w:hint="eastAsia" w:ascii="宋体" w:hAnsi="宋体"/>
          <w:color w:val="auto"/>
          <w:sz w:val="21"/>
          <w:szCs w:val="21"/>
          <w:highlight w:val="none"/>
        </w:rPr>
        <w:t>6. 比选文件的澄清</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highlight w:val="none"/>
        </w:rPr>
      </w:pPr>
      <w:bookmarkStart w:id="229" w:name="_Toc23923"/>
      <w:bookmarkStart w:id="230" w:name="_Toc24128"/>
      <w:bookmarkStart w:id="231" w:name="_Toc2072"/>
      <w:bookmarkStart w:id="232" w:name="_Toc25750598"/>
      <w:bookmarkStart w:id="233" w:name="_Toc15674"/>
      <w:bookmarkStart w:id="234" w:name="_Toc26952"/>
      <w:bookmarkStart w:id="235" w:name="_Toc390098426"/>
      <w:bookmarkStart w:id="236" w:name="_Toc22529"/>
      <w:bookmarkStart w:id="237" w:name="_Toc15498"/>
      <w:bookmarkStart w:id="238" w:name="_Toc12983512"/>
      <w:bookmarkStart w:id="239" w:name="_Toc30378"/>
      <w:bookmarkStart w:id="240" w:name="_Toc19345"/>
      <w:bookmarkStart w:id="241" w:name="_Toc385427800"/>
      <w:bookmarkStart w:id="242" w:name="_Toc24191"/>
      <w:bookmarkStart w:id="243" w:name="_Toc7063"/>
      <w:bookmarkStart w:id="244" w:name="_Toc5364"/>
      <w:bookmarkStart w:id="245" w:name="_Toc29795"/>
      <w:bookmarkStart w:id="246" w:name="_Toc383891175"/>
      <w:bookmarkStart w:id="247" w:name="_Toc15137"/>
      <w:bookmarkStart w:id="248" w:name="_Toc14181"/>
      <w:bookmarkStart w:id="249" w:name="_Toc492478725"/>
      <w:bookmarkStart w:id="250" w:name="_Toc375039071"/>
      <w:bookmarkStart w:id="251" w:name="_Toc24583"/>
      <w:bookmarkStart w:id="252" w:name="_Toc27124"/>
      <w:bookmarkStart w:id="253" w:name="_Toc2976"/>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254" w:name="_Toc10869"/>
      <w:bookmarkStart w:id="255" w:name="_Toc17335"/>
      <w:bookmarkStart w:id="256" w:name="_Toc25361"/>
      <w:bookmarkStart w:id="257" w:name="_Toc14054"/>
      <w:bookmarkStart w:id="258" w:name="_Toc16406"/>
      <w:bookmarkStart w:id="259" w:name="_Toc375039072"/>
      <w:bookmarkStart w:id="260" w:name="_Toc17692"/>
      <w:bookmarkStart w:id="261" w:name="_Toc5805"/>
      <w:bookmarkStart w:id="262" w:name="_Toc10349"/>
      <w:bookmarkStart w:id="263" w:name="_Toc30363"/>
      <w:bookmarkStart w:id="264" w:name="_Toc7604"/>
      <w:bookmarkStart w:id="265" w:name="_Toc21622"/>
      <w:bookmarkStart w:id="266" w:name="_Toc95"/>
      <w:bookmarkStart w:id="267" w:name="_Toc21660"/>
      <w:bookmarkStart w:id="268" w:name="_Toc27913"/>
      <w:bookmarkStart w:id="269" w:name="_Toc24759"/>
      <w:bookmarkStart w:id="270" w:name="_Toc390098427"/>
      <w:bookmarkStart w:id="271" w:name="_Toc13502"/>
      <w:bookmarkStart w:id="272" w:name="_Toc24557"/>
      <w:bookmarkStart w:id="273" w:name="_Toc14185"/>
      <w:bookmarkStart w:id="274" w:name="_Toc9001"/>
      <w:bookmarkStart w:id="275" w:name="_Toc385427801"/>
      <w:bookmarkStart w:id="276" w:name="_Toc12983513"/>
      <w:bookmarkStart w:id="277" w:name="_Toc383891176"/>
      <w:bookmarkStart w:id="278" w:name="_Toc28044"/>
      <w:bookmarkStart w:id="279" w:name="_Toc4718"/>
      <w:bookmarkStart w:id="280" w:name="_Toc560"/>
      <w:bookmarkStart w:id="281" w:name="_Toc2902"/>
      <w:bookmarkStart w:id="282" w:name="_Toc18679"/>
      <w:bookmarkStart w:id="283" w:name="_Toc492478726"/>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6"/>
        <w:spacing w:before="0" w:after="0" w:afterAutospacing="0"/>
        <w:ind w:left="0" w:right="0" w:firstLine="422" w:firstLineChars="200"/>
        <w:rPr>
          <w:rFonts w:ascii="宋体" w:hAnsi="宋体"/>
          <w:color w:val="auto"/>
          <w:sz w:val="21"/>
          <w:szCs w:val="21"/>
          <w:highlight w:val="none"/>
        </w:rPr>
      </w:pPr>
      <w:bookmarkStart w:id="284" w:name="_Toc12074"/>
      <w:bookmarkStart w:id="285" w:name="_Toc12983514"/>
      <w:bookmarkStart w:id="286" w:name="_Toc25750600"/>
      <w:bookmarkStart w:id="287" w:name="_Toc492478727"/>
      <w:bookmarkStart w:id="288" w:name="_Toc13418"/>
      <w:bookmarkStart w:id="289" w:name="_Toc2819"/>
      <w:bookmarkStart w:id="290" w:name="_Toc29862"/>
      <w:bookmarkStart w:id="291" w:name="_Toc20025"/>
      <w:bookmarkStart w:id="292" w:name="_Toc4384"/>
      <w:bookmarkStart w:id="293" w:name="_Toc1733"/>
      <w:bookmarkStart w:id="294" w:name="_Toc16186"/>
      <w:bookmarkStart w:id="295" w:name="_Toc11259"/>
      <w:bookmarkStart w:id="296" w:name="_Toc18350"/>
      <w:bookmarkStart w:id="297" w:name="_Toc26680"/>
      <w:bookmarkStart w:id="298" w:name="_Toc23794"/>
      <w:bookmarkStart w:id="299" w:name="_Toc26150"/>
      <w:bookmarkStart w:id="300" w:name="_Toc390098428"/>
      <w:bookmarkStart w:id="301" w:name="_Toc375039073"/>
      <w:bookmarkStart w:id="302" w:name="_Toc12456"/>
      <w:bookmarkStart w:id="303" w:name="_Toc385427802"/>
      <w:bookmarkStart w:id="304" w:name="_Toc21673"/>
      <w:bookmarkStart w:id="305" w:name="_Toc16229"/>
      <w:bookmarkStart w:id="306" w:name="_Toc9592"/>
      <w:bookmarkStart w:id="307" w:name="_Toc16435"/>
      <w:bookmarkStart w:id="308" w:name="_Toc383891177"/>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309" w:name="_Toc375039074"/>
      <w:bookmarkStart w:id="310" w:name="_Toc19885"/>
      <w:bookmarkStart w:id="311" w:name="_Toc26753"/>
      <w:bookmarkStart w:id="312" w:name="_Toc9887"/>
      <w:bookmarkStart w:id="313" w:name="_Toc28065"/>
      <w:bookmarkStart w:id="314" w:name="_Toc28296"/>
      <w:bookmarkStart w:id="315" w:name="_Toc10274"/>
      <w:bookmarkStart w:id="316" w:name="_Toc16237"/>
      <w:bookmarkStart w:id="317" w:name="_Toc383891178"/>
      <w:bookmarkStart w:id="318" w:name="_Toc1047"/>
      <w:bookmarkStart w:id="319" w:name="_Toc24935"/>
      <w:bookmarkStart w:id="320" w:name="_Toc24857"/>
      <w:bookmarkStart w:id="321" w:name="_Toc15570"/>
      <w:bookmarkStart w:id="322" w:name="_Toc12983515"/>
      <w:bookmarkStart w:id="323" w:name="_Toc11040"/>
      <w:bookmarkStart w:id="324" w:name="_Toc25770"/>
      <w:bookmarkStart w:id="325" w:name="_Toc385427803"/>
      <w:bookmarkStart w:id="326" w:name="_Toc25750601"/>
      <w:bookmarkStart w:id="327" w:name="_Toc390098429"/>
      <w:bookmarkStart w:id="328" w:name="_Toc6261"/>
      <w:bookmarkStart w:id="329" w:name="_Toc12207"/>
      <w:bookmarkStart w:id="330" w:name="_Toc22026"/>
      <w:bookmarkStart w:id="331" w:name="_Toc492478728"/>
      <w:bookmarkStart w:id="332" w:name="_Toc11161"/>
      <w:bookmarkStart w:id="333" w:name="_Toc3492"/>
      <w:r>
        <w:rPr>
          <w:rFonts w:ascii="宋体" w:hAnsi="宋体"/>
          <w:color w:val="auto"/>
          <w:sz w:val="21"/>
          <w:szCs w:val="21"/>
          <w:highlight w:val="none"/>
        </w:rPr>
        <w:t>比选申请语言及计量单位</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334" w:name="_Toc12983516"/>
      <w:bookmarkStart w:id="335" w:name="_Toc23229"/>
      <w:bookmarkStart w:id="336" w:name="_Toc3877"/>
      <w:bookmarkStart w:id="337" w:name="_Toc25750602"/>
      <w:bookmarkStart w:id="338" w:name="_Toc390098430"/>
      <w:bookmarkStart w:id="339" w:name="_Toc25855"/>
      <w:bookmarkStart w:id="340" w:name="_Toc30356"/>
      <w:bookmarkStart w:id="341" w:name="_Toc19681"/>
      <w:bookmarkStart w:id="342" w:name="_Toc3411"/>
      <w:bookmarkStart w:id="343" w:name="_Toc375039075"/>
      <w:bookmarkStart w:id="344" w:name="_Toc29881"/>
      <w:bookmarkStart w:id="345" w:name="_Toc30991"/>
      <w:bookmarkStart w:id="346" w:name="_Toc385427804"/>
      <w:bookmarkStart w:id="347" w:name="_Toc14323"/>
      <w:bookmarkStart w:id="348" w:name="_Toc28164"/>
      <w:bookmarkStart w:id="349" w:name="_Toc53"/>
      <w:bookmarkStart w:id="350" w:name="_Toc3464"/>
      <w:bookmarkStart w:id="351" w:name="_Toc22476"/>
      <w:bookmarkStart w:id="352" w:name="_Toc23364"/>
      <w:bookmarkStart w:id="353" w:name="_Toc16307"/>
      <w:bookmarkStart w:id="354" w:name="_Toc24760"/>
      <w:bookmarkStart w:id="355" w:name="_Toc383891179"/>
      <w:bookmarkStart w:id="356" w:name="_Toc18149"/>
      <w:bookmarkStart w:id="357" w:name="_Toc492478729"/>
      <w:bookmarkStart w:id="358" w:name="_Toc15809"/>
      <w:r>
        <w:rPr>
          <w:rFonts w:ascii="宋体" w:hAnsi="宋体"/>
          <w:color w:val="auto"/>
          <w:sz w:val="21"/>
          <w:szCs w:val="21"/>
          <w:highlight w:val="none"/>
        </w:rPr>
        <w:t>比选申请文件组成</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10.2资格审查文件和技术文件不得透露有关报价的任何信息，否则其比选申请将被否决。</w:t>
      </w:r>
    </w:p>
    <w:p>
      <w:pPr>
        <w:pStyle w:val="6"/>
        <w:spacing w:before="0" w:after="0" w:afterAutospacing="0"/>
        <w:ind w:left="0" w:right="0" w:firstLine="422" w:firstLineChars="200"/>
        <w:rPr>
          <w:rFonts w:ascii="宋体" w:hAnsi="宋体"/>
          <w:color w:val="auto"/>
          <w:sz w:val="21"/>
          <w:szCs w:val="21"/>
          <w:highlight w:val="none"/>
        </w:rPr>
      </w:pPr>
      <w:bookmarkStart w:id="359" w:name="_Toc14630"/>
      <w:bookmarkStart w:id="360" w:name="_Toc383891180"/>
      <w:bookmarkStart w:id="361" w:name="_Toc375039076"/>
      <w:bookmarkStart w:id="362" w:name="_Toc390098431"/>
      <w:bookmarkStart w:id="363" w:name="_Toc27019"/>
      <w:bookmarkStart w:id="364" w:name="_Toc2395"/>
      <w:bookmarkStart w:id="365" w:name="_Toc23002"/>
      <w:bookmarkStart w:id="366" w:name="_Toc492478730"/>
      <w:bookmarkStart w:id="367" w:name="_Toc8151"/>
      <w:bookmarkStart w:id="368" w:name="_Toc11804"/>
      <w:bookmarkStart w:id="369" w:name="_Toc14308"/>
      <w:bookmarkStart w:id="370" w:name="_Toc7608"/>
      <w:bookmarkStart w:id="371" w:name="_Toc20248"/>
      <w:bookmarkStart w:id="372" w:name="_Toc20490"/>
      <w:bookmarkStart w:id="373" w:name="_Toc15919"/>
      <w:bookmarkStart w:id="374" w:name="_Toc675"/>
      <w:bookmarkStart w:id="375" w:name="_Toc25750603"/>
      <w:bookmarkStart w:id="376" w:name="_Toc21144"/>
      <w:bookmarkStart w:id="377" w:name="_Toc27194"/>
      <w:bookmarkStart w:id="378" w:name="_Toc16783"/>
      <w:bookmarkStart w:id="379" w:name="_Toc12983517"/>
      <w:bookmarkStart w:id="380" w:name="_Toc385427805"/>
      <w:bookmarkStart w:id="381" w:name="_Toc11211"/>
      <w:bookmarkStart w:id="382" w:name="_Toc15448"/>
      <w:bookmarkStart w:id="383" w:name="_Toc3670"/>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6"/>
        <w:spacing w:before="0" w:after="0" w:afterAutospacing="0"/>
        <w:ind w:left="0" w:right="0" w:firstLine="422" w:firstLineChars="200"/>
        <w:rPr>
          <w:rFonts w:ascii="宋体" w:hAnsi="宋体"/>
          <w:color w:val="auto"/>
          <w:sz w:val="21"/>
          <w:szCs w:val="21"/>
          <w:highlight w:val="none"/>
        </w:rPr>
      </w:pPr>
      <w:bookmarkStart w:id="384" w:name="_Toc21084"/>
      <w:bookmarkStart w:id="385" w:name="_Toc17379"/>
      <w:bookmarkStart w:id="386" w:name="_Toc492478731"/>
      <w:bookmarkStart w:id="387" w:name="_Toc17338"/>
      <w:bookmarkStart w:id="388" w:name="_Toc7857"/>
      <w:bookmarkStart w:id="389" w:name="_Toc9416"/>
      <w:bookmarkStart w:id="390" w:name="_Toc383891181"/>
      <w:bookmarkStart w:id="391" w:name="_Toc390098432"/>
      <w:bookmarkStart w:id="392" w:name="_Toc6671"/>
      <w:bookmarkStart w:id="393" w:name="_Toc14123"/>
      <w:bookmarkStart w:id="394" w:name="_Toc31743"/>
      <w:bookmarkStart w:id="395" w:name="_Toc3799"/>
      <w:bookmarkStart w:id="396" w:name="_Toc22295"/>
      <w:bookmarkStart w:id="397" w:name="_Toc20685"/>
      <w:bookmarkStart w:id="398" w:name="_Toc26974"/>
      <w:bookmarkStart w:id="399" w:name="_Toc12983518"/>
      <w:bookmarkStart w:id="400" w:name="_Toc17526"/>
      <w:bookmarkStart w:id="401" w:name="_Toc3813"/>
      <w:bookmarkStart w:id="402" w:name="_Toc26482"/>
      <w:bookmarkStart w:id="403" w:name="_Toc24264"/>
      <w:bookmarkStart w:id="404" w:name="_Toc385427806"/>
      <w:bookmarkStart w:id="405" w:name="_Toc375039077"/>
      <w:bookmarkStart w:id="406" w:name="_Toc25750604"/>
      <w:bookmarkStart w:id="407" w:name="_Toc16653"/>
      <w:bookmarkStart w:id="408" w:name="_Toc25820"/>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tabs>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12.1 本项目采用不含税报价。</w:t>
      </w:r>
      <w:r>
        <w:rPr>
          <w:rFonts w:hint="eastAsia" w:ascii="宋体" w:hAnsi="宋体"/>
          <w:b/>
          <w:bCs/>
          <w:color w:val="auto"/>
          <w:highlight w:val="none"/>
        </w:rPr>
        <w:t>含税报价为合同暂定价，</w:t>
      </w:r>
      <w:r>
        <w:rPr>
          <w:rFonts w:hint="eastAsia" w:ascii="宋体" w:hAnsi="宋体"/>
          <w:color w:val="auto"/>
          <w:highlight w:val="none"/>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12.2 比选申请报价应包括完成所有项目内容及质量保证期服务等履行合同标的全过程产生的所有成本、利润、税金及其他费用等全部费用以及比选申请人应承担的费用。</w:t>
      </w:r>
    </w:p>
    <w:p>
      <w:pPr>
        <w:tabs>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完成项目、服务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.4</w:t>
      </w:r>
      <w:r>
        <w:rPr>
          <w:rFonts w:hint="eastAsia" w:ascii="宋体" w:hAnsi="宋体"/>
          <w:color w:val="auto"/>
          <w:highlight w:val="none"/>
        </w:rPr>
        <w:t xml:space="preserve"> 同一规格、型号的货物、材料在各分项报价中应为同一单价。比选申请人对每种货物(指完全相同的同一货物)只允许有一个报价，如有不同报价，则以最低报价为准。</w:t>
      </w:r>
    </w:p>
    <w:p>
      <w:pPr>
        <w:tabs>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5</w:t>
      </w:r>
      <w:r>
        <w:rPr>
          <w:rFonts w:hint="eastAsia" w:ascii="宋体" w:hAnsi="宋体"/>
          <w:color w:val="auto"/>
          <w:highlight w:val="none"/>
        </w:rPr>
        <w:t xml:space="preserve"> 项目不接受比选申请人免费、赠送、打折提供任何形式的产品、部件和服务。</w:t>
      </w:r>
    </w:p>
    <w:p>
      <w:pPr>
        <w:tabs>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6</w:t>
      </w:r>
      <w:r>
        <w:rPr>
          <w:rFonts w:hint="eastAsia" w:ascii="宋体" w:hAnsi="宋体"/>
          <w:color w:val="auto"/>
          <w:highlight w:val="none"/>
        </w:rPr>
        <w:t xml:space="preserve"> 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hint="eastAsia" w:ascii="宋体" w:hAnsi="宋体"/>
          <w:b/>
          <w:bCs/>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7</w:t>
      </w:r>
      <w:r>
        <w:rPr>
          <w:rFonts w:hint="eastAsia" w:ascii="宋体" w:hAnsi="宋体"/>
          <w:b/>
          <w:bCs/>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8</w:t>
      </w:r>
      <w:r>
        <w:rPr>
          <w:rFonts w:hint="eastAsia" w:ascii="宋体" w:hAnsi="宋体"/>
          <w:color w:val="auto"/>
          <w:highlight w:val="none"/>
        </w:rPr>
        <w:t xml:space="preserve">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9</w:t>
      </w:r>
      <w:r>
        <w:rPr>
          <w:rFonts w:hint="eastAsia" w:ascii="宋体" w:hAnsi="宋体"/>
          <w:color w:val="auto"/>
          <w:highlight w:val="none"/>
        </w:rPr>
        <w:t xml:space="preserve">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409" w:name="_Toc375039078"/>
      <w:bookmarkStart w:id="410" w:name="_Toc26064"/>
      <w:bookmarkStart w:id="411" w:name="_Toc25750605"/>
      <w:bookmarkStart w:id="412" w:name="_Toc5828"/>
      <w:bookmarkStart w:id="413" w:name="_Toc21706"/>
      <w:bookmarkStart w:id="414" w:name="_Toc20156"/>
      <w:bookmarkStart w:id="415" w:name="_Toc15940"/>
      <w:bookmarkStart w:id="416" w:name="_Toc7428"/>
      <w:bookmarkStart w:id="417" w:name="_Toc18875"/>
      <w:bookmarkStart w:id="418" w:name="_Toc2710"/>
      <w:bookmarkStart w:id="419" w:name="_Toc12762"/>
      <w:bookmarkStart w:id="420" w:name="_Toc10220"/>
      <w:bookmarkStart w:id="421" w:name="_Toc1664"/>
      <w:bookmarkStart w:id="422" w:name="_Toc28880"/>
      <w:bookmarkStart w:id="423" w:name="_Toc21430"/>
      <w:bookmarkStart w:id="424" w:name="_Toc385427807"/>
      <w:bookmarkStart w:id="425" w:name="_Toc28476"/>
      <w:bookmarkStart w:id="426" w:name="_Toc12983519"/>
      <w:bookmarkStart w:id="427" w:name="_Toc390098433"/>
      <w:bookmarkStart w:id="428" w:name="_Toc383891182"/>
      <w:bookmarkStart w:id="429" w:name="_Toc25459"/>
      <w:bookmarkStart w:id="430" w:name="_Toc492478732"/>
      <w:bookmarkStart w:id="431" w:name="_Toc12947"/>
      <w:bookmarkStart w:id="432" w:name="_Toc21448"/>
      <w:bookmarkStart w:id="433" w:name="_Toc5836"/>
      <w:r>
        <w:rPr>
          <w:rFonts w:ascii="宋体" w:hAnsi="宋体"/>
          <w:color w:val="auto"/>
          <w:sz w:val="21"/>
          <w:szCs w:val="21"/>
          <w:highlight w:val="none"/>
        </w:rPr>
        <w:t>比选申请货币</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434" w:name="_Toc12049"/>
      <w:bookmarkStart w:id="435" w:name="_Toc6471"/>
      <w:bookmarkStart w:id="436" w:name="_Toc390098436"/>
      <w:bookmarkStart w:id="437" w:name="_Toc385427810"/>
      <w:bookmarkStart w:id="438" w:name="_Toc27508"/>
      <w:bookmarkStart w:id="439" w:name="_Toc24199"/>
      <w:bookmarkStart w:id="440" w:name="_Toc14922"/>
      <w:bookmarkStart w:id="441" w:name="_Toc22051"/>
      <w:bookmarkStart w:id="442" w:name="_Toc12983520"/>
      <w:bookmarkStart w:id="443" w:name="_Toc14309"/>
      <w:bookmarkStart w:id="444" w:name="_Toc25750606"/>
      <w:bookmarkStart w:id="445" w:name="_Toc16314"/>
      <w:bookmarkStart w:id="446" w:name="_Toc9237"/>
      <w:bookmarkStart w:id="447" w:name="_Toc28665"/>
      <w:bookmarkStart w:id="448" w:name="_Toc1530"/>
      <w:bookmarkStart w:id="449" w:name="_Toc30606"/>
      <w:bookmarkStart w:id="450" w:name="_Toc11690"/>
      <w:bookmarkStart w:id="451" w:name="_Toc375039081"/>
      <w:bookmarkStart w:id="452" w:name="_Toc30040"/>
      <w:bookmarkStart w:id="453" w:name="_Toc492478735"/>
      <w:bookmarkStart w:id="454" w:name="_Toc7417"/>
      <w:bookmarkStart w:id="455" w:name="_Toc5974"/>
      <w:bookmarkStart w:id="456" w:name="_Toc383891185"/>
      <w:bookmarkStart w:id="457" w:name="_Toc30848"/>
      <w:bookmarkStart w:id="458" w:name="_Toc1624"/>
      <w:r>
        <w:rPr>
          <w:rFonts w:ascii="宋体" w:hAnsi="宋体"/>
          <w:color w:val="auto"/>
          <w:sz w:val="21"/>
          <w:szCs w:val="21"/>
          <w:highlight w:val="none"/>
        </w:rPr>
        <w:t>比选保证金</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6"/>
        <w:spacing w:before="0" w:after="0" w:afterAutospacing="0"/>
        <w:ind w:left="0" w:right="0" w:firstLine="422" w:firstLineChars="200"/>
        <w:rPr>
          <w:rFonts w:ascii="宋体" w:hAnsi="宋体"/>
          <w:color w:val="auto"/>
          <w:sz w:val="21"/>
          <w:szCs w:val="21"/>
          <w:highlight w:val="none"/>
        </w:rPr>
      </w:pPr>
      <w:bookmarkStart w:id="459" w:name="_Toc28555"/>
      <w:bookmarkStart w:id="460" w:name="_Toc4433"/>
      <w:bookmarkStart w:id="461" w:name="_Toc492478736"/>
      <w:bookmarkStart w:id="462" w:name="_Toc24656"/>
      <w:bookmarkStart w:id="463" w:name="_Toc7808"/>
      <w:bookmarkStart w:id="464" w:name="_Toc20070"/>
      <w:bookmarkStart w:id="465" w:name="_Toc2268"/>
      <w:bookmarkStart w:id="466" w:name="_Toc1604"/>
      <w:bookmarkStart w:id="467" w:name="_Toc25750607"/>
      <w:bookmarkStart w:id="468" w:name="_Toc691"/>
      <w:bookmarkStart w:id="469" w:name="_Toc10918"/>
      <w:bookmarkStart w:id="470" w:name="_Toc385427811"/>
      <w:bookmarkStart w:id="471" w:name="_Toc14588"/>
      <w:bookmarkStart w:id="472" w:name="_Toc5690"/>
      <w:bookmarkStart w:id="473" w:name="_Toc375039082"/>
      <w:bookmarkStart w:id="474" w:name="_Toc390098437"/>
      <w:bookmarkStart w:id="475" w:name="_Toc23114"/>
      <w:bookmarkStart w:id="476" w:name="_Toc28997"/>
      <w:bookmarkStart w:id="477" w:name="_Toc20493"/>
      <w:bookmarkStart w:id="478" w:name="_Toc20643"/>
      <w:bookmarkStart w:id="479" w:name="_Toc30499"/>
      <w:bookmarkStart w:id="480" w:name="_Toc9117"/>
      <w:bookmarkStart w:id="481" w:name="_Toc383891186"/>
      <w:bookmarkStart w:id="482" w:name="_Toc845"/>
      <w:bookmarkStart w:id="483" w:name="_Toc12983521"/>
      <w:r>
        <w:rPr>
          <w:rFonts w:hint="eastAsia" w:ascii="宋体" w:hAnsi="宋体"/>
          <w:color w:val="auto"/>
          <w:sz w:val="21"/>
          <w:szCs w:val="21"/>
          <w:highlight w:val="none"/>
        </w:rPr>
        <w:t>15.</w:t>
      </w:r>
      <w:r>
        <w:rPr>
          <w:rFonts w:ascii="宋体" w:hAnsi="宋体"/>
          <w:color w:val="auto"/>
          <w:sz w:val="21"/>
          <w:szCs w:val="21"/>
          <w:highlight w:val="none"/>
        </w:rPr>
        <w:t>比选申请有效期</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2" w:firstLineChars="200"/>
        <w:rPr>
          <w:rFonts w:ascii="宋体" w:hAnsi="宋体"/>
          <w:b/>
          <w:bCs/>
          <w:color w:val="auto"/>
          <w:highlight w:val="none"/>
        </w:rPr>
      </w:pPr>
      <w:bookmarkStart w:id="484" w:name="_Toc27730"/>
      <w:bookmarkStart w:id="485" w:name="_Toc19044"/>
      <w:bookmarkStart w:id="486" w:name="_Toc32525"/>
      <w:bookmarkStart w:id="487" w:name="_Toc383891187"/>
      <w:bookmarkStart w:id="488" w:name="_Toc8100"/>
      <w:bookmarkStart w:id="489" w:name="_Toc25468"/>
      <w:bookmarkStart w:id="490" w:name="_Toc385427812"/>
      <w:bookmarkStart w:id="491" w:name="_Toc492478737"/>
      <w:bookmarkStart w:id="492" w:name="_Toc25684"/>
      <w:bookmarkStart w:id="493" w:name="_Toc12506"/>
      <w:bookmarkStart w:id="494" w:name="_Toc3414"/>
      <w:bookmarkStart w:id="495" w:name="_Toc32020"/>
      <w:bookmarkStart w:id="496" w:name="_Toc29108"/>
      <w:bookmarkStart w:id="497" w:name="_Toc375039083"/>
      <w:bookmarkStart w:id="498" w:name="_Toc19603"/>
      <w:bookmarkStart w:id="499" w:name="_Toc390098438"/>
      <w:bookmarkStart w:id="500" w:name="_Toc24922"/>
      <w:bookmarkStart w:id="501" w:name="_Toc301"/>
      <w:bookmarkStart w:id="502" w:name="_Toc6065"/>
      <w:bookmarkStart w:id="503" w:name="_Toc12435"/>
      <w:bookmarkStart w:id="504" w:name="_Toc4216"/>
      <w:bookmarkStart w:id="505" w:name="_Toc12983522"/>
      <w:bookmarkStart w:id="506" w:name="_Toc14672"/>
      <w:r>
        <w:rPr>
          <w:rFonts w:hint="eastAsia" w:ascii="宋体" w:hAnsi="宋体"/>
          <w:b/>
          <w:bCs/>
          <w:color w:val="auto"/>
          <w:highlight w:val="none"/>
        </w:rPr>
        <w:t xml:space="preserve">16. </w:t>
      </w:r>
      <w:r>
        <w:rPr>
          <w:rFonts w:ascii="宋体" w:hAnsi="宋体"/>
          <w:b/>
          <w:bCs/>
          <w:color w:val="auto"/>
          <w:highlight w:val="none"/>
        </w:rPr>
        <w:t>比选申请文件的制作和签署</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16.1 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质文件不符以纸质文件为准。比选申请文件要按照资格审查文件、资信文件、价格文件和技术文件四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507" w:name="_Toc383891188"/>
      <w:bookmarkStart w:id="508" w:name="_Toc375039084"/>
      <w:bookmarkStart w:id="509" w:name="_Toc385427813"/>
      <w:bookmarkStart w:id="510" w:name="_Toc390098439"/>
      <w:bookmarkStart w:id="511" w:name="_Toc492478738"/>
      <w:bookmarkStart w:id="512" w:name="_Toc5192"/>
      <w:bookmarkStart w:id="513" w:name="_Toc16409"/>
      <w:bookmarkStart w:id="514" w:name="_Toc1952"/>
      <w:bookmarkStart w:id="515" w:name="_Toc2113"/>
      <w:bookmarkStart w:id="516" w:name="_Toc19475"/>
      <w:bookmarkStart w:id="517" w:name="_Toc32054"/>
      <w:bookmarkStart w:id="518" w:name="_Toc18322"/>
      <w:bookmarkStart w:id="519" w:name="_Toc4496"/>
      <w:bookmarkStart w:id="520" w:name="_Toc1315"/>
      <w:bookmarkStart w:id="521" w:name="_Toc759"/>
      <w:bookmarkStart w:id="522" w:name="_Toc15116"/>
      <w:bookmarkStart w:id="523" w:name="_Toc9858"/>
      <w:bookmarkStart w:id="524" w:name="_Toc6101"/>
      <w:bookmarkStart w:id="525" w:name="_Toc24846"/>
      <w:bookmarkStart w:id="526" w:name="_Toc23177"/>
      <w:bookmarkStart w:id="527" w:name="_Toc2975"/>
      <w:bookmarkStart w:id="528" w:name="_Toc30962"/>
      <w:bookmarkStart w:id="529" w:name="_Toc30452"/>
      <w:bookmarkStart w:id="530" w:name="_Toc12983523"/>
      <w:bookmarkStart w:id="531" w:name="_Toc10234"/>
      <w:bookmarkStart w:id="532" w:name="_Toc1955"/>
      <w:bookmarkStart w:id="533" w:name="_Toc30187"/>
      <w:bookmarkStart w:id="534" w:name="_Toc21587"/>
      <w:bookmarkStart w:id="535" w:name="_Toc26551"/>
      <w:bookmarkStart w:id="536" w:name="_Toc26776"/>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507"/>
      <w:bookmarkEnd w:id="508"/>
      <w:bookmarkEnd w:id="509"/>
      <w:bookmarkEnd w:id="510"/>
      <w:r>
        <w:rPr>
          <w:rFonts w:hint="eastAsia" w:ascii="宋体" w:hAnsi="宋体" w:eastAsia="宋体"/>
          <w:color w:val="auto"/>
          <w:sz w:val="24"/>
          <w:szCs w:val="24"/>
          <w:highlight w:val="none"/>
        </w:rPr>
        <w:t>的密封和递交</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537" w:name="_Toc605"/>
      <w:bookmarkStart w:id="538" w:name="_Toc15650"/>
      <w:bookmarkStart w:id="539" w:name="_Toc390098440"/>
      <w:bookmarkStart w:id="540" w:name="_Toc383891189"/>
      <w:bookmarkStart w:id="541" w:name="_Toc25750609"/>
      <w:bookmarkStart w:id="542" w:name="_Toc26249"/>
      <w:bookmarkStart w:id="543" w:name="_Toc492478739"/>
      <w:bookmarkStart w:id="544" w:name="_Toc375039085"/>
      <w:bookmarkStart w:id="545" w:name="_Toc15735"/>
      <w:bookmarkStart w:id="546" w:name="_Toc13875"/>
      <w:bookmarkStart w:id="547" w:name="_Toc17200"/>
      <w:bookmarkStart w:id="548" w:name="_Toc19495"/>
      <w:bookmarkStart w:id="549" w:name="_Toc12117"/>
      <w:bookmarkStart w:id="550" w:name="_Toc12983524"/>
      <w:bookmarkStart w:id="551" w:name="_Toc15663"/>
      <w:bookmarkStart w:id="552" w:name="_Toc385427814"/>
      <w:bookmarkStart w:id="553" w:name="_Toc12329"/>
      <w:bookmarkStart w:id="554" w:name="_Toc30196"/>
      <w:bookmarkStart w:id="555" w:name="_Toc18616"/>
      <w:bookmarkStart w:id="556" w:name="_Toc9307"/>
      <w:bookmarkStart w:id="557" w:name="_Toc24648"/>
      <w:bookmarkStart w:id="558" w:name="_Toc15071"/>
      <w:bookmarkStart w:id="559" w:name="_Toc5922"/>
      <w:bookmarkStart w:id="560" w:name="_Toc13829"/>
      <w:bookmarkStart w:id="561" w:name="_Toc13621"/>
      <w:r>
        <w:rPr>
          <w:rFonts w:hint="eastAsia" w:ascii="宋体" w:hAnsi="宋体" w:eastAsia="宋体" w:cs="宋体"/>
          <w:color w:val="auto"/>
          <w:sz w:val="21"/>
          <w:szCs w:val="21"/>
          <w:highlight w:val="none"/>
        </w:rPr>
        <w:t>17. 比选申请文件</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bookmarkStart w:id="562" w:name="_Toc390098441"/>
      <w:bookmarkStart w:id="563" w:name="_Toc375039086"/>
      <w:bookmarkStart w:id="564" w:name="_Toc385427815"/>
      <w:bookmarkStart w:id="565" w:name="_Toc383891190"/>
      <w:r>
        <w:rPr>
          <w:rFonts w:hint="eastAsia" w:ascii="宋体" w:hAnsi="宋体" w:eastAsia="宋体" w:cs="宋体"/>
          <w:color w:val="auto"/>
          <w:highlight w:val="none"/>
        </w:rPr>
        <w:t>17.1 封装方式</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（2）比选申请人可将比选申请文件封装为1个包，其中价格文件还需独立密封成包。</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17.2 所有密封箱/袋都应具有下列识别标志：</w:t>
      </w:r>
    </w:p>
    <w:p>
      <w:pPr>
        <w:tabs>
          <w:tab w:val="left" w:pos="1155"/>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（1）项目名称：</w:t>
      </w:r>
      <w:r>
        <w:rPr>
          <w:rFonts w:hint="eastAsia" w:ascii="宋体" w:hAnsi="宋体" w:eastAsia="宋体" w:cs="宋体"/>
          <w:color w:val="auto"/>
          <w:highlight w:val="none"/>
          <w:lang w:eastAsia="zh-CN"/>
        </w:rPr>
        <w:t>运营公司档案委外整理及数字化加工服务采购项目（2024年—2026年）</w:t>
      </w:r>
      <w:r>
        <w:rPr>
          <w:rFonts w:hint="eastAsia" w:ascii="宋体" w:hAnsi="宋体" w:eastAsia="宋体" w:cs="宋体"/>
          <w:color w:val="auto"/>
          <w:highlight w:val="none"/>
        </w:rPr>
        <w:t>；</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（2）项目编号：202</w:t>
      </w:r>
      <w:r>
        <w:rPr>
          <w:rFonts w:hint="eastAsia" w:ascii="宋体" w:hAnsi="宋体" w:cs="宋体"/>
          <w:color w:val="auto"/>
          <w:highlight w:val="none"/>
          <w:lang w:val="en-US" w:eastAsia="zh-CN"/>
        </w:rPr>
        <w:t>40130</w:t>
      </w:r>
      <w:r>
        <w:rPr>
          <w:rFonts w:hint="eastAsia" w:ascii="宋体" w:hAnsi="宋体" w:eastAsia="宋体" w:cs="宋体"/>
          <w:color w:val="auto"/>
          <w:highlight w:val="none"/>
        </w:rPr>
        <w:t>000</w:t>
      </w:r>
      <w:r>
        <w:rPr>
          <w:rFonts w:hint="eastAsia" w:ascii="宋体" w:hAnsi="宋体" w:cs="宋体"/>
          <w:color w:val="auto"/>
          <w:highlight w:val="none"/>
          <w:lang w:val="en-US" w:eastAsia="zh-CN"/>
        </w:rPr>
        <w:t>1</w:t>
      </w:r>
      <w:r>
        <w:rPr>
          <w:rFonts w:hint="eastAsia" w:ascii="宋体" w:hAnsi="宋体" w:eastAsia="宋体" w:cs="宋体"/>
          <w:color w:val="auto"/>
          <w:highlight w:val="none"/>
        </w:rPr>
        <w:t>；</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17.3 所有密封箱/袋上均应写明比选申请人的名称与地址，以便比选申请被宣布迟到时，能原封退回。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 如果密封箱/袋上没有按上述规定密封并加写标志，比选人将不承担比选申请文件错放或提前开封的责任，由此造成的提前开封的比选申请文件，比选人将予以拒绝，并退还给比选申请人。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hint="eastAsia" w:ascii="宋体" w:hAnsi="宋体" w:eastAsia="宋体" w:cs="宋体"/>
          <w:color w:val="auto"/>
          <w:sz w:val="21"/>
          <w:szCs w:val="21"/>
          <w:highlight w:val="none"/>
        </w:rPr>
      </w:pPr>
      <w:bookmarkStart w:id="566" w:name="_Toc6482"/>
      <w:bookmarkStart w:id="567" w:name="_Toc27069"/>
      <w:bookmarkStart w:id="568" w:name="_Toc16755"/>
      <w:bookmarkStart w:id="569" w:name="_Toc28071"/>
      <w:bookmarkStart w:id="570" w:name="_Toc492478740"/>
      <w:bookmarkStart w:id="571" w:name="_Toc6339"/>
      <w:bookmarkStart w:id="572" w:name="_Toc16266"/>
      <w:bookmarkStart w:id="573" w:name="_Toc23859"/>
      <w:bookmarkStart w:id="574" w:name="_Toc22445"/>
      <w:bookmarkStart w:id="575" w:name="_Toc11096"/>
      <w:bookmarkStart w:id="576" w:name="_Toc12983525"/>
      <w:bookmarkStart w:id="577" w:name="_Toc25750610"/>
      <w:bookmarkStart w:id="578" w:name="_Toc642"/>
      <w:bookmarkStart w:id="579" w:name="_Toc22180"/>
      <w:bookmarkStart w:id="580" w:name="_Toc32760"/>
      <w:bookmarkStart w:id="581" w:name="_Toc11255"/>
      <w:bookmarkStart w:id="582" w:name="_Toc4735"/>
      <w:bookmarkStart w:id="583" w:name="_Toc2337"/>
      <w:bookmarkStart w:id="584" w:name="_Toc13883"/>
      <w:bookmarkStart w:id="585" w:name="_Toc16818"/>
      <w:bookmarkStart w:id="586" w:name="_Toc11039"/>
      <w:r>
        <w:rPr>
          <w:rFonts w:hint="eastAsia" w:ascii="宋体" w:hAnsi="宋体" w:eastAsia="宋体" w:cs="宋体"/>
          <w:color w:val="auto"/>
          <w:sz w:val="21"/>
          <w:szCs w:val="21"/>
          <w:highlight w:val="none"/>
        </w:rPr>
        <w:t>比选申请截止期</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18.1 所有比选申请文件应派专人送交，并须按“比选申请须知前附表”中规定的比选申请截止时间前送至比选文件规定的地点。如有必要，比选申请人可事先自行到该场地进行察看。</w:t>
      </w:r>
    </w:p>
    <w:p>
      <w:pPr>
        <w:tabs>
          <w:tab w:val="left" w:pos="1134"/>
          <w:tab w:val="left" w:pos="8364"/>
        </w:tabs>
        <w:spacing w:before="0" w:after="0" w:afterAutospacing="0"/>
        <w:ind w:left="0" w:right="0"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18.2 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18.3 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hint="eastAsia" w:ascii="宋体" w:hAnsi="宋体" w:eastAsia="宋体" w:cs="宋体"/>
          <w:color w:val="auto"/>
          <w:sz w:val="21"/>
          <w:szCs w:val="21"/>
          <w:highlight w:val="none"/>
        </w:rPr>
      </w:pPr>
      <w:bookmarkStart w:id="587" w:name="_Toc21960"/>
      <w:bookmarkStart w:id="588" w:name="_Toc385427816"/>
      <w:bookmarkStart w:id="589" w:name="_Toc10818"/>
      <w:bookmarkStart w:id="590" w:name="_Toc12983526"/>
      <w:bookmarkStart w:id="591" w:name="_Toc390098442"/>
      <w:bookmarkStart w:id="592" w:name="_Toc15252"/>
      <w:bookmarkStart w:id="593" w:name="_Toc18963"/>
      <w:bookmarkStart w:id="594" w:name="_Toc25750611"/>
      <w:bookmarkStart w:id="595" w:name="_Toc29473"/>
      <w:bookmarkStart w:id="596" w:name="_Toc23404"/>
      <w:bookmarkStart w:id="597" w:name="_Toc29066"/>
      <w:bookmarkStart w:id="598" w:name="_Toc32252"/>
      <w:bookmarkStart w:id="599" w:name="_Toc3597"/>
      <w:bookmarkStart w:id="600" w:name="_Toc13581"/>
      <w:bookmarkStart w:id="601" w:name="_Toc32621"/>
      <w:bookmarkStart w:id="602" w:name="_Toc2226"/>
      <w:bookmarkStart w:id="603" w:name="_Toc26431"/>
      <w:bookmarkStart w:id="604" w:name="_Toc383891191"/>
      <w:bookmarkStart w:id="605" w:name="_Toc375039087"/>
      <w:bookmarkStart w:id="606" w:name="_Toc11373"/>
      <w:bookmarkStart w:id="607" w:name="_Toc492478741"/>
      <w:bookmarkStart w:id="608" w:name="_Toc14239"/>
      <w:bookmarkStart w:id="609" w:name="_Toc9522"/>
      <w:bookmarkStart w:id="610" w:name="_Toc22945"/>
      <w:bookmarkStart w:id="611" w:name="_Toc324"/>
      <w:r>
        <w:rPr>
          <w:rFonts w:hint="eastAsia" w:ascii="宋体" w:hAnsi="宋体" w:eastAsia="宋体" w:cs="宋体"/>
          <w:color w:val="auto"/>
          <w:sz w:val="21"/>
          <w:szCs w:val="21"/>
          <w:highlight w:val="none"/>
        </w:rPr>
        <w:t>迟交的比选申请文件</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19.1 比选人将拒绝并原封退回在本须知18.1条规定的比选申请截止时间后收到的任何比选申请文件。</w:t>
      </w:r>
    </w:p>
    <w:p>
      <w:pPr>
        <w:pStyle w:val="6"/>
        <w:numPr>
          <w:ilvl w:val="0"/>
          <w:numId w:val="4"/>
        </w:numPr>
        <w:spacing w:before="0" w:after="0" w:afterAutospacing="0"/>
        <w:ind w:left="0" w:right="0" w:firstLine="422" w:firstLineChars="200"/>
        <w:rPr>
          <w:rFonts w:hint="eastAsia" w:ascii="宋体" w:hAnsi="宋体" w:eastAsia="宋体" w:cs="宋体"/>
          <w:color w:val="auto"/>
          <w:sz w:val="21"/>
          <w:szCs w:val="21"/>
          <w:highlight w:val="none"/>
        </w:rPr>
      </w:pPr>
      <w:bookmarkStart w:id="612" w:name="_Toc26282"/>
      <w:bookmarkStart w:id="613" w:name="_Toc4605"/>
      <w:bookmarkStart w:id="614" w:name="_Toc14522"/>
      <w:bookmarkStart w:id="615" w:name="_Toc390098443"/>
      <w:bookmarkStart w:id="616" w:name="_Toc21796"/>
      <w:bookmarkStart w:id="617" w:name="_Toc31033"/>
      <w:bookmarkStart w:id="618" w:name="_Toc12983527"/>
      <w:bookmarkStart w:id="619" w:name="_Toc14411"/>
      <w:bookmarkStart w:id="620" w:name="_Toc23449"/>
      <w:bookmarkStart w:id="621" w:name="_Toc28452"/>
      <w:bookmarkStart w:id="622" w:name="_Toc25427"/>
      <w:bookmarkStart w:id="623" w:name="_Toc8636"/>
      <w:bookmarkStart w:id="624" w:name="_Toc24030"/>
      <w:bookmarkStart w:id="625" w:name="_Toc383891192"/>
      <w:bookmarkStart w:id="626" w:name="_Toc25750612"/>
      <w:bookmarkStart w:id="627" w:name="_Toc9706"/>
      <w:bookmarkStart w:id="628" w:name="_Toc12682"/>
      <w:bookmarkStart w:id="629" w:name="_Toc17797"/>
      <w:bookmarkStart w:id="630" w:name="_Toc25824"/>
      <w:bookmarkStart w:id="631" w:name="_Toc385427817"/>
      <w:bookmarkStart w:id="632" w:name="_Toc375039088"/>
      <w:bookmarkStart w:id="633" w:name="_Toc29208"/>
      <w:bookmarkStart w:id="634" w:name="_Toc27195"/>
      <w:bookmarkStart w:id="635" w:name="_Toc492478742"/>
      <w:bookmarkStart w:id="636" w:name="_Toc243"/>
      <w:r>
        <w:rPr>
          <w:rFonts w:hint="eastAsia" w:ascii="宋体" w:hAnsi="宋体" w:eastAsia="宋体" w:cs="宋体"/>
          <w:color w:val="auto"/>
          <w:sz w:val="21"/>
          <w:szCs w:val="21"/>
          <w:highlight w:val="none"/>
        </w:rPr>
        <w:t>比选申请文件的修改和撤回</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20.1 比选申请人在提交比选申请文件后可对其比选申请文件进行修改或撤回，但该修改或撤回的书面通知须在比选申请截止时间之前送达比选单位；且该通知需经正式授权的比选申请人代表签字方为有效。</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20.2 比选申请人对比选申请文件修改的书面材料或撤回的通知应按本比选申请须知16和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"_尻깃匡숭돨쵱룐뵨깃션"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17条</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20.3 比选申请截止时间以后比选申请人不得修改比选申请文件。</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20.4 比选申请人不得在比选申请截止时间至比选申请有效期期满前撤销比选申请文件。否则比选人有权要求比选申请人对损失给予赔偿。</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637" w:name="_Toc12983528"/>
      <w:bookmarkStart w:id="638" w:name="_Toc390098444"/>
      <w:bookmarkStart w:id="639" w:name="_Toc24485"/>
      <w:bookmarkStart w:id="640" w:name="_Toc9728"/>
      <w:bookmarkStart w:id="641" w:name="_Toc28694"/>
      <w:bookmarkStart w:id="642" w:name="_Toc29264"/>
      <w:bookmarkStart w:id="643" w:name="_Toc385427818"/>
      <w:bookmarkStart w:id="644" w:name="_Toc9549"/>
      <w:bookmarkStart w:id="645" w:name="_Toc31978"/>
      <w:bookmarkStart w:id="646" w:name="_Toc16856"/>
      <w:bookmarkStart w:id="647" w:name="_Toc22587"/>
      <w:bookmarkStart w:id="648" w:name="_Toc375039089"/>
      <w:bookmarkStart w:id="649" w:name="_Toc3006"/>
      <w:bookmarkStart w:id="650" w:name="_Toc11529"/>
      <w:bookmarkStart w:id="651" w:name="_Toc5592"/>
      <w:bookmarkStart w:id="652" w:name="_Toc492478743"/>
      <w:bookmarkStart w:id="653" w:name="_Toc18076"/>
      <w:bookmarkStart w:id="654" w:name="_Toc12182"/>
      <w:bookmarkStart w:id="655" w:name="_Toc4291"/>
      <w:bookmarkStart w:id="656" w:name="_Toc25433"/>
      <w:bookmarkStart w:id="657" w:name="_Toc10325"/>
      <w:bookmarkStart w:id="658" w:name="_Toc383891193"/>
      <w:bookmarkStart w:id="659" w:name="_Toc2306"/>
      <w:bookmarkStart w:id="660" w:name="_Toc27216"/>
      <w:bookmarkStart w:id="661" w:name="_Toc5443"/>
      <w:bookmarkStart w:id="662" w:name="_Toc16854"/>
      <w:bookmarkStart w:id="663" w:name="_Toc8913"/>
      <w:bookmarkStart w:id="664" w:name="_Toc20085"/>
      <w:bookmarkStart w:id="665" w:name="_Toc1172"/>
      <w:bookmarkStart w:id="666" w:name="_Toc9086"/>
      <w:r>
        <w:rPr>
          <w:rFonts w:hint="eastAsia" w:ascii="宋体" w:hAnsi="宋体" w:eastAsia="宋体"/>
          <w:color w:val="auto"/>
          <w:sz w:val="24"/>
          <w:szCs w:val="24"/>
          <w:highlight w:val="none"/>
        </w:rPr>
        <w:t>五、</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Fonts w:hint="eastAsia" w:ascii="宋体" w:hAnsi="宋体" w:eastAsia="宋体"/>
          <w:color w:val="auto"/>
          <w:sz w:val="24"/>
          <w:szCs w:val="24"/>
          <w:highlight w:val="none"/>
        </w:rPr>
        <w:t>比选申请文件递交与评审</w:t>
      </w:r>
      <w:bookmarkEnd w:id="660"/>
      <w:bookmarkEnd w:id="661"/>
      <w:bookmarkEnd w:id="662"/>
      <w:bookmarkEnd w:id="663"/>
      <w:bookmarkEnd w:id="664"/>
      <w:bookmarkEnd w:id="665"/>
      <w:bookmarkEnd w:id="666"/>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667" w:name="_Toc385427819"/>
      <w:bookmarkStart w:id="668" w:name="_Toc4365"/>
      <w:bookmarkStart w:id="669" w:name="_Toc383891194"/>
      <w:bookmarkStart w:id="670" w:name="_Toc23705"/>
      <w:bookmarkStart w:id="671" w:name="_Toc25116"/>
      <w:bookmarkStart w:id="672" w:name="_Toc10292"/>
      <w:bookmarkStart w:id="673" w:name="_Toc4674"/>
      <w:bookmarkStart w:id="674" w:name="_Toc9309"/>
      <w:bookmarkStart w:id="675" w:name="_Toc375039090"/>
      <w:bookmarkStart w:id="676" w:name="_Toc6839"/>
      <w:bookmarkStart w:id="677" w:name="_Toc895"/>
      <w:bookmarkStart w:id="678" w:name="_Toc6377"/>
      <w:bookmarkStart w:id="679" w:name="_Toc18919"/>
      <w:bookmarkStart w:id="680" w:name="_Toc6974"/>
      <w:bookmarkStart w:id="681" w:name="_Toc24196"/>
      <w:bookmarkStart w:id="682" w:name="_Toc4825"/>
      <w:bookmarkStart w:id="683" w:name="_Toc4638"/>
      <w:bookmarkStart w:id="684" w:name="_Toc12983529"/>
      <w:bookmarkStart w:id="685" w:name="_Toc390098445"/>
      <w:bookmarkStart w:id="686" w:name="_Toc492478744"/>
      <w:bookmarkStart w:id="687" w:name="_Toc10883"/>
      <w:bookmarkStart w:id="688" w:name="_Toc5182"/>
      <w:bookmarkStart w:id="689" w:name="_Toc9264"/>
      <w:bookmarkStart w:id="690" w:name="_Toc13120"/>
      <w:bookmarkStart w:id="691" w:name="_Toc25750614"/>
      <w:r>
        <w:rPr>
          <w:rFonts w:hint="eastAsia" w:ascii="宋体" w:hAnsi="宋体" w:eastAsia="宋体" w:cs="宋体"/>
          <w:color w:val="auto"/>
          <w:sz w:val="21"/>
          <w:szCs w:val="21"/>
          <w:highlight w:val="none"/>
        </w:rPr>
        <w:t>21.</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Fonts w:hint="eastAsia" w:ascii="宋体" w:hAnsi="宋体" w:eastAsia="宋体" w:cs="宋体"/>
          <w:color w:val="auto"/>
          <w:sz w:val="21"/>
          <w:szCs w:val="21"/>
          <w:highlight w:val="none"/>
        </w:rPr>
        <w:t>比选申请文件递交</w:t>
      </w:r>
      <w:bookmarkEnd w:id="690"/>
      <w:bookmarkEnd w:id="691"/>
    </w:p>
    <w:p>
      <w:pPr>
        <w:tabs>
          <w:tab w:val="left" w:pos="945"/>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21.1 比选人将按本须知18.1条项规定的时间和地址，对所有按时递交并已签收达三个或以上比选申请人的比选申请文件进行核查。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比选申请文件有下列情形之一的，比选人应当拒收：</w:t>
      </w:r>
    </w:p>
    <w:p>
      <w:pPr>
        <w:snapToGrid w:val="0"/>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21.1.1逾期送达的或者未送达指定地点的比选申请文件；</w:t>
      </w:r>
    </w:p>
    <w:p>
      <w:pPr>
        <w:snapToGrid w:val="0"/>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21.1.2比选申请文件外包封未按比选文件要求密封的。</w:t>
      </w:r>
    </w:p>
    <w:p>
      <w:pPr>
        <w:tabs>
          <w:tab w:val="left" w:pos="945"/>
          <w:tab w:val="left" w:pos="1134"/>
          <w:tab w:val="left" w:pos="8364"/>
        </w:tabs>
        <w:spacing w:before="0" w:after="0" w:afterAutospacing="0"/>
        <w:ind w:left="0" w:right="0"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21.2 比选申请人的法定代表人或其授权代表（以下统称“比选申请人代表”）必须在出示本人有效身份证（限中国公民居民身份证、外籍有效护照，下同）的原件，比选申请人授权代表还必须同时出示比选申请授权书原件，以证明授权代表的身份和被授权范围，并由比选人验证确认。</w:t>
      </w:r>
      <w:bookmarkStart w:id="692" w:name="_Toc251051540"/>
      <w:r>
        <w:rPr>
          <w:rFonts w:hint="eastAsia" w:ascii="宋体" w:hAnsi="宋体" w:eastAsia="宋体" w:cs="宋体"/>
          <w:b/>
          <w:color w:val="auto"/>
          <w:highlight w:val="none"/>
        </w:rPr>
        <w:t>否则作无效比选文件处理</w:t>
      </w:r>
      <w:bookmarkEnd w:id="692"/>
      <w:r>
        <w:rPr>
          <w:rFonts w:hint="eastAsia" w:ascii="宋体" w:hAnsi="宋体" w:eastAsia="宋体" w:cs="宋体"/>
          <w:b/>
          <w:color w:val="auto"/>
          <w:highlight w:val="none"/>
        </w:rPr>
        <w:t>。</w:t>
      </w:r>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693" w:name="_Toc390098446"/>
      <w:bookmarkStart w:id="694" w:name="_Toc375039091"/>
      <w:bookmarkStart w:id="695" w:name="_Toc383891195"/>
      <w:bookmarkStart w:id="696" w:name="_Toc385427820"/>
      <w:bookmarkStart w:id="697" w:name="_Toc23699"/>
      <w:bookmarkStart w:id="698" w:name="_Toc5267"/>
      <w:bookmarkStart w:id="699" w:name="_Toc27636"/>
      <w:bookmarkStart w:id="700" w:name="_Toc25270"/>
      <w:bookmarkStart w:id="701" w:name="_Toc9391"/>
      <w:bookmarkStart w:id="702" w:name="_Toc15466"/>
      <w:bookmarkStart w:id="703" w:name="_Toc21819"/>
      <w:bookmarkStart w:id="704" w:name="_Toc24687"/>
      <w:bookmarkStart w:id="705" w:name="_Toc11013"/>
      <w:bookmarkStart w:id="706" w:name="_Toc30671"/>
      <w:bookmarkStart w:id="707" w:name="_Toc17785"/>
      <w:bookmarkStart w:id="708" w:name="_Toc25750615"/>
      <w:bookmarkStart w:id="709" w:name="_Toc492478745"/>
      <w:bookmarkStart w:id="710" w:name="_Toc11263"/>
      <w:bookmarkStart w:id="711" w:name="_Toc12983530"/>
      <w:bookmarkStart w:id="712" w:name="_Toc30485"/>
      <w:bookmarkStart w:id="713" w:name="_Toc16601"/>
      <w:bookmarkStart w:id="714" w:name="_Toc16068"/>
      <w:bookmarkStart w:id="715" w:name="_Toc1920"/>
      <w:bookmarkStart w:id="716" w:name="_Toc13202"/>
      <w:bookmarkStart w:id="717" w:name="_Toc24630"/>
      <w:r>
        <w:rPr>
          <w:rFonts w:hint="eastAsia" w:ascii="宋体" w:hAnsi="宋体" w:eastAsia="宋体" w:cs="宋体"/>
          <w:color w:val="auto"/>
          <w:sz w:val="21"/>
          <w:szCs w:val="21"/>
          <w:highlight w:val="none"/>
        </w:rPr>
        <w:t>22.评审</w:t>
      </w:r>
      <w:bookmarkEnd w:id="693"/>
      <w:bookmarkEnd w:id="694"/>
      <w:bookmarkEnd w:id="695"/>
      <w:bookmarkEnd w:id="696"/>
      <w:r>
        <w:rPr>
          <w:rFonts w:hint="eastAsia" w:ascii="宋体" w:hAnsi="宋体" w:eastAsia="宋体" w:cs="宋体"/>
          <w:color w:val="auto"/>
          <w:sz w:val="21"/>
          <w:szCs w:val="21"/>
          <w:highlight w:val="none"/>
        </w:rPr>
        <w:t>程序</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tabs>
          <w:tab w:val="left" w:pos="8364"/>
        </w:tabs>
        <w:spacing w:before="0" w:after="0" w:afterAutospacing="0"/>
        <w:ind w:left="0" w:right="0" w:firstLine="420" w:firstLineChars="200"/>
        <w:rPr>
          <w:rFonts w:hint="eastAsia" w:ascii="宋体" w:hAnsi="宋体" w:eastAsia="宋体" w:cs="宋体"/>
          <w:b/>
          <w:color w:val="auto"/>
          <w:highlight w:val="none"/>
        </w:rPr>
      </w:pPr>
      <w:bookmarkStart w:id="718" w:name="_Toc375039092"/>
      <w:r>
        <w:rPr>
          <w:rFonts w:hint="eastAsia" w:ascii="宋体" w:hAnsi="宋体" w:eastAsia="宋体" w:cs="宋体"/>
          <w:color w:val="auto"/>
          <w:highlight w:val="none"/>
        </w:rPr>
        <w:t>详见第六章《评审办法》。</w:t>
      </w:r>
      <w:bookmarkEnd w:id="718"/>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719" w:name="_Toc18803"/>
      <w:bookmarkStart w:id="720" w:name="_Toc25047"/>
      <w:bookmarkStart w:id="721" w:name="_Toc26137"/>
      <w:bookmarkStart w:id="722" w:name="_Toc375039093"/>
      <w:bookmarkStart w:id="723" w:name="_Toc25750616"/>
      <w:bookmarkStart w:id="724" w:name="_Toc383891196"/>
      <w:bookmarkStart w:id="725" w:name="_Toc5386"/>
      <w:bookmarkStart w:id="726" w:name="_Toc8295"/>
      <w:bookmarkStart w:id="727" w:name="_Toc12983531"/>
      <w:bookmarkStart w:id="728" w:name="_Toc29929"/>
      <w:bookmarkStart w:id="729" w:name="_Toc385427821"/>
      <w:bookmarkStart w:id="730" w:name="_Toc1456"/>
      <w:bookmarkStart w:id="731" w:name="_Toc24755"/>
      <w:bookmarkStart w:id="732" w:name="_Toc16072"/>
      <w:bookmarkStart w:id="733" w:name="_Toc833"/>
      <w:bookmarkStart w:id="734" w:name="_Toc14719"/>
      <w:bookmarkStart w:id="735" w:name="_Toc13421"/>
      <w:bookmarkStart w:id="736" w:name="_Toc390098447"/>
      <w:bookmarkStart w:id="737" w:name="_Toc6936"/>
      <w:bookmarkStart w:id="738" w:name="_Toc17980"/>
      <w:bookmarkStart w:id="739" w:name="_Toc11716"/>
      <w:bookmarkStart w:id="740" w:name="_Toc18063"/>
      <w:bookmarkStart w:id="741" w:name="_Toc15"/>
      <w:bookmarkStart w:id="742" w:name="_Toc27570"/>
      <w:bookmarkStart w:id="743" w:name="_Toc492478746"/>
      <w:r>
        <w:rPr>
          <w:rFonts w:hint="eastAsia" w:ascii="宋体" w:hAnsi="宋体" w:eastAsia="宋体" w:cs="宋体"/>
          <w:color w:val="auto"/>
          <w:sz w:val="21"/>
          <w:szCs w:val="21"/>
          <w:highlight w:val="none"/>
        </w:rPr>
        <w:t>与比选人和评审委员会的接触</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23.1 从比选申请截止日起至授予合同期间，未经书面要求，比选申请人不得就与其比选申请文件有关的事项与评审委员会、比选人接触（包括直接接触或间接接触）。</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23.2 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23.3 比选申请人不得以任何方式干扰比选人的比选和评审活动，否则其比选申请无效并追究其法律责任。</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23.4 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744" w:name="_Toc9941"/>
      <w:bookmarkStart w:id="745" w:name="_Toc12960"/>
      <w:bookmarkStart w:id="746" w:name="_Toc15988"/>
      <w:bookmarkStart w:id="747" w:name="_Toc12555"/>
      <w:bookmarkStart w:id="748" w:name="_Toc9602"/>
      <w:bookmarkStart w:id="749" w:name="_Toc16963"/>
      <w:bookmarkStart w:id="750" w:name="_Toc12671"/>
      <w:bookmarkStart w:id="751" w:name="_Toc654"/>
      <w:bookmarkStart w:id="752" w:name="_Toc25734"/>
      <w:bookmarkStart w:id="753" w:name="_Toc19810"/>
      <w:bookmarkStart w:id="754" w:name="_Toc383891197"/>
      <w:bookmarkStart w:id="755" w:name="_Toc18515"/>
      <w:bookmarkStart w:id="756" w:name="_Toc30207"/>
      <w:bookmarkStart w:id="757" w:name="_Toc12909"/>
      <w:bookmarkStart w:id="758" w:name="_Toc385427822"/>
      <w:bookmarkStart w:id="759" w:name="_Toc9872"/>
      <w:bookmarkStart w:id="760" w:name="_Toc20523"/>
      <w:bookmarkStart w:id="761" w:name="_Toc21167"/>
      <w:bookmarkStart w:id="762" w:name="_Toc7858"/>
      <w:bookmarkStart w:id="763" w:name="_Toc29504"/>
      <w:bookmarkStart w:id="764" w:name="_Toc12983532"/>
      <w:bookmarkStart w:id="765" w:name="_Toc390098448"/>
      <w:bookmarkStart w:id="766" w:name="_Toc25750617"/>
      <w:bookmarkStart w:id="767" w:name="_Toc492478747"/>
      <w:bookmarkStart w:id="768" w:name="_Toc378514937"/>
      <w:bookmarkStart w:id="769" w:name="_Toc375039094"/>
      <w:bookmarkStart w:id="770" w:name="_Toc294723156"/>
      <w:r>
        <w:rPr>
          <w:rFonts w:hint="eastAsia" w:ascii="宋体" w:hAnsi="宋体" w:eastAsia="宋体" w:cs="宋体"/>
          <w:color w:val="auto"/>
          <w:sz w:val="21"/>
          <w:szCs w:val="21"/>
          <w:highlight w:val="none"/>
        </w:rPr>
        <w:t>评审过程保密</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771" w:name="_Toc25750618"/>
      <w:bookmarkStart w:id="772" w:name="_Toc5983"/>
      <w:bookmarkStart w:id="773" w:name="_Toc27670"/>
      <w:bookmarkStart w:id="774" w:name="_Toc492478748"/>
      <w:bookmarkStart w:id="775" w:name="_Toc23267"/>
      <w:bookmarkStart w:id="776" w:name="_Toc390098449"/>
      <w:bookmarkStart w:id="777" w:name="_Toc13768"/>
      <w:bookmarkStart w:id="778" w:name="_Toc24327"/>
      <w:bookmarkStart w:id="779" w:name="_Toc385427823"/>
      <w:bookmarkStart w:id="780" w:name="_Toc1983"/>
      <w:bookmarkStart w:id="781" w:name="_Toc30429"/>
      <w:bookmarkStart w:id="782" w:name="_Toc11077"/>
      <w:bookmarkStart w:id="783" w:name="_Toc22510"/>
      <w:bookmarkStart w:id="784" w:name="_Toc8827"/>
      <w:bookmarkStart w:id="785" w:name="_Toc28843"/>
      <w:bookmarkStart w:id="786" w:name="_Toc14799"/>
      <w:bookmarkStart w:id="787" w:name="_Toc13072"/>
      <w:bookmarkStart w:id="788" w:name="_Toc28701"/>
      <w:bookmarkStart w:id="789" w:name="_Toc14860"/>
      <w:bookmarkStart w:id="790" w:name="_Toc13743"/>
      <w:bookmarkStart w:id="791" w:name="_Toc28898"/>
      <w:bookmarkStart w:id="792" w:name="_Toc383891198"/>
      <w:bookmarkStart w:id="793" w:name="_Toc12983533"/>
      <w:bookmarkStart w:id="794" w:name="_Toc6624"/>
      <w:r>
        <w:rPr>
          <w:rFonts w:hint="eastAsia" w:ascii="宋体" w:hAnsi="宋体" w:eastAsia="宋体" w:cs="宋体"/>
          <w:color w:val="auto"/>
          <w:sz w:val="21"/>
          <w:szCs w:val="21"/>
          <w:highlight w:val="none"/>
        </w:rPr>
        <w:t>比选申请文件的澄清</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795" w:name="_Toc5607"/>
      <w:bookmarkStart w:id="796" w:name="_Toc492478749"/>
      <w:bookmarkStart w:id="797" w:name="_Toc5437"/>
      <w:bookmarkStart w:id="798" w:name="_Toc383891199"/>
      <w:bookmarkStart w:id="799" w:name="_Toc25750619"/>
      <w:bookmarkStart w:id="800" w:name="_Toc5926"/>
      <w:bookmarkStart w:id="801" w:name="_Toc26070"/>
      <w:bookmarkStart w:id="802" w:name="_Toc22681"/>
      <w:bookmarkStart w:id="803" w:name="_Toc20519"/>
      <w:bookmarkStart w:id="804" w:name="_Toc1915"/>
      <w:bookmarkStart w:id="805" w:name="_Toc12983534"/>
      <w:bookmarkStart w:id="806" w:name="_Toc385427824"/>
      <w:bookmarkStart w:id="807" w:name="_Toc11781"/>
      <w:bookmarkStart w:id="808" w:name="_Toc12795"/>
      <w:bookmarkStart w:id="809" w:name="_Toc18093"/>
      <w:bookmarkStart w:id="810" w:name="_Toc9040"/>
      <w:bookmarkStart w:id="811" w:name="_Toc26318"/>
      <w:bookmarkStart w:id="812" w:name="_Toc29146"/>
      <w:bookmarkStart w:id="813" w:name="_Toc4397"/>
      <w:bookmarkStart w:id="814" w:name="_Toc6908"/>
      <w:bookmarkStart w:id="815" w:name="_Toc28992"/>
      <w:bookmarkStart w:id="816" w:name="_Toc390098450"/>
      <w:bookmarkStart w:id="817" w:name="_Toc16884"/>
      <w:bookmarkStart w:id="818" w:name="_Toc30017"/>
      <w:r>
        <w:rPr>
          <w:rFonts w:hint="eastAsia" w:ascii="宋体" w:hAnsi="宋体" w:eastAsia="宋体" w:cs="宋体"/>
          <w:color w:val="auto"/>
          <w:sz w:val="21"/>
          <w:szCs w:val="21"/>
          <w:highlight w:val="none"/>
        </w:rPr>
        <w:t>比选申请文件响应性的确定</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819" w:name="_Toc23956"/>
      <w:bookmarkStart w:id="820" w:name="_Toc20874"/>
      <w:bookmarkStart w:id="821" w:name="_Toc20912"/>
      <w:bookmarkStart w:id="822" w:name="_Toc17236"/>
      <w:bookmarkStart w:id="823" w:name="_Toc19477"/>
      <w:bookmarkStart w:id="824" w:name="_Toc5180"/>
      <w:bookmarkStart w:id="825" w:name="_Toc22063"/>
      <w:bookmarkStart w:id="826" w:name="_Toc26239"/>
      <w:bookmarkStart w:id="827" w:name="_Toc492478750"/>
      <w:bookmarkStart w:id="828" w:name="_Toc1027"/>
      <w:bookmarkStart w:id="829" w:name="_Toc390098451"/>
      <w:bookmarkStart w:id="830" w:name="_Toc25750620"/>
      <w:bookmarkStart w:id="831" w:name="_Toc15051"/>
      <w:bookmarkStart w:id="832" w:name="_Toc23999"/>
      <w:bookmarkStart w:id="833" w:name="_Toc20810"/>
      <w:bookmarkStart w:id="834" w:name="_Toc12983535"/>
      <w:bookmarkStart w:id="835" w:name="_Toc31646"/>
      <w:bookmarkStart w:id="836" w:name="_Toc23808"/>
      <w:bookmarkStart w:id="837" w:name="_Toc383891200"/>
      <w:bookmarkStart w:id="838" w:name="_Toc29398"/>
      <w:bookmarkStart w:id="839" w:name="_Toc385427825"/>
      <w:bookmarkStart w:id="840" w:name="_Toc22146"/>
      <w:bookmarkStart w:id="841" w:name="_Toc21468"/>
      <w:bookmarkStart w:id="842" w:name="_Toc12167"/>
      <w:r>
        <w:rPr>
          <w:rFonts w:hint="eastAsia" w:ascii="宋体" w:hAnsi="宋体" w:eastAsia="宋体" w:cs="宋体"/>
          <w:color w:val="auto"/>
          <w:sz w:val="21"/>
          <w:szCs w:val="21"/>
          <w:highlight w:val="none"/>
        </w:rPr>
        <w:t>比选申请文件计算错误的修正</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27.1 比选申请报价大写金额与小写金额不一致的，以大写金额为准；总价金额与单价乘以数量的合计计算出的结果不一致的，以单价为准修正总价，但单价金额小数点有明显错误的除外。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bookmarkStart w:id="843" w:name="_Toc25750621"/>
      <w:bookmarkStart w:id="844" w:name="_Toc390098452"/>
      <w:bookmarkStart w:id="845" w:name="_Toc383891201"/>
      <w:bookmarkStart w:id="846" w:name="_Toc22994"/>
      <w:bookmarkStart w:id="847" w:name="_Toc19936"/>
      <w:bookmarkStart w:id="848" w:name="_Toc16418"/>
      <w:bookmarkStart w:id="849" w:name="_Toc9737"/>
      <w:bookmarkStart w:id="850" w:name="_Toc24176"/>
      <w:bookmarkStart w:id="851" w:name="_Toc29276"/>
      <w:bookmarkStart w:id="852" w:name="_Toc385427826"/>
      <w:bookmarkStart w:id="853" w:name="_Toc8959"/>
      <w:bookmarkStart w:id="854" w:name="_Toc20444"/>
      <w:bookmarkStart w:id="855" w:name="_Toc3258"/>
      <w:bookmarkStart w:id="856" w:name="_Toc5319"/>
      <w:bookmarkStart w:id="857" w:name="_Toc23907"/>
      <w:bookmarkStart w:id="858" w:name="_Toc29446"/>
      <w:bookmarkStart w:id="859" w:name="_Toc1004"/>
      <w:bookmarkStart w:id="860" w:name="_Toc27112"/>
      <w:bookmarkStart w:id="861" w:name="_Toc4958"/>
      <w:bookmarkStart w:id="862" w:name="_Toc9812"/>
      <w:bookmarkStart w:id="863" w:name="_Toc20881"/>
      <w:bookmarkStart w:id="864" w:name="_Toc492478751"/>
      <w:bookmarkStart w:id="865" w:name="_Toc12983536"/>
      <w:bookmarkStart w:id="866" w:name="_Toc20854"/>
      <w:r>
        <w:rPr>
          <w:rFonts w:hint="eastAsia" w:ascii="宋体" w:hAnsi="宋体" w:eastAsia="宋体" w:cs="宋体"/>
          <w:color w:val="auto"/>
          <w:highlight w:val="none"/>
        </w:rPr>
        <w:t>27.2 按上述修正错误的原则及方法修正后的总价经比选申请人书面确认后作为评审价，比选申请人不接受修正价格的，其比选申请将按否决比选申请处理。评审总价以比选申请人修正后的总价为准。</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比选申请文件的评价与比较</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28.2 评审将按《评审办法》规定执行。</w:t>
      </w:r>
      <w:bookmarkEnd w:id="768"/>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867" w:name="_Toc15146"/>
      <w:bookmarkStart w:id="868" w:name="_Toc507"/>
      <w:bookmarkStart w:id="869" w:name="_Toc11657"/>
      <w:bookmarkStart w:id="870" w:name="_Toc8845"/>
      <w:bookmarkStart w:id="871" w:name="_Toc14300"/>
      <w:bookmarkStart w:id="872" w:name="_Toc12983537"/>
      <w:bookmarkStart w:id="873" w:name="_Toc19322"/>
      <w:bookmarkStart w:id="874" w:name="_Toc11010"/>
      <w:bookmarkStart w:id="875" w:name="_Toc17460"/>
      <w:bookmarkStart w:id="876" w:name="_Toc3358"/>
      <w:bookmarkStart w:id="877" w:name="_Toc385427827"/>
      <w:bookmarkStart w:id="878" w:name="_Toc383891202"/>
      <w:bookmarkStart w:id="879" w:name="_Toc492478752"/>
      <w:bookmarkStart w:id="880" w:name="_Toc32344"/>
      <w:bookmarkStart w:id="881" w:name="_Toc22500"/>
      <w:bookmarkStart w:id="882" w:name="_Toc8074"/>
      <w:bookmarkStart w:id="883" w:name="_Toc27289"/>
      <w:bookmarkStart w:id="884" w:name="_Toc1450"/>
      <w:bookmarkStart w:id="885" w:name="_Toc28489"/>
      <w:bookmarkStart w:id="886" w:name="_Toc25750622"/>
      <w:bookmarkStart w:id="887" w:name="_Toc7756"/>
      <w:bookmarkStart w:id="888" w:name="_Toc390098453"/>
      <w:bookmarkStart w:id="889" w:name="_Toc31774"/>
      <w:bookmarkStart w:id="890" w:name="_Toc27803"/>
      <w:r>
        <w:rPr>
          <w:rFonts w:hint="eastAsia" w:ascii="宋体" w:hAnsi="宋体" w:eastAsia="宋体" w:cs="宋体"/>
          <w:color w:val="auto"/>
          <w:sz w:val="21"/>
          <w:szCs w:val="21"/>
          <w:highlight w:val="none"/>
        </w:rPr>
        <w:t>定标</w:t>
      </w:r>
      <w:bookmarkEnd w:id="769"/>
      <w:bookmarkEnd w:id="770"/>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07" w:firstLineChars="194"/>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29.1 经评审后，评审委员会将综合得分最高的比选申请人推荐为中选候选人。得分相同的，以评审委员会以记名投票的方式按少数服从多数的原则决定其排名顺序。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29.2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29.3比选申请人应确保提供的资料真实无误，如有弄虚作假的情况，一经查实，取消比选申请资格，已经中选的取消中选资格。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29.4比选人确定的中选人必须按有关规定进行公示。</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29.5评审委员会评审结束后，比选人经审查发现评审过程中有明显错误，可以组织原评审委员会进行复评。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891" w:name="_Toc19634"/>
      <w:bookmarkStart w:id="892" w:name="_Toc12983538"/>
      <w:bookmarkStart w:id="893" w:name="_Toc385427828"/>
      <w:bookmarkStart w:id="894" w:name="_Toc18192"/>
      <w:bookmarkStart w:id="895" w:name="_Toc17823"/>
      <w:bookmarkStart w:id="896" w:name="_Toc13986"/>
      <w:bookmarkStart w:id="897" w:name="_Toc21142"/>
      <w:bookmarkStart w:id="898" w:name="_Toc16732"/>
      <w:bookmarkStart w:id="899" w:name="_Toc26470"/>
      <w:bookmarkStart w:id="900" w:name="_Toc22182"/>
      <w:bookmarkStart w:id="901" w:name="_Toc5172"/>
      <w:bookmarkStart w:id="902" w:name="_Toc27664"/>
      <w:bookmarkStart w:id="903" w:name="_Toc21947"/>
      <w:bookmarkStart w:id="904" w:name="_Toc492478753"/>
      <w:bookmarkStart w:id="905" w:name="_Toc375039095"/>
      <w:bookmarkStart w:id="906" w:name="_Toc5257"/>
      <w:bookmarkStart w:id="907" w:name="_Toc390098454"/>
      <w:bookmarkStart w:id="908" w:name="_Toc1215"/>
      <w:bookmarkStart w:id="909" w:name="_Toc3761"/>
      <w:bookmarkStart w:id="910" w:name="_Toc14042"/>
      <w:bookmarkStart w:id="911" w:name="_Toc37"/>
      <w:bookmarkStart w:id="912" w:name="_Toc383891203"/>
      <w:bookmarkStart w:id="913" w:name="_Toc15932"/>
      <w:bookmarkStart w:id="914" w:name="_Toc25750623"/>
      <w:bookmarkStart w:id="915" w:name="_Toc4536"/>
      <w:r>
        <w:rPr>
          <w:rFonts w:hint="eastAsia" w:ascii="宋体" w:hAnsi="宋体" w:eastAsia="宋体" w:cs="宋体"/>
          <w:color w:val="auto"/>
          <w:sz w:val="21"/>
          <w:szCs w:val="21"/>
          <w:highlight w:val="none"/>
        </w:rPr>
        <w:t>重新</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Fonts w:hint="eastAsia" w:ascii="宋体" w:hAnsi="宋体" w:eastAsia="宋体" w:cs="宋体"/>
          <w:color w:val="auto"/>
          <w:sz w:val="21"/>
          <w:szCs w:val="21"/>
          <w:highlight w:val="none"/>
        </w:rPr>
        <w:t>比选</w:t>
      </w:r>
      <w:bookmarkEnd w:id="914"/>
      <w:bookmarkEnd w:id="915"/>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出现下列特殊情况之一时，可重新比选：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30.1在比选申请截止时间到达时提交比选申请文件的比选申请人不足3家的；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30.2评审委员会否决不合格比选申请或者界定为否决比选申请后，因有效比选申请不足三家使得比选申请明显缺乏竞争性的（当有效比选申请只剩余两家时，评审委员会认为剩余的比选申请文件仍具有竞争性的，应继续评审）；</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30.3评审委员会决定否决全部比选申请的；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30.4中选候选人均放弃中选资格的；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30.5根据本须知15.2条规定，所有中选候选人均不同意在比选申请有效期内延长比选申请有效期的。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30.6比选文件中规定的其他情况。</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916" w:name="_Toc390098455"/>
      <w:bookmarkStart w:id="917" w:name="_Toc14235"/>
      <w:bookmarkStart w:id="918" w:name="_Toc383891204"/>
      <w:bookmarkStart w:id="919" w:name="_Toc1945"/>
      <w:bookmarkStart w:id="920" w:name="_Toc26919"/>
      <w:bookmarkStart w:id="921" w:name="_Toc25257"/>
      <w:bookmarkStart w:id="922" w:name="_Toc6886"/>
      <w:bookmarkStart w:id="923" w:name="_Toc12031"/>
      <w:bookmarkStart w:id="924" w:name="_Toc12983539"/>
      <w:bookmarkStart w:id="925" w:name="_Toc375039096"/>
      <w:bookmarkStart w:id="926" w:name="_Toc26954"/>
      <w:bookmarkStart w:id="927" w:name="_Toc10962"/>
      <w:bookmarkStart w:id="928" w:name="_Toc2422"/>
      <w:bookmarkStart w:id="929" w:name="_Toc492478754"/>
      <w:bookmarkStart w:id="930" w:name="_Toc385427829"/>
      <w:bookmarkStart w:id="931" w:name="_Toc3769"/>
      <w:bookmarkStart w:id="932" w:name="_Toc17042"/>
      <w:bookmarkStart w:id="933" w:name="_Toc31757"/>
      <w:bookmarkStart w:id="934" w:name="_Toc14454"/>
      <w:bookmarkStart w:id="935" w:name="_Toc5959"/>
      <w:bookmarkStart w:id="936" w:name="_Toc20979"/>
      <w:bookmarkStart w:id="937" w:name="_Toc11126"/>
      <w:bookmarkStart w:id="938" w:name="_Toc1116"/>
      <w:bookmarkStart w:id="939" w:name="_Toc13092"/>
      <w:bookmarkStart w:id="940" w:name="_Toc25750624"/>
      <w:r>
        <w:rPr>
          <w:rFonts w:hint="eastAsia" w:ascii="宋体" w:hAnsi="宋体" w:eastAsia="宋体" w:cs="宋体"/>
          <w:color w:val="auto"/>
          <w:sz w:val="21"/>
          <w:szCs w:val="21"/>
          <w:highlight w:val="none"/>
        </w:rPr>
        <w:t>不再</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Fonts w:hint="eastAsia" w:ascii="宋体" w:hAnsi="宋体" w:eastAsia="宋体" w:cs="宋体"/>
          <w:color w:val="auto"/>
          <w:sz w:val="21"/>
          <w:szCs w:val="21"/>
          <w:highlight w:val="none"/>
        </w:rPr>
        <w:t>比选</w:t>
      </w:r>
      <w:bookmarkEnd w:id="939"/>
      <w:bookmarkEnd w:id="940"/>
    </w:p>
    <w:p>
      <w:pPr>
        <w:tabs>
          <w:tab w:val="left" w:pos="1155"/>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项目比选发布信息后比选申请人少于三个或所有比选申请被否决的，比选人可不再进行比选</w:t>
      </w:r>
      <w:r>
        <w:rPr>
          <w:rFonts w:ascii="宋体" w:hAnsi="宋体"/>
          <w:color w:val="auto"/>
          <w:highlight w:val="none"/>
        </w:rPr>
        <w:t>。</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评审结果公示</w:t>
      </w:r>
    </w:p>
    <w:p>
      <w:pPr>
        <w:pStyle w:val="2"/>
        <w:rPr>
          <w:color w:val="auto"/>
          <w:highlight w:val="none"/>
        </w:rPr>
      </w:pPr>
    </w:p>
    <w:p>
      <w:pPr>
        <w:pStyle w:val="5"/>
        <w:spacing w:after="0" w:afterAutospacing="0" w:line="360" w:lineRule="auto"/>
        <w:ind w:left="0" w:right="0" w:firstLine="420" w:firstLineChars="200"/>
        <w:rPr>
          <w:rFonts w:hint="eastAsia" w:ascii="宋体" w:hAnsi="宋体" w:eastAsia="宋体" w:cs="Times New Roman"/>
          <w:b w:val="0"/>
          <w:color w:val="auto"/>
          <w:sz w:val="21"/>
          <w:szCs w:val="21"/>
          <w:highlight w:val="none"/>
          <w:lang w:val="en-US" w:eastAsia="zh-CN" w:bidi="ar-SA"/>
        </w:rPr>
      </w:pPr>
      <w:bookmarkStart w:id="941" w:name="_Toc375039097"/>
      <w:bookmarkStart w:id="942" w:name="_Toc22975"/>
      <w:bookmarkStart w:id="943" w:name="_Toc14827"/>
      <w:bookmarkStart w:id="944" w:name="_Toc12421"/>
      <w:bookmarkStart w:id="945" w:name="_Toc21516"/>
      <w:bookmarkStart w:id="946" w:name="_Toc24138"/>
      <w:bookmarkStart w:id="947" w:name="_Toc30278"/>
      <w:bookmarkStart w:id="948" w:name="_Toc6573"/>
      <w:bookmarkStart w:id="949" w:name="_Toc383891205"/>
      <w:bookmarkStart w:id="950" w:name="_Toc18800"/>
      <w:bookmarkStart w:id="951" w:name="_Toc9113"/>
      <w:bookmarkStart w:id="952" w:name="_Toc385427830"/>
      <w:bookmarkStart w:id="953" w:name="_Toc19091"/>
      <w:bookmarkStart w:id="954" w:name="_Toc6000"/>
      <w:bookmarkStart w:id="955" w:name="_Toc4743"/>
      <w:bookmarkStart w:id="956" w:name="_Toc8834"/>
      <w:bookmarkStart w:id="957" w:name="_Toc12983540"/>
      <w:bookmarkStart w:id="958" w:name="_Toc26653"/>
      <w:bookmarkStart w:id="959" w:name="_Toc390098456"/>
      <w:bookmarkStart w:id="960" w:name="_Toc2326"/>
      <w:bookmarkStart w:id="961" w:name="_Toc24580"/>
      <w:bookmarkStart w:id="962" w:name="_Toc25431"/>
      <w:bookmarkStart w:id="963" w:name="_Toc31958"/>
      <w:bookmarkStart w:id="964" w:name="_Toc492478755"/>
      <w:bookmarkStart w:id="965" w:name="_Toc19952"/>
      <w:bookmarkStart w:id="966" w:name="_Toc24681"/>
      <w:bookmarkStart w:id="967" w:name="_Toc19966"/>
      <w:bookmarkStart w:id="968" w:name="_Toc27839"/>
      <w:bookmarkStart w:id="969" w:name="_Toc2434"/>
      <w:bookmarkStart w:id="970" w:name="_Toc20748"/>
      <w:r>
        <w:rPr>
          <w:rFonts w:hint="eastAsia" w:ascii="宋体" w:hAnsi="宋体" w:eastAsia="宋体" w:cs="Times New Roman"/>
          <w:b w:val="0"/>
          <w:color w:val="auto"/>
          <w:sz w:val="21"/>
          <w:szCs w:val="21"/>
          <w:highlight w:val="none"/>
          <w:lang w:val="en-US" w:eastAsia="zh-CN" w:bidi="ar-SA"/>
        </w:rPr>
        <w:t>32.1在评审结束经比选人确认后，将在南宁轨道交通集团有限责任公司官方网站（www.nngdjt.com）以结果公示的形式通知各比选申请人评审结果。</w:t>
      </w:r>
    </w:p>
    <w:p>
      <w:pPr>
        <w:pStyle w:val="5"/>
        <w:spacing w:after="0" w:afterAutospacing="0" w:line="360" w:lineRule="auto"/>
        <w:ind w:left="0" w:right="0" w:firstLine="420" w:firstLineChars="200"/>
        <w:rPr>
          <w:rFonts w:hint="eastAsia" w:ascii="宋体" w:hAnsi="宋体" w:eastAsia="宋体" w:cs="Times New Roman"/>
          <w:b w:val="0"/>
          <w:color w:val="auto"/>
          <w:sz w:val="21"/>
          <w:szCs w:val="21"/>
          <w:highlight w:val="none"/>
          <w:lang w:val="en-US" w:eastAsia="zh-CN" w:bidi="ar-SA"/>
        </w:rPr>
      </w:pPr>
      <w:r>
        <w:rPr>
          <w:rFonts w:hint="eastAsia" w:ascii="宋体" w:hAnsi="宋体" w:eastAsia="宋体" w:cs="Times New Roman"/>
          <w:b w:val="0"/>
          <w:color w:val="auto"/>
          <w:sz w:val="21"/>
          <w:szCs w:val="21"/>
          <w:highlight w:val="none"/>
          <w:lang w:val="en-US" w:eastAsia="zh-CN" w:bidi="ar-SA"/>
        </w:rPr>
        <w:t>32.2比选申请人如对评审结果有异议，须按公示规定的时间和方式向比选人提出质疑；比选人在收到书面质疑后5个工作日内作出答复，但答复的内容不得涉及商业秘密。</w:t>
      </w:r>
    </w:p>
    <w:p>
      <w:pPr>
        <w:pStyle w:val="5"/>
        <w:spacing w:after="0" w:afterAutospacing="0" w:line="360" w:lineRule="auto"/>
        <w:ind w:left="0" w:right="0" w:firstLine="482"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971" w:name="_Toc11795"/>
      <w:bookmarkStart w:id="972" w:name="_Toc21728"/>
      <w:bookmarkStart w:id="973" w:name="_Toc30743"/>
      <w:bookmarkStart w:id="974" w:name="_Toc28661"/>
      <w:bookmarkStart w:id="975" w:name="_Toc31011"/>
      <w:bookmarkStart w:id="976" w:name="_Toc22688"/>
      <w:bookmarkStart w:id="977" w:name="_Toc22323"/>
      <w:bookmarkStart w:id="978" w:name="_Toc390098457"/>
      <w:bookmarkStart w:id="979" w:name="_Toc1269"/>
      <w:bookmarkStart w:id="980" w:name="_Toc25750626"/>
      <w:bookmarkStart w:id="981" w:name="_Toc10522"/>
      <w:bookmarkStart w:id="982" w:name="_Toc13914"/>
      <w:bookmarkStart w:id="983" w:name="_Toc8938"/>
      <w:bookmarkStart w:id="984" w:name="_Toc20642"/>
      <w:bookmarkStart w:id="985" w:name="_Toc21975"/>
      <w:bookmarkStart w:id="986" w:name="_Toc385427831"/>
      <w:bookmarkStart w:id="987" w:name="_Toc383891206"/>
      <w:bookmarkStart w:id="988" w:name="_Toc18878"/>
      <w:bookmarkStart w:id="989" w:name="_Toc3447"/>
      <w:bookmarkStart w:id="990" w:name="_Toc375039098"/>
      <w:bookmarkStart w:id="991" w:name="_Toc30026"/>
      <w:bookmarkStart w:id="992" w:name="_Toc26525"/>
      <w:bookmarkStart w:id="993" w:name="_Toc26143"/>
      <w:bookmarkStart w:id="994" w:name="_Toc12983541"/>
      <w:bookmarkStart w:id="995" w:name="_Toc492478756"/>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.合同授予标准</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3</w:t>
      </w:r>
      <w:r>
        <w:rPr>
          <w:rFonts w:hint="eastAsia" w:ascii="宋体" w:hAnsi="宋体" w:eastAsia="宋体" w:cs="宋体"/>
          <w:color w:val="auto"/>
          <w:highlight w:val="none"/>
        </w:rPr>
        <w:t>.1 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3</w:t>
      </w:r>
      <w:r>
        <w:rPr>
          <w:rFonts w:hint="eastAsia" w:ascii="宋体" w:hAnsi="宋体" w:eastAsia="宋体" w:cs="宋体"/>
          <w:color w:val="auto"/>
          <w:highlight w:val="none"/>
        </w:rPr>
        <w:t>.2 如果中选候选人放弃中选候选人资格或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996" w:name="_Toc31336"/>
      <w:bookmarkStart w:id="997" w:name="_Toc25750627"/>
      <w:bookmarkStart w:id="998" w:name="_Toc25797"/>
      <w:bookmarkStart w:id="999" w:name="_Toc17818"/>
      <w:bookmarkStart w:id="1000" w:name="_Toc24183"/>
      <w:bookmarkStart w:id="1001" w:name="_Toc492478757"/>
      <w:bookmarkStart w:id="1002" w:name="_Toc23649"/>
      <w:bookmarkStart w:id="1003" w:name="_Toc11913"/>
      <w:bookmarkStart w:id="1004" w:name="_Toc385427832"/>
      <w:bookmarkStart w:id="1005" w:name="_Toc16111"/>
      <w:bookmarkStart w:id="1006" w:name="_Toc19128"/>
      <w:bookmarkStart w:id="1007" w:name="_Toc1873"/>
      <w:bookmarkStart w:id="1008" w:name="_Toc14301"/>
      <w:bookmarkStart w:id="1009" w:name="_Toc17153"/>
      <w:bookmarkStart w:id="1010" w:name="_Toc383891207"/>
      <w:bookmarkStart w:id="1011" w:name="_Toc14832"/>
      <w:bookmarkStart w:id="1012" w:name="_Toc14325"/>
      <w:bookmarkStart w:id="1013" w:name="_Toc390098458"/>
      <w:bookmarkStart w:id="1014" w:name="_Toc1953"/>
      <w:bookmarkStart w:id="1015" w:name="_Toc12983542"/>
      <w:bookmarkStart w:id="1016" w:name="_Toc377"/>
      <w:bookmarkStart w:id="1017" w:name="_Toc13417"/>
      <w:bookmarkStart w:id="1018" w:name="_Toc18977"/>
      <w:bookmarkStart w:id="1019" w:name="_Toc375039099"/>
      <w:bookmarkStart w:id="1020" w:name="_Toc19774"/>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.接受和否决任何或所有比选申请的权力</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0"/>
        </w:numPr>
        <w:spacing w:before="0" w:after="0" w:afterAutospacing="0"/>
        <w:ind w:leftChars="200" w:right="0" w:rightChars="0"/>
        <w:rPr>
          <w:rFonts w:hint="eastAsia" w:ascii="宋体" w:hAnsi="宋体" w:eastAsia="宋体" w:cs="宋体"/>
          <w:color w:val="auto"/>
          <w:sz w:val="21"/>
          <w:szCs w:val="21"/>
          <w:highlight w:val="none"/>
        </w:rPr>
      </w:pPr>
      <w:bookmarkStart w:id="1021" w:name="_Toc673"/>
      <w:bookmarkStart w:id="1022" w:name="_Toc9636"/>
      <w:bookmarkStart w:id="1023" w:name="_Toc19943"/>
      <w:bookmarkStart w:id="1024" w:name="_Toc21798"/>
      <w:bookmarkStart w:id="1025" w:name="_Toc492478758"/>
      <w:bookmarkStart w:id="1026" w:name="_Toc32424"/>
      <w:bookmarkStart w:id="1027" w:name="_Toc921"/>
      <w:bookmarkStart w:id="1028" w:name="_Toc390098459"/>
      <w:bookmarkStart w:id="1029" w:name="_Toc13605"/>
      <w:bookmarkStart w:id="1030" w:name="_Toc2061"/>
      <w:bookmarkStart w:id="1031" w:name="_Toc27683"/>
      <w:bookmarkStart w:id="1032" w:name="_Toc20680"/>
      <w:bookmarkStart w:id="1033" w:name="_Toc30071"/>
      <w:bookmarkStart w:id="1034" w:name="_Toc22657"/>
      <w:bookmarkStart w:id="1035" w:name="_Toc13596"/>
      <w:bookmarkStart w:id="1036" w:name="_Toc17953"/>
      <w:bookmarkStart w:id="1037" w:name="_Toc5061"/>
      <w:bookmarkStart w:id="1038" w:name="_Toc375039100"/>
      <w:bookmarkStart w:id="1039" w:name="_Toc25750628"/>
      <w:bookmarkStart w:id="1040" w:name="_Toc12983543"/>
      <w:bookmarkStart w:id="1041" w:name="_Toc12065"/>
      <w:bookmarkStart w:id="1042" w:name="_Toc10348"/>
      <w:bookmarkStart w:id="1043" w:name="_Toc19556"/>
      <w:bookmarkStart w:id="1044" w:name="_Toc385427833"/>
      <w:bookmarkStart w:id="1045" w:name="_Toc383891208"/>
      <w:r>
        <w:rPr>
          <w:rFonts w:hint="eastAsia" w:ascii="宋体" w:hAnsi="宋体" w:cs="宋体"/>
          <w:color w:val="auto"/>
          <w:sz w:val="21"/>
          <w:szCs w:val="21"/>
          <w:highlight w:val="none"/>
          <w:lang w:val="en-US" w:eastAsia="zh-CN"/>
        </w:rPr>
        <w:t>35.</w:t>
      </w:r>
      <w:r>
        <w:rPr>
          <w:rFonts w:hint="eastAsia" w:ascii="宋体" w:hAnsi="宋体" w:eastAsia="宋体" w:cs="宋体"/>
          <w:color w:val="auto"/>
          <w:sz w:val="21"/>
          <w:szCs w:val="21"/>
          <w:highlight w:val="none"/>
        </w:rPr>
        <w:t>中选通知书</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5</w:t>
      </w:r>
      <w:r>
        <w:rPr>
          <w:rFonts w:hint="eastAsia" w:ascii="宋体" w:hAnsi="宋体" w:eastAsia="宋体" w:cs="宋体"/>
          <w:color w:val="auto"/>
          <w:highlight w:val="none"/>
        </w:rPr>
        <w:t>.1 在比选申请有效期截止前，在本须知第15条规定的比选申请有效期内，比选人以书面形式向中选人发出中选通知书。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5</w:t>
      </w:r>
      <w:r>
        <w:rPr>
          <w:rFonts w:hint="eastAsia" w:ascii="宋体" w:hAnsi="宋体" w:eastAsia="宋体" w:cs="宋体"/>
          <w:color w:val="auto"/>
          <w:highlight w:val="none"/>
        </w:rPr>
        <w:t>.2 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5</w:t>
      </w:r>
      <w:r>
        <w:rPr>
          <w:rFonts w:hint="eastAsia" w:ascii="宋体" w:hAnsi="宋体" w:eastAsia="宋体" w:cs="宋体"/>
          <w:color w:val="auto"/>
          <w:highlight w:val="none"/>
        </w:rPr>
        <w:t>.3 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5</w:t>
      </w:r>
      <w:r>
        <w:rPr>
          <w:rFonts w:hint="eastAsia" w:ascii="宋体" w:hAnsi="宋体" w:eastAsia="宋体" w:cs="宋体"/>
          <w:color w:val="auto"/>
          <w:highlight w:val="none"/>
        </w:rPr>
        <w:t>.4放弃中选人资格的处罚详见前附表。</w:t>
      </w:r>
    </w:p>
    <w:p>
      <w:pPr>
        <w:pStyle w:val="6"/>
        <w:numPr>
          <w:ilvl w:val="0"/>
          <w:numId w:val="0"/>
        </w:numPr>
        <w:spacing w:before="0" w:after="0" w:afterAutospacing="0"/>
        <w:ind w:leftChars="200" w:right="0" w:rightChars="0"/>
        <w:rPr>
          <w:rFonts w:hint="eastAsia" w:ascii="宋体" w:hAnsi="宋体" w:eastAsia="宋体" w:cs="宋体"/>
          <w:color w:val="auto"/>
          <w:sz w:val="21"/>
          <w:szCs w:val="21"/>
          <w:highlight w:val="none"/>
        </w:rPr>
      </w:pPr>
      <w:bookmarkStart w:id="1046" w:name="_Toc28815"/>
      <w:bookmarkStart w:id="1047" w:name="_Toc21217"/>
      <w:bookmarkStart w:id="1048" w:name="_Toc29993"/>
      <w:bookmarkStart w:id="1049" w:name="_Toc4190"/>
      <w:bookmarkStart w:id="1050" w:name="_Toc385427834"/>
      <w:bookmarkStart w:id="1051" w:name="_Toc390098460"/>
      <w:bookmarkStart w:id="1052" w:name="_Toc12983544"/>
      <w:bookmarkStart w:id="1053" w:name="_Toc24885"/>
      <w:bookmarkStart w:id="1054" w:name="_Toc375039101"/>
      <w:bookmarkStart w:id="1055" w:name="_Toc8628"/>
      <w:bookmarkStart w:id="1056" w:name="_Toc22442"/>
      <w:bookmarkStart w:id="1057" w:name="_Toc492478759"/>
      <w:bookmarkStart w:id="1058" w:name="_Toc383891209"/>
      <w:bookmarkStart w:id="1059" w:name="_Toc2980"/>
      <w:bookmarkStart w:id="1060" w:name="_Toc15048"/>
      <w:bookmarkStart w:id="1061" w:name="_Toc21570"/>
      <w:bookmarkStart w:id="1062" w:name="_Toc5617"/>
      <w:bookmarkStart w:id="1063" w:name="_Toc30862"/>
      <w:bookmarkStart w:id="1064" w:name="_Toc25750629"/>
      <w:bookmarkStart w:id="1065" w:name="_Toc24240"/>
      <w:bookmarkStart w:id="1066" w:name="_Toc1780"/>
      <w:bookmarkStart w:id="1067" w:name="_Toc25208"/>
      <w:bookmarkStart w:id="1068" w:name="_Toc1862"/>
      <w:bookmarkStart w:id="1069" w:name="_Toc5767"/>
      <w:bookmarkStart w:id="1070" w:name="_Toc18694"/>
      <w:r>
        <w:rPr>
          <w:rFonts w:hint="eastAsia" w:ascii="宋体" w:hAnsi="宋体" w:cs="宋体"/>
          <w:color w:val="auto"/>
          <w:sz w:val="21"/>
          <w:szCs w:val="21"/>
          <w:highlight w:val="none"/>
          <w:lang w:val="en-US" w:eastAsia="zh-CN"/>
        </w:rPr>
        <w:t>36.</w:t>
      </w:r>
      <w:r>
        <w:rPr>
          <w:rFonts w:hint="eastAsia" w:ascii="宋体" w:hAnsi="宋体" w:eastAsia="宋体" w:cs="宋体"/>
          <w:color w:val="auto"/>
          <w:sz w:val="21"/>
          <w:szCs w:val="21"/>
          <w:highlight w:val="none"/>
        </w:rPr>
        <w:t>签订合同</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6</w:t>
      </w:r>
      <w:r>
        <w:rPr>
          <w:rFonts w:hint="eastAsia" w:ascii="宋体" w:hAnsi="宋体" w:eastAsia="宋体" w:cs="宋体"/>
          <w:color w:val="auto"/>
          <w:highlight w:val="none"/>
        </w:rPr>
        <w:t>.1 中选人在收到中选通知书后，按比选文件的要求与比选人签订合同。</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6</w:t>
      </w:r>
      <w:r>
        <w:rPr>
          <w:rFonts w:hint="eastAsia" w:ascii="宋体" w:hAnsi="宋体" w:eastAsia="宋体" w:cs="宋体"/>
          <w:color w:val="auto"/>
          <w:highlight w:val="none"/>
        </w:rPr>
        <w:t>.2 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6</w:t>
      </w:r>
      <w:r>
        <w:rPr>
          <w:rFonts w:hint="eastAsia" w:ascii="宋体" w:hAnsi="宋体" w:eastAsia="宋体" w:cs="宋体"/>
          <w:color w:val="auto"/>
          <w:highlight w:val="none"/>
        </w:rPr>
        <w:t>.3 如果中选人没有按照上述第35.1条规定执行，比选人将有充分理由取消该中选决定。在此情况下，比选人可以按照评审委员会提出的中选候选人名单排序依次确定其他中选候选人为中选人，也可以重新比选。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6</w:t>
      </w:r>
      <w:r>
        <w:rPr>
          <w:rFonts w:hint="eastAsia" w:ascii="宋体" w:hAnsi="宋体" w:eastAsia="宋体" w:cs="宋体"/>
          <w:color w:val="auto"/>
          <w:highlight w:val="none"/>
        </w:rPr>
        <w:t>.4 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spacing w:before="0" w:after="0" w:afterAutospacing="0"/>
        <w:ind w:left="0" w:right="0" w:firstLine="422" w:firstLineChars="200"/>
        <w:rPr>
          <w:rFonts w:hint="eastAsia" w:ascii="宋体" w:hAnsi="宋体" w:eastAsia="宋体" w:cs="宋体"/>
          <w:color w:val="auto"/>
          <w:highlight w:val="none"/>
        </w:rPr>
      </w:pPr>
      <w:bookmarkStart w:id="1071" w:name="_Toc23817"/>
      <w:bookmarkStart w:id="1072" w:name="_Toc11079"/>
      <w:bookmarkStart w:id="1073" w:name="_Toc5576"/>
      <w:bookmarkStart w:id="1074" w:name="_Toc17281"/>
      <w:bookmarkStart w:id="1075" w:name="_Toc25632"/>
      <w:bookmarkStart w:id="1076" w:name="_Toc9981"/>
      <w:bookmarkStart w:id="1077" w:name="_Toc24750"/>
      <w:bookmarkStart w:id="1078" w:name="_Toc31814"/>
      <w:bookmarkStart w:id="1079" w:name="_Toc25750630"/>
      <w:bookmarkStart w:id="1080" w:name="_Toc12983545"/>
      <w:bookmarkStart w:id="1081" w:name="_Toc385427835"/>
      <w:bookmarkStart w:id="1082" w:name="_Toc6599"/>
      <w:bookmarkStart w:id="1083" w:name="_Toc375039102"/>
      <w:bookmarkStart w:id="1084" w:name="_Toc9433"/>
      <w:bookmarkStart w:id="1085" w:name="_Toc8104"/>
      <w:bookmarkStart w:id="1086" w:name="_Toc492478760"/>
      <w:bookmarkStart w:id="1087" w:name="_Toc16589"/>
      <w:bookmarkStart w:id="1088" w:name="_Toc11412"/>
      <w:bookmarkStart w:id="1089" w:name="_Toc16371"/>
      <w:bookmarkStart w:id="1090" w:name="_Toc29857"/>
      <w:bookmarkStart w:id="1091" w:name="_Toc20178"/>
      <w:bookmarkStart w:id="1092" w:name="_Toc383891210"/>
      <w:bookmarkStart w:id="1093" w:name="_Toc390098461"/>
      <w:bookmarkStart w:id="1094" w:name="_Toc25483"/>
      <w:r>
        <w:rPr>
          <w:rFonts w:hint="eastAsia" w:ascii="宋体" w:hAnsi="宋体" w:eastAsia="宋体" w:cs="宋体"/>
          <w:b/>
          <w:bCs/>
          <w:color w:val="auto"/>
          <w:highlight w:val="none"/>
        </w:rPr>
        <w:t>3</w:t>
      </w:r>
      <w:r>
        <w:rPr>
          <w:rFonts w:hint="eastAsia" w:ascii="宋体" w:hAnsi="宋体" w:cs="宋体"/>
          <w:b/>
          <w:bCs/>
          <w:color w:val="auto"/>
          <w:highlight w:val="none"/>
          <w:lang w:val="en-US" w:eastAsia="zh-CN"/>
        </w:rPr>
        <w:t>7</w:t>
      </w:r>
      <w:r>
        <w:rPr>
          <w:rFonts w:hint="eastAsia" w:ascii="宋体" w:hAnsi="宋体" w:eastAsia="宋体" w:cs="宋体"/>
          <w:b/>
          <w:bCs/>
          <w:color w:val="auto"/>
          <w:highlight w:val="none"/>
        </w:rPr>
        <w:t>.履约担保</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bookmarkStart w:id="1095" w:name="_Toc375039103"/>
      <w:bookmarkStart w:id="1096" w:name="_Toc390098462"/>
      <w:bookmarkStart w:id="1097" w:name="_Toc25750631"/>
      <w:bookmarkStart w:id="1098" w:name="_Toc16212"/>
      <w:bookmarkStart w:id="1099" w:name="_Toc492478761"/>
      <w:bookmarkStart w:id="1100" w:name="_Toc30169"/>
      <w:bookmarkStart w:id="1101" w:name="_Toc10480"/>
      <w:bookmarkStart w:id="1102" w:name="_Toc383891211"/>
      <w:bookmarkStart w:id="1103" w:name="_Toc24400"/>
      <w:bookmarkStart w:id="1104" w:name="_Toc25990"/>
      <w:bookmarkStart w:id="1105" w:name="_Toc2637"/>
      <w:bookmarkStart w:id="1106" w:name="_Toc11354"/>
      <w:bookmarkStart w:id="1107" w:name="_Toc21294"/>
      <w:bookmarkStart w:id="1108" w:name="_Toc385427836"/>
      <w:bookmarkStart w:id="1109" w:name="_Toc16584"/>
      <w:bookmarkStart w:id="1110" w:name="_Toc13615"/>
      <w:bookmarkStart w:id="1111" w:name="_Toc20351"/>
      <w:bookmarkStart w:id="1112" w:name="_Toc25988"/>
      <w:bookmarkStart w:id="1113" w:name="_Toc19122"/>
      <w:bookmarkStart w:id="1114" w:name="_Toc23115"/>
      <w:bookmarkStart w:id="1115" w:name="_Toc23677"/>
      <w:bookmarkStart w:id="1116" w:name="_Toc12983546"/>
      <w:bookmarkStart w:id="1117" w:name="_Toc10399"/>
      <w:bookmarkStart w:id="1118" w:name="_Toc26808"/>
      <w:bookmarkStart w:id="1119" w:name="_Toc8178"/>
      <w:r>
        <w:rPr>
          <w:rFonts w:hint="eastAsia" w:ascii="宋体" w:hAnsi="宋体" w:eastAsia="宋体" w:cs="宋体"/>
          <w:color w:val="auto"/>
          <w:highlight w:val="none"/>
        </w:rPr>
        <w:t>3</w:t>
      </w:r>
      <w:r>
        <w:rPr>
          <w:rFonts w:hint="eastAsia" w:ascii="宋体" w:hAnsi="宋体" w:cs="宋体"/>
          <w:color w:val="auto"/>
          <w:highlight w:val="none"/>
          <w:lang w:val="en-US" w:eastAsia="zh-CN"/>
        </w:rPr>
        <w:t>7</w:t>
      </w:r>
      <w:r>
        <w:rPr>
          <w:rFonts w:hint="eastAsia" w:ascii="宋体" w:hAnsi="宋体" w:eastAsia="宋体" w:cs="宋体"/>
          <w:color w:val="auto"/>
          <w:highlight w:val="none"/>
        </w:rPr>
        <w:t>.1 在签订合同前，中选人应按比选申请须知前附表中所示履约担保形式、金额及提交时间向比选人提交履约担保。（如为银行保函形式应按比选文件中提供的银行保函格式开具）</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7</w:t>
      </w:r>
      <w:r>
        <w:rPr>
          <w:rFonts w:hint="eastAsia" w:ascii="宋体" w:hAnsi="宋体" w:eastAsia="宋体" w:cs="宋体"/>
          <w:color w:val="auto"/>
          <w:highlight w:val="none"/>
        </w:rPr>
        <w:t>.2 如果中选人没有按照上述第35或36.1条以及本比选文件中有关章节中规定执行，比选人将有充分理由取消该中选决定。在此情况下，比选人可将合同授予排名第二的比选申请人，或重新比选。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7</w:t>
      </w:r>
      <w:r>
        <w:rPr>
          <w:rFonts w:hint="eastAsia" w:ascii="宋体" w:hAnsi="宋体" w:eastAsia="宋体" w:cs="宋体"/>
          <w:color w:val="auto"/>
          <w:highlight w:val="none"/>
        </w:rPr>
        <w:t>.3 履约担保应从生效之日起至全部</w:t>
      </w:r>
      <w:r>
        <w:rPr>
          <w:rFonts w:hint="eastAsia" w:ascii="宋体" w:hAnsi="宋体" w:eastAsia="宋体" w:cs="宋体"/>
          <w:color w:val="auto"/>
          <w:highlight w:val="none"/>
          <w:lang w:val="en-US" w:eastAsia="zh-CN"/>
        </w:rPr>
        <w:t>维保服务内容</w:t>
      </w:r>
      <w:r>
        <w:rPr>
          <w:rFonts w:hint="eastAsia" w:ascii="宋体" w:hAnsi="宋体" w:eastAsia="宋体" w:cs="宋体"/>
          <w:color w:val="auto"/>
          <w:highlight w:val="none"/>
        </w:rPr>
        <w:t>验收合格之日有效（最终验收证书签署之日后四十五（45）天一直有效）。如本项目实际全部</w:t>
      </w:r>
      <w:r>
        <w:rPr>
          <w:rFonts w:hint="eastAsia" w:ascii="宋体" w:hAnsi="宋体" w:eastAsia="宋体" w:cs="宋体"/>
          <w:color w:val="auto"/>
          <w:highlight w:val="none"/>
          <w:lang w:val="en-US" w:eastAsia="zh-CN"/>
        </w:rPr>
        <w:t>维保服务内容</w:t>
      </w:r>
      <w:r>
        <w:rPr>
          <w:rFonts w:hint="eastAsia" w:ascii="宋体" w:hAnsi="宋体" w:eastAsia="宋体" w:cs="宋体"/>
          <w:color w:val="auto"/>
          <w:highlight w:val="none"/>
        </w:rPr>
        <w:t>验收合格日期超出该履约担保写明的日期，则中选人应相应延长履约担保的日期，当出现逾期验收而未及时办理保函续费手续时（如为保函形式），比选人有权暂停剩余费用的支付。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7</w:t>
      </w:r>
      <w:r>
        <w:rPr>
          <w:rFonts w:hint="eastAsia" w:ascii="宋体" w:hAnsi="宋体" w:eastAsia="宋体" w:cs="宋体"/>
          <w:color w:val="auto"/>
          <w:highlight w:val="none"/>
        </w:rPr>
        <w:t>.4 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7</w:t>
      </w:r>
      <w:r>
        <w:rPr>
          <w:rFonts w:hint="eastAsia" w:ascii="宋体" w:hAnsi="宋体" w:eastAsia="宋体" w:cs="宋体"/>
          <w:color w:val="auto"/>
          <w:highlight w:val="none"/>
        </w:rPr>
        <w:t>.5 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7</w:t>
      </w:r>
      <w:r>
        <w:rPr>
          <w:rFonts w:hint="eastAsia" w:ascii="宋体" w:hAnsi="宋体" w:eastAsia="宋体" w:cs="宋体"/>
          <w:color w:val="auto"/>
          <w:highlight w:val="none"/>
        </w:rPr>
        <w:t>.6 以履约保证金形式提交履约担保的，中选人应通过银行电汇或转账的形式，从基本账户中递交至比选人指定账户。</w:t>
      </w:r>
    </w:p>
    <w:p>
      <w:pPr>
        <w:pStyle w:val="6"/>
        <w:numPr>
          <w:ilvl w:val="255"/>
          <w:numId w:val="0"/>
        </w:numPr>
        <w:spacing w:before="0" w:after="0" w:afterAutospacing="0"/>
        <w:ind w:left="1129" w:leftChars="200" w:right="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38</w:t>
      </w:r>
      <w:r>
        <w:rPr>
          <w:rFonts w:hint="eastAsia" w:ascii="宋体" w:hAnsi="宋体" w:eastAsia="宋体" w:cs="宋体"/>
          <w:color w:val="auto"/>
          <w:sz w:val="21"/>
          <w:szCs w:val="21"/>
          <w:highlight w:val="none"/>
        </w:rPr>
        <w:t>.其他</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.1 知识产权和专利权</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.1.1 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.1.2 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.2 保密</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.2.1 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.2.2 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.3 比选申请人知悉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.3.1 比选申请人将被视为已合理地充分了解了对所有影响本项目的事项，包括任何与项目和项目时间表有关的特殊困难。</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.3.2 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.4 分包：本项目不允许分包、禁止转包。</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8</w:t>
      </w:r>
      <w:r>
        <w:rPr>
          <w:rFonts w:hint="eastAsia" w:ascii="宋体" w:hAnsi="宋体" w:eastAsia="宋体" w:cs="宋体"/>
          <w:color w:val="auto"/>
          <w:highlight w:val="none"/>
        </w:rPr>
        <w:t>.5 需要补充的其他内容：详见比选申请须知前附表</w:t>
      </w:r>
    </w:p>
    <w:p>
      <w:pPr>
        <w:ind w:left="0" w:leftChars="0" w:right="-57" w:firstLine="0" w:firstLineChars="0"/>
        <w:rPr>
          <w:rFonts w:ascii="宋体" w:hAnsi="宋体"/>
          <w:color w:val="auto"/>
          <w:highlight w:val="none"/>
        </w:rPr>
      </w:pPr>
    </w:p>
    <w:p>
      <w:pPr>
        <w:pStyle w:val="2"/>
        <w:pageBreakBefore/>
        <w:ind w:right="-57" w:firstLine="0"/>
        <w:jc w:val="center"/>
        <w:outlineLvl w:val="0"/>
        <w:rPr>
          <w:rStyle w:val="46"/>
          <w:rFonts w:ascii="宋体" w:hAnsi="宋体" w:eastAsia="宋体"/>
          <w:color w:val="auto"/>
          <w:highlight w:val="none"/>
        </w:rPr>
      </w:pPr>
      <w:bookmarkStart w:id="1120" w:name="_Toc9725"/>
      <w:bookmarkStart w:id="1121" w:name="_Toc25920"/>
      <w:bookmarkStart w:id="1122" w:name="_Toc11424"/>
      <w:bookmarkStart w:id="1123" w:name="_Toc14991"/>
      <w:bookmarkStart w:id="1124" w:name="_Toc17265"/>
      <w:bookmarkStart w:id="1125" w:name="_Toc9458"/>
      <w:bookmarkStart w:id="1126" w:name="_Toc12281"/>
      <w:bookmarkStart w:id="1127" w:name="_Toc7547"/>
      <w:bookmarkStart w:id="1128" w:name="_Toc1413"/>
      <w:bookmarkStart w:id="1129" w:name="_Toc4003"/>
      <w:bookmarkStart w:id="1130" w:name="_Toc13323"/>
      <w:bookmarkStart w:id="1131" w:name="_Toc31884"/>
      <w:bookmarkStart w:id="1132" w:name="_Toc22446"/>
      <w:bookmarkStart w:id="1133" w:name="_Toc23292"/>
      <w:bookmarkStart w:id="1134" w:name="_Toc9991"/>
      <w:bookmarkStart w:id="1135" w:name="_Toc1179"/>
      <w:bookmarkStart w:id="1136" w:name="_Toc17022"/>
      <w:bookmarkStart w:id="1137" w:name="_Toc21919"/>
      <w:bookmarkStart w:id="1138" w:name="_Toc641"/>
      <w:bookmarkStart w:id="1139" w:name="_Toc26569"/>
      <w:bookmarkStart w:id="1140" w:name="_Toc15740"/>
      <w:bookmarkStart w:id="1141" w:name="_Toc7558"/>
      <w:bookmarkStart w:id="1142" w:name="_Toc16340"/>
      <w:bookmarkStart w:id="1143" w:name="_Toc28464"/>
      <w:bookmarkStart w:id="1144" w:name="_Toc1718"/>
      <w:bookmarkStart w:id="1145" w:name="_Toc6010"/>
      <w:bookmarkStart w:id="1146" w:name="_Toc2112"/>
      <w:r>
        <w:rPr>
          <w:rStyle w:val="46"/>
          <w:rFonts w:hint="eastAsia" w:ascii="宋体" w:hAnsi="宋体" w:eastAsia="宋体"/>
          <w:color w:val="auto"/>
          <w:highlight w:val="none"/>
        </w:rPr>
        <w:t>第三章合同条款及格式</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spacing w:before="0"/>
        <w:ind w:right="0" w:firstLine="200"/>
        <w:jc w:val="center"/>
        <w:outlineLvl w:val="1"/>
        <w:rPr>
          <w:rFonts w:ascii="宋体" w:hAnsi="宋体"/>
          <w:b/>
          <w:color w:val="auto"/>
          <w:sz w:val="32"/>
          <w:szCs w:val="32"/>
          <w:highlight w:val="none"/>
        </w:rPr>
      </w:pPr>
      <w:bookmarkStart w:id="1147" w:name="_Toc4026"/>
      <w:bookmarkStart w:id="1148" w:name="_Toc32403"/>
      <w:bookmarkStart w:id="1149" w:name="_Toc29797"/>
      <w:bookmarkStart w:id="1150" w:name="_Toc6950"/>
      <w:bookmarkStart w:id="1151" w:name="_Toc16805"/>
      <w:bookmarkStart w:id="1152" w:name="_Toc7587"/>
      <w:bookmarkStart w:id="1153" w:name="_Toc15167"/>
      <w:bookmarkStart w:id="1154" w:name="_Toc1289"/>
      <w:bookmarkStart w:id="1155" w:name="_Toc20060"/>
      <w:bookmarkStart w:id="1156" w:name="_Toc25828"/>
      <w:bookmarkStart w:id="1157" w:name="_Toc12801"/>
      <w:bookmarkStart w:id="1158" w:name="_Toc3488"/>
      <w:bookmarkStart w:id="1159" w:name="_Toc7236"/>
      <w:bookmarkStart w:id="1160" w:name="_Toc23440"/>
      <w:bookmarkStart w:id="1161" w:name="_Toc2618"/>
      <w:bookmarkStart w:id="1162" w:name="_Toc6190"/>
      <w:bookmarkStart w:id="1163" w:name="_Toc15840"/>
      <w:bookmarkStart w:id="1164" w:name="_Toc9038"/>
      <w:bookmarkStart w:id="1165" w:name="_Toc31368"/>
      <w:bookmarkStart w:id="1166" w:name="_Toc6488"/>
      <w:bookmarkStart w:id="1167" w:name="_Toc14463"/>
      <w:bookmarkStart w:id="1168" w:name="_Toc12983547"/>
      <w:bookmarkStart w:id="1169" w:name="_Toc26130"/>
      <w:bookmarkStart w:id="1170" w:name="_Toc13761"/>
      <w:bookmarkStart w:id="1171" w:name="_Toc8999"/>
      <w:r>
        <w:rPr>
          <w:rFonts w:hint="eastAsia" w:ascii="宋体" w:hAnsi="宋体"/>
          <w:b/>
          <w:color w:val="auto"/>
          <w:sz w:val="32"/>
          <w:szCs w:val="32"/>
          <w:highlight w:val="none"/>
        </w:rPr>
        <w:t>一、合同协议书</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ageBreakBefore w:val="0"/>
        <w:kinsoku/>
        <w:wordWrap/>
        <w:overflowPunct/>
        <w:topLinePunct w:val="0"/>
        <w:bidi w:val="0"/>
        <w:spacing w:before="156" w:beforeLines="50" w:after="156" w:afterLines="50" w:line="600" w:lineRule="exact"/>
        <w:ind w:right="-86" w:rightChars="-41"/>
        <w:textAlignment w:val="auto"/>
        <w:rPr>
          <w:rFonts w:hint="eastAsia" w:ascii="仿宋" w:hAnsi="仿宋" w:eastAsia="仿宋" w:cs="仿宋"/>
          <w:color w:val="auto"/>
          <w:kern w:val="0"/>
          <w:sz w:val="28"/>
          <w:szCs w:val="28"/>
          <w:highlight w:val="none"/>
        </w:rPr>
      </w:pPr>
      <w:bookmarkStart w:id="1172" w:name="_Toc14469"/>
      <w:bookmarkStart w:id="1173" w:name="_Toc24973"/>
      <w:bookmarkStart w:id="1174" w:name="_Toc10196"/>
      <w:bookmarkStart w:id="1175" w:name="_Toc9188"/>
      <w:bookmarkStart w:id="1176" w:name="_Toc18460"/>
      <w:bookmarkStart w:id="1177" w:name="_Toc10761"/>
      <w:bookmarkStart w:id="1178" w:name="_Toc11253"/>
      <w:bookmarkStart w:id="1179" w:name="_Toc9438"/>
      <w:bookmarkStart w:id="1180" w:name="_Toc4133"/>
      <w:bookmarkStart w:id="1181" w:name="_Toc997"/>
      <w:bookmarkStart w:id="1182" w:name="_Toc12155"/>
      <w:bookmarkStart w:id="1183" w:name="_Toc24098"/>
      <w:bookmarkStart w:id="1184" w:name="_Toc258"/>
      <w:bookmarkStart w:id="1185" w:name="_Toc7689"/>
      <w:bookmarkStart w:id="1186" w:name="_Toc7529"/>
      <w:bookmarkStart w:id="1187" w:name="_Toc25942"/>
      <w:bookmarkStart w:id="1188" w:name="_Toc16743"/>
      <w:bookmarkStart w:id="1189" w:name="_Toc23998"/>
      <w:bookmarkStart w:id="1190" w:name="_Toc29876"/>
      <w:r>
        <w:rPr>
          <w:rFonts w:hint="eastAsia" w:ascii="仿宋" w:hAnsi="仿宋" w:eastAsia="仿宋" w:cs="仿宋"/>
          <w:color w:val="auto"/>
          <w:kern w:val="0"/>
          <w:sz w:val="28"/>
          <w:szCs w:val="28"/>
          <w:highlight w:val="none"/>
        </w:rPr>
        <w:t>甲方：</w:t>
      </w:r>
      <w:r>
        <w:rPr>
          <w:rFonts w:hint="eastAsia" w:ascii="仿宋" w:hAnsi="仿宋" w:eastAsia="仿宋" w:cs="仿宋"/>
          <w:color w:val="auto"/>
          <w:kern w:val="0"/>
          <w:sz w:val="28"/>
          <w:szCs w:val="28"/>
          <w:highlight w:val="none"/>
          <w:u w:val="single"/>
        </w:rPr>
        <w:t xml:space="preserve">   南宁轨道交通运营有限公司  </w:t>
      </w:r>
      <w:r>
        <w:rPr>
          <w:rFonts w:hint="eastAsia" w:ascii="仿宋" w:hAnsi="仿宋" w:eastAsia="仿宋" w:cs="仿宋"/>
          <w:color w:val="auto"/>
          <w:kern w:val="0"/>
          <w:sz w:val="28"/>
          <w:szCs w:val="28"/>
          <w:highlight w:val="none"/>
        </w:rPr>
        <w:t xml:space="preserve">        </w:t>
      </w:r>
    </w:p>
    <w:p>
      <w:pPr>
        <w:pageBreakBefore w:val="0"/>
        <w:kinsoku/>
        <w:wordWrap/>
        <w:overflowPunct/>
        <w:topLinePunct w:val="0"/>
        <w:bidi w:val="0"/>
        <w:spacing w:before="156" w:beforeLines="50" w:after="156" w:afterLines="50" w:line="600" w:lineRule="exact"/>
        <w:ind w:right="-86" w:rightChars="-41"/>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乙方：</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南宁轨道交通运营有限公司（以下简称“甲方”）为实施</w:t>
      </w:r>
      <w:r>
        <w:rPr>
          <w:rFonts w:hint="eastAsia" w:ascii="仿宋" w:hAnsi="仿宋" w:eastAsia="仿宋" w:cs="仿宋"/>
          <w:color w:val="auto"/>
          <w:kern w:val="0"/>
          <w:sz w:val="28"/>
          <w:szCs w:val="28"/>
          <w:highlight w:val="none"/>
          <w:u w:val="single"/>
        </w:rPr>
        <w:t>运营公司档案委外整理及数字化加工服务采购项目（2024年—2026年）</w:t>
      </w:r>
      <w:r>
        <w:rPr>
          <w:rFonts w:hint="eastAsia" w:ascii="仿宋" w:hAnsi="仿宋" w:eastAsia="仿宋" w:cs="仿宋"/>
          <w:color w:val="auto"/>
          <w:kern w:val="0"/>
          <w:sz w:val="28"/>
          <w:szCs w:val="28"/>
          <w:highlight w:val="none"/>
          <w:u w:val="single"/>
          <w:lang w:eastAsia="zh-CN"/>
        </w:rPr>
        <w:t>（</w:t>
      </w:r>
      <w:r>
        <w:rPr>
          <w:rFonts w:hint="eastAsia" w:ascii="仿宋" w:hAnsi="仿宋" w:eastAsia="仿宋" w:cs="仿宋"/>
          <w:color w:val="auto"/>
          <w:kern w:val="0"/>
          <w:sz w:val="28"/>
          <w:szCs w:val="28"/>
          <w:highlight w:val="none"/>
          <w:u w:val="single"/>
          <w:lang w:val="en-US" w:eastAsia="zh-CN"/>
        </w:rPr>
        <w:t>项目编号：202401300001</w:t>
      </w:r>
      <w:r>
        <w:rPr>
          <w:rFonts w:hint="eastAsia" w:ascii="仿宋" w:hAnsi="仿宋" w:eastAsia="仿宋" w:cs="仿宋"/>
          <w:color w:val="auto"/>
          <w:kern w:val="0"/>
          <w:sz w:val="28"/>
          <w:szCs w:val="28"/>
          <w:highlight w:val="none"/>
          <w:u w:val="single"/>
          <w:lang w:eastAsia="zh-CN"/>
        </w:rPr>
        <w:t>）</w:t>
      </w:r>
      <w:r>
        <w:rPr>
          <w:rFonts w:hint="eastAsia" w:ascii="仿宋" w:hAnsi="仿宋" w:eastAsia="仿宋" w:cs="仿宋"/>
          <w:color w:val="auto"/>
          <w:kern w:val="0"/>
          <w:sz w:val="28"/>
          <w:szCs w:val="28"/>
          <w:highlight w:val="none"/>
        </w:rPr>
        <w:t>，已接受</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（以下简称“乙方”）对该项目的</w:t>
      </w:r>
      <w:r>
        <w:rPr>
          <w:rFonts w:hint="eastAsia" w:ascii="仿宋" w:hAnsi="仿宋" w:eastAsia="仿宋" w:cs="仿宋"/>
          <w:color w:val="auto"/>
          <w:kern w:val="0"/>
          <w:sz w:val="28"/>
          <w:szCs w:val="28"/>
          <w:highlight w:val="none"/>
          <w:lang w:val="en-US" w:eastAsia="zh-CN"/>
        </w:rPr>
        <w:t>比选申请</w:t>
      </w:r>
      <w:r>
        <w:rPr>
          <w:rFonts w:hint="eastAsia" w:ascii="仿宋" w:hAnsi="仿宋" w:eastAsia="仿宋" w:cs="仿宋"/>
          <w:color w:val="auto"/>
          <w:kern w:val="0"/>
          <w:sz w:val="28"/>
          <w:szCs w:val="28"/>
          <w:highlight w:val="none"/>
        </w:rPr>
        <w:t>。双方</w:t>
      </w:r>
      <w:r>
        <w:rPr>
          <w:rFonts w:hint="eastAsia" w:ascii="仿宋" w:hAnsi="仿宋" w:eastAsia="仿宋" w:cs="仿宋"/>
          <w:color w:val="auto"/>
          <w:kern w:val="0"/>
          <w:sz w:val="28"/>
          <w:szCs w:val="28"/>
          <w:highlight w:val="none"/>
          <w:lang w:val="en-US" w:eastAsia="zh-CN"/>
        </w:rPr>
        <w:t>依据《中华人民共和国民法典》的规定，签订</w:t>
      </w:r>
      <w:r>
        <w:rPr>
          <w:rFonts w:hint="eastAsia" w:ascii="仿宋" w:hAnsi="仿宋" w:eastAsia="仿宋" w:cs="仿宋"/>
          <w:color w:val="auto"/>
          <w:kern w:val="0"/>
          <w:sz w:val="28"/>
          <w:szCs w:val="28"/>
          <w:highlight w:val="none"/>
        </w:rPr>
        <w:t>协议。</w:t>
      </w:r>
      <w:r>
        <w:rPr>
          <w:rFonts w:hint="eastAsia" w:ascii="仿宋" w:hAnsi="仿宋" w:eastAsia="仿宋" w:cs="仿宋"/>
          <w:color w:val="auto"/>
          <w:kern w:val="0"/>
          <w:sz w:val="28"/>
          <w:szCs w:val="28"/>
          <w:highlight w:val="none"/>
          <w:lang w:val="en-US" w:eastAsia="zh-CN"/>
        </w:rPr>
        <w:t>具体内容如下：</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一、项目概况</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项目名称：运营公司档案委外整理及数字化加工服务采购项目（2024年—2026年）</w:t>
      </w:r>
    </w:p>
    <w:p>
      <w:pPr>
        <w:pStyle w:val="32"/>
        <w:keepNext w:val="0"/>
        <w:keepLines w:val="0"/>
        <w:pageBreakBefore w:val="0"/>
        <w:widowControl/>
        <w:kinsoku/>
        <w:wordWrap/>
        <w:overflowPunct/>
        <w:topLinePunct w:val="0"/>
        <w:autoSpaceDE/>
        <w:autoSpaceDN/>
        <w:bidi w:val="0"/>
        <w:adjustRightInd/>
        <w:snapToGrid/>
        <w:spacing w:before="0" w:after="0" w:afterAutospacing="0" w:line="500" w:lineRule="exact"/>
        <w:ind w:left="0" w:leftChars="0" w:right="0" w:firstLine="560" w:firstLineChars="200"/>
        <w:textAlignment w:val="auto"/>
        <w:rPr>
          <w:rFonts w:hint="eastAsia"/>
          <w:color w:val="auto"/>
          <w:highlight w:val="none"/>
          <w:lang w:val="en-US" w:eastAsia="zh-CN"/>
        </w:rPr>
      </w:pPr>
      <w:r>
        <w:rPr>
          <w:rFonts w:hint="eastAsia" w:ascii="仿宋" w:hAnsi="仿宋" w:eastAsia="仿宋" w:cs="仿宋"/>
          <w:color w:val="auto"/>
          <w:kern w:val="0"/>
          <w:sz w:val="28"/>
          <w:szCs w:val="28"/>
          <w:highlight w:val="none"/>
        </w:rPr>
        <w:t>项目地点：</w:t>
      </w:r>
      <w:r>
        <w:rPr>
          <w:rFonts w:hint="eastAsia" w:ascii="仿宋" w:hAnsi="仿宋" w:eastAsia="仿宋" w:cs="仿宋"/>
          <w:color w:val="auto"/>
          <w:kern w:val="0"/>
          <w:sz w:val="28"/>
          <w:szCs w:val="28"/>
          <w:highlight w:val="none"/>
          <w:lang w:val="en-US" w:eastAsia="zh-CN" w:bidi="ar-SA"/>
        </w:rPr>
        <w:t xml:space="preserve"> 南宁市青秀区云景路83号屯里车辆段</w:t>
      </w:r>
    </w:p>
    <w:p>
      <w:pPr>
        <w:keepNext w:val="0"/>
        <w:keepLines w:val="0"/>
        <w:pageBreakBefore w:val="0"/>
        <w:widowControl/>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rPr>
        <w:t>项目范围：</w:t>
      </w:r>
      <w:r>
        <w:rPr>
          <w:rFonts w:hint="eastAsia" w:ascii="仿宋" w:hAnsi="仿宋" w:eastAsia="仿宋" w:cs="仿宋"/>
          <w:color w:val="auto"/>
          <w:kern w:val="0"/>
          <w:sz w:val="28"/>
          <w:szCs w:val="28"/>
          <w:highlight w:val="none"/>
          <w:lang w:val="en-US" w:eastAsia="zh-CN" w:bidi="ar-SA"/>
        </w:rPr>
        <w:t>文书档案整理、科技档案整理、图纸整理、档案数字化加工、会计档案整理、声像、实物档案整理、光盘刻录（最终将按实际工作量结算）。</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二、合同服务期：</w:t>
      </w:r>
      <w:r>
        <w:rPr>
          <w:rFonts w:hint="eastAsia" w:ascii="仿宋" w:hAnsi="仿宋" w:eastAsia="仿宋" w:cs="仿宋"/>
          <w:color w:val="auto"/>
          <w:kern w:val="0"/>
          <w:sz w:val="28"/>
          <w:szCs w:val="28"/>
          <w:highlight w:val="none"/>
          <w:lang w:val="en-US" w:eastAsia="zh-CN" w:bidi="ar-SA"/>
        </w:rPr>
        <w:t xml:space="preserve">自合同签订之日起至2026年12月31日。  </w:t>
      </w:r>
      <w:r>
        <w:rPr>
          <w:rFonts w:hint="eastAsia" w:ascii="仿宋" w:hAnsi="仿宋" w:eastAsia="仿宋" w:cs="仿宋"/>
          <w:color w:val="auto"/>
          <w:kern w:val="0"/>
          <w:sz w:val="28"/>
          <w:szCs w:val="28"/>
          <w:highlight w:val="none"/>
        </w:rPr>
        <w:t xml:space="preserve">     </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三、项目负责人：</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四、合同价款与合同价格形式</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1．本合同不含增值税价为（大写）</w:t>
      </w:r>
      <w:r>
        <w:rPr>
          <w:rFonts w:hint="eastAsia"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 xml:space="preserve">     元</w:t>
      </w:r>
      <w:r>
        <w:rPr>
          <w:rFonts w:hint="eastAsia" w:ascii="仿宋" w:hAnsi="仿宋" w:eastAsia="仿宋" w:cs="仿宋"/>
          <w:color w:val="auto"/>
          <w:kern w:val="0"/>
          <w:sz w:val="28"/>
          <w:szCs w:val="28"/>
          <w:highlight w:val="none"/>
        </w:rPr>
        <w:t>），增值税率为：</w:t>
      </w: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；税金为</w:t>
      </w:r>
      <w:r>
        <w:rPr>
          <w:rFonts w:hint="eastAsia" w:ascii="仿宋" w:hAnsi="仿宋" w:eastAsia="仿宋" w:cs="仿宋"/>
          <w:color w:val="auto"/>
          <w:kern w:val="0"/>
          <w:sz w:val="28"/>
          <w:szCs w:val="28"/>
          <w:highlight w:val="none"/>
          <w:lang w:val="en-US" w:eastAsia="zh-CN"/>
        </w:rPr>
        <w:t xml:space="preserve">（大写）  </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 xml:space="preserve">     元</w:t>
      </w:r>
      <w:r>
        <w:rPr>
          <w:rFonts w:hint="eastAsia" w:ascii="仿宋" w:hAnsi="仿宋" w:eastAsia="仿宋" w:cs="仿宋"/>
          <w:color w:val="auto"/>
          <w:kern w:val="0"/>
          <w:sz w:val="28"/>
          <w:szCs w:val="28"/>
          <w:highlight w:val="none"/>
        </w:rPr>
        <w:t>），含税总价为（大写）</w:t>
      </w:r>
      <w:r>
        <w:rPr>
          <w:rFonts w:hint="eastAsia"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 xml:space="preserve">  元</w:t>
      </w:r>
      <w:r>
        <w:rPr>
          <w:rFonts w:hint="eastAsia" w:ascii="仿宋" w:hAnsi="仿宋" w:eastAsia="仿宋" w:cs="仿宋"/>
          <w:color w:val="auto"/>
          <w:kern w:val="0"/>
          <w:sz w:val="28"/>
          <w:szCs w:val="28"/>
          <w:highlight w:val="none"/>
        </w:rPr>
        <w:t xml:space="preserve">）。在合同履约过程中，本合同税率必须遵照国家现行税法执行。本合同最终税金在结算阶段，按实际产生的税金进行核算。但合同不含增值税价格不因国家税率调整而调整。 </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2.合同价格形式：</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单价包干，按实际的工作量结算</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五、组成合同的文件</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组成本合同的文件包括：</w:t>
      </w:r>
    </w:p>
    <w:p>
      <w:pPr>
        <w:keepNext w:val="0"/>
        <w:keepLines w:val="0"/>
        <w:pageBreakBefore w:val="0"/>
        <w:widowControl w:val="0"/>
        <w:numPr>
          <w:ilvl w:val="0"/>
          <w:numId w:val="6"/>
        </w:numPr>
        <w:tabs>
          <w:tab w:val="clear" w:pos="312"/>
        </w:tabs>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bookmarkStart w:id="1191" w:name="_Toc3354_WPSOffice_Level2"/>
      <w:r>
        <w:rPr>
          <w:rFonts w:hint="eastAsia" w:ascii="仿宋" w:hAnsi="仿宋" w:eastAsia="仿宋" w:cs="仿宋"/>
          <w:color w:val="auto"/>
          <w:kern w:val="0"/>
          <w:sz w:val="28"/>
          <w:szCs w:val="28"/>
          <w:highlight w:val="none"/>
        </w:rPr>
        <w:t>合同协议书（含合同谈判过程中的澄清文件和补充资料）；</w:t>
      </w:r>
      <w:bookmarkEnd w:id="1191"/>
    </w:p>
    <w:p>
      <w:pPr>
        <w:keepNext w:val="0"/>
        <w:keepLines w:val="0"/>
        <w:pageBreakBefore w:val="0"/>
        <w:numPr>
          <w:ilvl w:val="0"/>
          <w:numId w:val="6"/>
        </w:numPr>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bookmarkStart w:id="1192" w:name="_Toc16071_WPSOffice_Level2"/>
      <w:r>
        <w:rPr>
          <w:rFonts w:hint="eastAsia" w:ascii="仿宋" w:hAnsi="仿宋" w:eastAsia="仿宋" w:cs="仿宋"/>
          <w:color w:val="auto"/>
          <w:kern w:val="0"/>
          <w:sz w:val="28"/>
          <w:szCs w:val="28"/>
          <w:highlight w:val="none"/>
        </w:rPr>
        <w:t>中选通知书；</w:t>
      </w:r>
      <w:bookmarkEnd w:id="1192"/>
    </w:p>
    <w:p>
      <w:pPr>
        <w:keepNext w:val="0"/>
        <w:keepLines w:val="0"/>
        <w:pageBreakBefore w:val="0"/>
        <w:numPr>
          <w:ilvl w:val="0"/>
          <w:numId w:val="6"/>
        </w:numPr>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bookmarkStart w:id="1193" w:name="_Toc20786_WPSOffice_Level2"/>
      <w:r>
        <w:rPr>
          <w:rFonts w:hint="eastAsia" w:ascii="仿宋" w:hAnsi="仿宋" w:eastAsia="仿宋" w:cs="仿宋"/>
          <w:color w:val="auto"/>
          <w:kern w:val="0"/>
          <w:sz w:val="28"/>
          <w:szCs w:val="28"/>
          <w:highlight w:val="none"/>
        </w:rPr>
        <w:t>合同条款；</w:t>
      </w:r>
      <w:bookmarkEnd w:id="1193"/>
    </w:p>
    <w:p>
      <w:pPr>
        <w:keepNext w:val="0"/>
        <w:keepLines w:val="0"/>
        <w:pageBreakBefore w:val="0"/>
        <w:numPr>
          <w:ilvl w:val="0"/>
          <w:numId w:val="6"/>
        </w:numPr>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bookmarkStart w:id="1194" w:name="_Toc2767_WPSOffice_Level2"/>
      <w:r>
        <w:rPr>
          <w:rFonts w:hint="eastAsia" w:ascii="仿宋" w:hAnsi="仿宋" w:eastAsia="仿宋" w:cs="仿宋"/>
          <w:color w:val="auto"/>
          <w:kern w:val="0"/>
          <w:sz w:val="28"/>
          <w:szCs w:val="28"/>
          <w:highlight w:val="none"/>
        </w:rPr>
        <w:t>价格组成文件；</w:t>
      </w:r>
      <w:bookmarkEnd w:id="1194"/>
    </w:p>
    <w:p>
      <w:pPr>
        <w:keepNext w:val="0"/>
        <w:keepLines w:val="0"/>
        <w:pageBreakBefore w:val="0"/>
        <w:numPr>
          <w:ilvl w:val="0"/>
          <w:numId w:val="6"/>
        </w:numPr>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bookmarkStart w:id="1195" w:name="_Toc5577_WPSOffice_Level2"/>
      <w:r>
        <w:rPr>
          <w:rFonts w:hint="eastAsia" w:ascii="仿宋" w:hAnsi="仿宋" w:eastAsia="仿宋" w:cs="仿宋"/>
          <w:color w:val="auto"/>
          <w:kern w:val="0"/>
          <w:sz w:val="28"/>
          <w:szCs w:val="28"/>
          <w:highlight w:val="none"/>
        </w:rPr>
        <w:t>合同附件；</w:t>
      </w:r>
      <w:bookmarkEnd w:id="1195"/>
    </w:p>
    <w:p>
      <w:pPr>
        <w:keepNext w:val="0"/>
        <w:keepLines w:val="0"/>
        <w:pageBreakBefore w:val="0"/>
        <w:numPr>
          <w:ilvl w:val="0"/>
          <w:numId w:val="6"/>
        </w:numPr>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bookmarkStart w:id="1196" w:name="_Toc28187_WPSOffice_Level2"/>
      <w:r>
        <w:rPr>
          <w:rFonts w:hint="eastAsia" w:ascii="仿宋" w:hAnsi="仿宋" w:eastAsia="仿宋" w:cs="仿宋"/>
          <w:color w:val="auto"/>
          <w:kern w:val="0"/>
          <w:sz w:val="28"/>
          <w:szCs w:val="28"/>
          <w:highlight w:val="none"/>
        </w:rPr>
        <w:t>比选文件（含比选文件补充文件）；</w:t>
      </w:r>
      <w:bookmarkEnd w:id="1196"/>
    </w:p>
    <w:p>
      <w:pPr>
        <w:keepNext w:val="0"/>
        <w:keepLines w:val="0"/>
        <w:pageBreakBefore w:val="0"/>
        <w:numPr>
          <w:ilvl w:val="0"/>
          <w:numId w:val="6"/>
        </w:numPr>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bookmarkStart w:id="1197" w:name="_Toc22359_WPSOffice_Level2"/>
      <w:r>
        <w:rPr>
          <w:rFonts w:hint="eastAsia" w:ascii="仿宋" w:hAnsi="仿宋" w:eastAsia="仿宋" w:cs="仿宋"/>
          <w:color w:val="auto"/>
          <w:kern w:val="0"/>
          <w:sz w:val="28"/>
          <w:szCs w:val="28"/>
          <w:highlight w:val="none"/>
        </w:rPr>
        <w:t>比选申请文件（含比选申请文件补充文件）；</w:t>
      </w:r>
      <w:bookmarkEnd w:id="1197"/>
    </w:p>
    <w:p>
      <w:pPr>
        <w:keepNext w:val="0"/>
        <w:keepLines w:val="0"/>
        <w:pageBreakBefore w:val="0"/>
        <w:numPr>
          <w:ilvl w:val="0"/>
          <w:numId w:val="6"/>
        </w:numPr>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bookmarkStart w:id="1198" w:name="_Toc27447_WPSOffice_Level2"/>
      <w:r>
        <w:rPr>
          <w:rFonts w:hint="eastAsia" w:ascii="仿宋" w:hAnsi="仿宋" w:eastAsia="仿宋" w:cs="仿宋"/>
          <w:color w:val="auto"/>
          <w:kern w:val="0"/>
          <w:sz w:val="28"/>
          <w:szCs w:val="28"/>
          <w:highlight w:val="none"/>
        </w:rPr>
        <w:t>技术规格书。</w:t>
      </w:r>
      <w:bookmarkEnd w:id="1198"/>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六、乙方向甲方承诺严格履行合同条款义务，按合同约定承担本项目的任务。</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七、甲乙双方依据本次比选文件中的用户需求书、乙方</w:t>
      </w:r>
      <w:r>
        <w:rPr>
          <w:rFonts w:hint="eastAsia" w:ascii="仿宋" w:hAnsi="仿宋" w:eastAsia="仿宋" w:cs="仿宋"/>
          <w:color w:val="auto"/>
          <w:kern w:val="0"/>
          <w:sz w:val="28"/>
          <w:szCs w:val="28"/>
          <w:highlight w:val="none"/>
          <w:lang w:val="en-US" w:eastAsia="zh-CN"/>
        </w:rPr>
        <w:t>比选申请</w:t>
      </w:r>
      <w:r>
        <w:rPr>
          <w:rFonts w:hint="eastAsia" w:ascii="仿宋" w:hAnsi="仿宋" w:eastAsia="仿宋" w:cs="仿宋"/>
          <w:color w:val="auto"/>
          <w:kern w:val="0"/>
          <w:sz w:val="28"/>
          <w:szCs w:val="28"/>
          <w:highlight w:val="none"/>
        </w:rPr>
        <w:t>文件（如技术响应表、技术文件等），按照二者较优值形成设计服务方案。并经双方确认后构成本合同的有效组成部分。在本合同执行中的系统技术指标以技术规格书为准。</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八、甲方向乙方承诺按合同条款约定的条件、时间和方式支付合同价款。</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九、甲方、乙方承诺按照合同条款约定的违约责任和解决争议方式履行合同。</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十、本合同协议书中有关词语含义与本合同《合同条款》中分别赋予它们的定义相同，合同协议书与《合同条款》共同组成完整的合同文本。</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十一、本合同协议书自甲方、乙方的法定代表人或其委托代理人在合同协议书上签字并盖单位章后生效。</w:t>
      </w:r>
    </w:p>
    <w:p>
      <w:pPr>
        <w:keepNext w:val="0"/>
        <w:keepLines w:val="0"/>
        <w:pageBreakBefore w:val="0"/>
        <w:kinsoku/>
        <w:wordWrap/>
        <w:overflowPunct/>
        <w:topLinePunct w:val="0"/>
        <w:autoSpaceDE/>
        <w:autoSpaceDN/>
        <w:bidi w:val="0"/>
        <w:adjustRightInd/>
        <w:snapToGrid/>
        <w:spacing w:before="0" w:after="0" w:afterAutospacing="0" w:line="500" w:lineRule="exact"/>
        <w:ind w:left="0"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十二、本协议书正本2份，甲、乙方各1份；副本 </w:t>
      </w:r>
      <w:r>
        <w:rPr>
          <w:rFonts w:hint="eastAsia" w:ascii="仿宋" w:hAnsi="仿宋" w:cs="仿宋"/>
          <w:color w:val="auto"/>
          <w:kern w:val="0"/>
          <w:sz w:val="28"/>
          <w:szCs w:val="28"/>
          <w:highlight w:val="none"/>
          <w:lang w:val="en-US" w:eastAsia="zh-CN"/>
        </w:rPr>
        <w:t>8</w:t>
      </w:r>
      <w:r>
        <w:rPr>
          <w:rFonts w:hint="eastAsia" w:ascii="仿宋" w:hAnsi="仿宋" w:eastAsia="仿宋" w:cs="仿宋"/>
          <w:color w:val="auto"/>
          <w:kern w:val="0"/>
          <w:sz w:val="28"/>
          <w:szCs w:val="28"/>
          <w:highlight w:val="none"/>
        </w:rPr>
        <w:t>份，甲方</w:t>
      </w:r>
      <w:r>
        <w:rPr>
          <w:rFonts w:hint="eastAsia" w:ascii="仿宋" w:hAnsi="仿宋" w:cs="仿宋"/>
          <w:color w:val="auto"/>
          <w:kern w:val="0"/>
          <w:sz w:val="28"/>
          <w:szCs w:val="28"/>
          <w:highlight w:val="none"/>
          <w:lang w:val="en-US" w:eastAsia="zh-CN"/>
        </w:rPr>
        <w:t>7</w:t>
      </w:r>
      <w:r>
        <w:rPr>
          <w:rFonts w:hint="eastAsia" w:ascii="仿宋" w:hAnsi="仿宋" w:eastAsia="仿宋" w:cs="仿宋"/>
          <w:color w:val="auto"/>
          <w:kern w:val="0"/>
          <w:sz w:val="28"/>
          <w:szCs w:val="28"/>
          <w:highlight w:val="none"/>
        </w:rPr>
        <w:t>份，乙方 1 份。</w:t>
      </w:r>
    </w:p>
    <w:p>
      <w:pPr>
        <w:keepNext w:val="0"/>
        <w:keepLines w:val="0"/>
        <w:pageBreakBefore w:val="0"/>
        <w:kinsoku/>
        <w:wordWrap/>
        <w:overflowPunct/>
        <w:topLinePunct w:val="0"/>
        <w:autoSpaceDE/>
        <w:autoSpaceDN/>
        <w:bidi w:val="0"/>
        <w:adjustRightInd/>
        <w:snapToGrid/>
        <w:spacing w:before="0" w:after="0" w:afterAutospacing="0" w:line="600" w:lineRule="exact"/>
        <w:ind w:left="0" w:right="0" w:rightChars="0" w:firstLine="560" w:firstLineChars="200"/>
        <w:textAlignment w:val="auto"/>
        <w:rPr>
          <w:rFonts w:hint="eastAsia"/>
          <w:color w:val="auto"/>
          <w:highlight w:val="none"/>
        </w:rPr>
      </w:pPr>
      <w:r>
        <w:rPr>
          <w:rFonts w:hint="eastAsia" w:ascii="仿宋" w:hAnsi="仿宋" w:eastAsia="仿宋" w:cs="仿宋"/>
          <w:color w:val="auto"/>
          <w:kern w:val="0"/>
          <w:sz w:val="28"/>
          <w:szCs w:val="28"/>
          <w:highlight w:val="none"/>
        </w:rPr>
        <w:t>十三、合同未尽事宜，双方另行签订补充协议。</w:t>
      </w:r>
    </w:p>
    <w:p>
      <w:pPr>
        <w:keepNext w:val="0"/>
        <w:keepLines w:val="0"/>
        <w:pageBreakBefore w:val="0"/>
        <w:widowControl w:val="0"/>
        <w:kinsoku/>
        <w:wordWrap/>
        <w:overflowPunct/>
        <w:topLinePunct w:val="0"/>
        <w:autoSpaceDE/>
        <w:autoSpaceDN/>
        <w:bidi w:val="0"/>
        <w:adjustRightInd/>
        <w:snapToGrid/>
        <w:spacing w:before="0" w:after="156" w:afterLines="50" w:line="460" w:lineRule="exact"/>
        <w:ind w:left="0" w:right="0" w:rightChars="0" w:firstLine="0"/>
        <w:textAlignment w:val="auto"/>
        <w:rPr>
          <w:rFonts w:hint="eastAsia" w:ascii="仿宋" w:hAnsi="仿宋" w:eastAsia="仿宋" w:cs="仿宋"/>
          <w:color w:val="auto"/>
          <w:kern w:val="0"/>
          <w:sz w:val="28"/>
          <w:szCs w:val="28"/>
          <w:highlight w:val="none"/>
          <w:u w:val="single"/>
        </w:rPr>
      </w:pPr>
      <w:r>
        <w:rPr>
          <w:rFonts w:hint="eastAsia" w:ascii="仿宋" w:hAnsi="仿宋" w:eastAsia="仿宋" w:cs="仿宋"/>
          <w:color w:val="auto"/>
          <w:kern w:val="0"/>
          <w:sz w:val="28"/>
          <w:szCs w:val="28"/>
          <w:highlight w:val="none"/>
        </w:rPr>
        <w:t>甲方：</w:t>
      </w:r>
      <w:r>
        <w:rPr>
          <w:rFonts w:hint="eastAsia" w:ascii="仿宋" w:hAnsi="仿宋" w:eastAsia="仿宋" w:cs="仿宋"/>
          <w:color w:val="auto"/>
          <w:kern w:val="0"/>
          <w:sz w:val="28"/>
          <w:szCs w:val="28"/>
          <w:highlight w:val="none"/>
          <w:u w:val="single"/>
        </w:rPr>
        <w:t>南宁轨道交通</w:t>
      </w:r>
      <w:r>
        <w:rPr>
          <w:rFonts w:hint="eastAsia" w:ascii="仿宋" w:hAnsi="仿宋" w:eastAsia="仿宋" w:cs="仿宋"/>
          <w:color w:val="auto"/>
          <w:kern w:val="0"/>
          <w:sz w:val="28"/>
          <w:szCs w:val="28"/>
          <w:highlight w:val="none"/>
          <w:u w:val="single"/>
          <w:lang w:val="en-US" w:eastAsia="zh-CN"/>
        </w:rPr>
        <w:t>运</w:t>
      </w:r>
      <w:r>
        <w:rPr>
          <w:rFonts w:hint="eastAsia" w:ascii="仿宋" w:hAnsi="仿宋" w:eastAsia="仿宋" w:cs="仿宋"/>
          <w:color w:val="auto"/>
          <w:kern w:val="0"/>
          <w:sz w:val="28"/>
          <w:szCs w:val="28"/>
          <w:highlight w:val="none"/>
          <w:u w:val="single"/>
        </w:rPr>
        <w:t xml:space="preserve">营有限公司 </w:t>
      </w:r>
      <w:r>
        <w:rPr>
          <w:rFonts w:hint="eastAsia" w:ascii="仿宋" w:hAnsi="仿宋" w:eastAsia="仿宋" w:cs="仿宋"/>
          <w:color w:val="auto"/>
          <w:kern w:val="0"/>
          <w:sz w:val="28"/>
          <w:szCs w:val="28"/>
          <w:highlight w:val="none"/>
        </w:rPr>
        <w:t xml:space="preserve">   乙方</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0" w:after="156" w:afterLines="50" w:line="460" w:lineRule="exact"/>
        <w:ind w:left="0" w:right="0" w:rightChars="0" w:firstLine="0"/>
        <w:textAlignment w:val="auto"/>
        <w:rPr>
          <w:rFonts w:hint="eastAsia" w:ascii="仿宋" w:hAnsi="仿宋" w:eastAsia="仿宋" w:cs="仿宋"/>
          <w:color w:val="auto"/>
          <w:kern w:val="0"/>
          <w:sz w:val="28"/>
          <w:szCs w:val="28"/>
          <w:highlight w:val="none"/>
          <w:u w:val="single"/>
        </w:rPr>
      </w:pPr>
      <w:r>
        <w:rPr>
          <w:rFonts w:hint="eastAsia" w:ascii="仿宋" w:hAnsi="仿宋" w:eastAsia="仿宋" w:cs="仿宋"/>
          <w:color w:val="auto"/>
          <w:kern w:val="0"/>
          <w:sz w:val="28"/>
          <w:szCs w:val="28"/>
          <w:highlight w:val="none"/>
          <w:u w:val="single"/>
        </w:rPr>
        <w:t xml:space="preserve">             （盖单位章）          </w:t>
      </w:r>
      <w:r>
        <w:rPr>
          <w:rFonts w:hint="eastAsia" w:ascii="仿宋" w:hAnsi="仿宋" w:eastAsia="仿宋" w:cs="仿宋"/>
          <w:color w:val="auto"/>
          <w:kern w:val="0"/>
          <w:sz w:val="28"/>
          <w:szCs w:val="28"/>
          <w:highlight w:val="none"/>
        </w:rPr>
        <w:t xml:space="preserve">   </w:t>
      </w:r>
      <w:r>
        <w:rPr>
          <w:rFonts w:hint="eastAsia" w:ascii="仿宋" w:hAnsi="仿宋" w:eastAsia="仿宋" w:cs="仿宋"/>
          <w:color w:val="auto"/>
          <w:kern w:val="0"/>
          <w:sz w:val="28"/>
          <w:szCs w:val="28"/>
          <w:highlight w:val="none"/>
          <w:u w:val="single"/>
        </w:rPr>
        <w:t xml:space="preserve">            （盖单位章）        </w:t>
      </w:r>
    </w:p>
    <w:p>
      <w:pPr>
        <w:keepNext w:val="0"/>
        <w:keepLines w:val="0"/>
        <w:pageBreakBefore w:val="0"/>
        <w:widowControl w:val="0"/>
        <w:kinsoku/>
        <w:wordWrap/>
        <w:overflowPunct/>
        <w:topLinePunct w:val="0"/>
        <w:autoSpaceDE/>
        <w:autoSpaceDN/>
        <w:bidi w:val="0"/>
        <w:adjustRightInd/>
        <w:snapToGrid/>
        <w:spacing w:before="0" w:after="156" w:afterLines="50" w:line="460" w:lineRule="exact"/>
        <w:ind w:left="0" w:right="0" w:rightChars="0" w:firstLine="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法定代表人或                          法定代表人或</w:t>
      </w:r>
    </w:p>
    <w:p>
      <w:pPr>
        <w:keepNext w:val="0"/>
        <w:keepLines w:val="0"/>
        <w:pageBreakBefore w:val="0"/>
        <w:widowControl w:val="0"/>
        <w:kinsoku/>
        <w:wordWrap/>
        <w:overflowPunct/>
        <w:topLinePunct w:val="0"/>
        <w:autoSpaceDE/>
        <w:autoSpaceDN/>
        <w:bidi w:val="0"/>
        <w:adjustRightInd/>
        <w:snapToGrid/>
        <w:spacing w:before="0" w:after="156" w:afterLines="50" w:line="460" w:lineRule="exact"/>
        <w:ind w:left="0" w:right="0" w:rightChars="0" w:firstLine="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其委托代理人：</w:t>
      </w:r>
      <w:r>
        <w:rPr>
          <w:rFonts w:hint="eastAsia" w:ascii="仿宋" w:hAnsi="仿宋" w:eastAsia="仿宋" w:cs="仿宋"/>
          <w:color w:val="auto"/>
          <w:kern w:val="0"/>
          <w:sz w:val="28"/>
          <w:szCs w:val="28"/>
          <w:highlight w:val="none"/>
          <w:u w:val="single"/>
        </w:rPr>
        <w:t xml:space="preserve">       </w:t>
      </w:r>
      <w:r>
        <w:rPr>
          <w:rFonts w:hint="eastAsia" w:ascii="仿宋" w:hAnsi="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其委托代理人：</w:t>
      </w:r>
      <w:r>
        <w:rPr>
          <w:rFonts w:hint="eastAsia" w:ascii="仿宋" w:hAnsi="仿宋" w:eastAsia="仿宋" w:cs="仿宋"/>
          <w:color w:val="auto"/>
          <w:kern w:val="0"/>
          <w:sz w:val="28"/>
          <w:szCs w:val="28"/>
          <w:highlight w:val="none"/>
          <w:u w:val="single"/>
        </w:rPr>
        <w:t xml:space="preserve">     </w:t>
      </w:r>
      <w:r>
        <w:rPr>
          <w:rFonts w:hint="eastAsia" w:ascii="仿宋" w:hAnsi="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0" w:after="156" w:afterLines="50" w:line="460" w:lineRule="exact"/>
        <w:ind w:left="0" w:right="0" w:rightChars="0" w:firstLine="0"/>
        <w:textAlignment w:val="auto"/>
        <w:rPr>
          <w:rFonts w:hint="default" w:ascii="仿宋" w:hAnsi="仿宋" w:eastAsia="仿宋" w:cs="仿宋"/>
          <w:color w:val="auto"/>
          <w:kern w:val="0"/>
          <w:sz w:val="28"/>
          <w:szCs w:val="28"/>
          <w:highlight w:val="none"/>
          <w:u w:val="single"/>
          <w:lang w:val="en-US" w:eastAsia="zh-CN"/>
        </w:rPr>
      </w:pPr>
      <w:r>
        <w:rPr>
          <w:rFonts w:hint="eastAsia" w:ascii="仿宋" w:hAnsi="仿宋" w:eastAsia="仿宋" w:cs="仿宋"/>
          <w:color w:val="auto"/>
          <w:kern w:val="0"/>
          <w:sz w:val="28"/>
          <w:szCs w:val="28"/>
          <w:highlight w:val="none"/>
        </w:rPr>
        <w:t>地址：</w:t>
      </w:r>
      <w:r>
        <w:rPr>
          <w:rFonts w:hint="eastAsia" w:ascii="仿宋" w:hAnsi="仿宋" w:eastAsia="仿宋" w:cs="仿宋"/>
          <w:color w:val="auto"/>
          <w:kern w:val="0"/>
          <w:sz w:val="28"/>
          <w:szCs w:val="28"/>
          <w:highlight w:val="none"/>
          <w:u w:val="single"/>
        </w:rPr>
        <w:t>南宁市青秀区云景路</w:t>
      </w:r>
      <w:r>
        <w:rPr>
          <w:rFonts w:hint="eastAsia" w:ascii="仿宋" w:hAnsi="仿宋" w:eastAsia="仿宋" w:cs="仿宋"/>
          <w:color w:val="auto"/>
          <w:kern w:val="0"/>
          <w:sz w:val="28"/>
          <w:szCs w:val="28"/>
          <w:highlight w:val="none"/>
          <w:u w:val="single"/>
          <w:lang w:val="en-US" w:eastAsia="zh-CN"/>
        </w:rPr>
        <w:t>83</w:t>
      </w:r>
      <w:r>
        <w:rPr>
          <w:rFonts w:hint="eastAsia" w:ascii="仿宋" w:hAnsi="仿宋" w:eastAsia="仿宋" w:cs="仿宋"/>
          <w:color w:val="auto"/>
          <w:kern w:val="0"/>
          <w:sz w:val="28"/>
          <w:szCs w:val="28"/>
          <w:highlight w:val="none"/>
          <w:u w:val="single"/>
        </w:rPr>
        <w:t xml:space="preserve">号     </w:t>
      </w:r>
      <w:r>
        <w:rPr>
          <w:rFonts w:hint="eastAsia" w:ascii="仿宋" w:hAnsi="仿宋" w:eastAsia="仿宋" w:cs="仿宋"/>
          <w:color w:val="auto"/>
          <w:kern w:val="0"/>
          <w:sz w:val="28"/>
          <w:szCs w:val="28"/>
          <w:highlight w:val="none"/>
        </w:rPr>
        <w:t xml:space="preserve">  地址：</w:t>
      </w:r>
      <w:r>
        <w:rPr>
          <w:rFonts w:hint="eastAsia" w:ascii="仿宋" w:hAnsi="仿宋" w:eastAsia="仿宋" w:cs="仿宋"/>
          <w:color w:val="auto"/>
          <w:kern w:val="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156" w:afterLines="50" w:line="460" w:lineRule="exact"/>
        <w:ind w:left="0" w:right="0" w:rightChars="0" w:firstLine="0"/>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邮政编码：</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530000</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邮政编码：</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156" w:afterLines="50" w:line="460" w:lineRule="exact"/>
        <w:ind w:left="0" w:right="0" w:rightChars="0" w:firstLine="0"/>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电    话：</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15878751116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电    话：</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156" w:afterLines="50" w:line="460" w:lineRule="exact"/>
        <w:ind w:left="0" w:right="0" w:rightChars="0" w:firstLine="0"/>
        <w:textAlignment w:val="auto"/>
        <w:rPr>
          <w:rFonts w:hint="default" w:ascii="仿宋" w:hAnsi="仿宋" w:eastAsia="仿宋" w:cs="仿宋"/>
          <w:color w:val="auto"/>
          <w:kern w:val="0"/>
          <w:sz w:val="28"/>
          <w:szCs w:val="28"/>
          <w:highlight w:val="none"/>
          <w:u w:val="single"/>
          <w:lang w:val="en-US" w:eastAsia="zh-CN"/>
        </w:rPr>
      </w:pPr>
      <w:r>
        <w:rPr>
          <w:rFonts w:hint="eastAsia" w:ascii="仿宋" w:hAnsi="仿宋" w:eastAsia="仿宋" w:cs="仿宋"/>
          <w:color w:val="auto"/>
          <w:kern w:val="0"/>
          <w:sz w:val="28"/>
          <w:szCs w:val="28"/>
          <w:highlight w:val="none"/>
        </w:rPr>
        <w:t>传    真：</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0771-2779007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传    真：</w:t>
      </w:r>
      <w:r>
        <w:rPr>
          <w:rFonts w:hint="eastAsia" w:ascii="仿宋" w:hAnsi="仿宋" w:eastAsia="仿宋" w:cs="仿宋"/>
          <w:color w:val="auto"/>
          <w:kern w:val="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156" w:afterLines="50" w:line="460" w:lineRule="exact"/>
        <w:ind w:left="0" w:right="0" w:rightChars="0" w:firstLine="0"/>
        <w:textAlignment w:val="auto"/>
        <w:rPr>
          <w:rFonts w:hint="default" w:ascii="仿宋" w:hAnsi="仿宋" w:eastAsia="仿宋" w:cs="仿宋"/>
          <w:color w:val="auto"/>
          <w:kern w:val="0"/>
          <w:sz w:val="28"/>
          <w:szCs w:val="28"/>
          <w:highlight w:val="none"/>
          <w:u w:val="single"/>
          <w:lang w:val="en-US" w:eastAsia="zh-CN"/>
        </w:rPr>
      </w:pPr>
      <w:r>
        <w:rPr>
          <w:rFonts w:hint="eastAsia" w:ascii="仿宋" w:hAnsi="仿宋" w:eastAsia="仿宋" w:cs="仿宋"/>
          <w:color w:val="auto"/>
          <w:kern w:val="0"/>
          <w:sz w:val="28"/>
          <w:szCs w:val="28"/>
          <w:highlight w:val="none"/>
        </w:rPr>
        <w:t>开户银行：</w:t>
      </w:r>
      <w:r>
        <w:rPr>
          <w:rFonts w:hint="eastAsia" w:ascii="仿宋" w:hAnsi="仿宋" w:eastAsia="仿宋" w:cs="仿宋"/>
          <w:color w:val="auto"/>
          <w:kern w:val="0"/>
          <w:sz w:val="28"/>
          <w:szCs w:val="28"/>
          <w:highlight w:val="none"/>
          <w:u w:val="single"/>
        </w:rPr>
        <w:t>中国建设银行南宁市朝阳支行</w:t>
      </w:r>
      <w:r>
        <w:rPr>
          <w:rFonts w:hint="eastAsia" w:ascii="仿宋" w:hAnsi="仿宋" w:eastAsia="仿宋" w:cs="仿宋"/>
          <w:color w:val="auto"/>
          <w:kern w:val="0"/>
          <w:sz w:val="28"/>
          <w:szCs w:val="28"/>
          <w:highlight w:val="none"/>
        </w:rPr>
        <w:t xml:space="preserve"> 开户银行：</w:t>
      </w:r>
      <w:r>
        <w:rPr>
          <w:rFonts w:hint="eastAsia" w:ascii="仿宋" w:hAnsi="仿宋" w:eastAsia="仿宋" w:cs="仿宋"/>
          <w:color w:val="auto"/>
          <w:kern w:val="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ind w:right="-86" w:rightChars="-41"/>
        <w:textAlignment w:val="auto"/>
        <w:rPr>
          <w:rFonts w:hint="default" w:ascii="仿宋" w:hAnsi="仿宋" w:eastAsia="仿宋" w:cs="仿宋"/>
          <w:color w:val="auto"/>
          <w:kern w:val="0"/>
          <w:sz w:val="28"/>
          <w:szCs w:val="28"/>
          <w:highlight w:val="none"/>
          <w:u w:val="single"/>
          <w:lang w:val="en-US" w:eastAsia="zh-CN"/>
        </w:rPr>
      </w:pPr>
      <w:r>
        <w:rPr>
          <w:rFonts w:hint="eastAsia" w:ascii="仿宋" w:hAnsi="仿宋" w:eastAsia="仿宋" w:cs="仿宋"/>
          <w:color w:val="auto"/>
          <w:kern w:val="0"/>
          <w:sz w:val="28"/>
          <w:szCs w:val="28"/>
          <w:highlight w:val="none"/>
        </w:rPr>
        <w:t>银行帐号：</w:t>
      </w:r>
      <w:r>
        <w:rPr>
          <w:rFonts w:hint="eastAsia" w:ascii="仿宋" w:hAnsi="仿宋" w:eastAsia="仿宋" w:cs="仿宋"/>
          <w:color w:val="auto"/>
          <w:kern w:val="0"/>
          <w:sz w:val="28"/>
          <w:szCs w:val="28"/>
          <w:highlight w:val="none"/>
          <w:u w:val="single"/>
        </w:rPr>
        <w:t>45050160447309118866</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rPr>
        <w:t xml:space="preserve">  银行帐号：</w:t>
      </w:r>
      <w:r>
        <w:rPr>
          <w:rFonts w:hint="eastAsia" w:ascii="仿宋" w:hAnsi="仿宋" w:eastAsia="仿宋" w:cs="仿宋"/>
          <w:color w:val="auto"/>
          <w:kern w:val="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ind w:right="-86" w:rightChars="-41"/>
        <w:textAlignment w:val="auto"/>
        <w:rPr>
          <w:rFonts w:hint="default" w:ascii="仿宋" w:hAnsi="仿宋" w:eastAsia="仿宋" w:cs="仿宋"/>
          <w:color w:val="auto"/>
          <w:kern w:val="0"/>
          <w:sz w:val="28"/>
          <w:szCs w:val="28"/>
          <w:highlight w:val="none"/>
          <w:u w:val="single"/>
          <w:lang w:val="en-US" w:eastAsia="zh-CN"/>
        </w:rPr>
      </w:pPr>
      <w:r>
        <w:rPr>
          <w:rFonts w:hint="eastAsia" w:ascii="仿宋" w:hAnsi="仿宋" w:eastAsia="仿宋" w:cs="仿宋"/>
          <w:color w:val="auto"/>
          <w:kern w:val="0"/>
          <w:sz w:val="28"/>
          <w:szCs w:val="28"/>
          <w:highlight w:val="none"/>
        </w:rPr>
        <w:t>税    号：</w:t>
      </w:r>
      <w:r>
        <w:rPr>
          <w:rFonts w:hint="eastAsia" w:ascii="仿宋" w:hAnsi="仿宋" w:eastAsia="仿宋" w:cs="仿宋"/>
          <w:color w:val="auto"/>
          <w:kern w:val="0"/>
          <w:sz w:val="28"/>
          <w:szCs w:val="28"/>
          <w:highlight w:val="none"/>
          <w:u w:val="single"/>
        </w:rPr>
        <w:t>91450100MAA7LA2147</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税    号：</w:t>
      </w:r>
      <w:r>
        <w:rPr>
          <w:rFonts w:hint="eastAsia" w:ascii="仿宋" w:hAnsi="仿宋" w:eastAsia="仿宋" w:cs="仿宋"/>
          <w:color w:val="auto"/>
          <w:kern w:val="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ind w:right="-86" w:rightChars="-41"/>
        <w:textAlignment w:val="auto"/>
        <w:rPr>
          <w:rFonts w:hint="default" w:ascii="仿宋" w:hAnsi="仿宋" w:eastAsia="仿宋" w:cs="仿宋"/>
          <w:b/>
          <w:bCs w:val="0"/>
          <w:color w:val="auto"/>
          <w:sz w:val="28"/>
          <w:szCs w:val="28"/>
          <w:highlight w:val="none"/>
          <w:u w:val="single"/>
          <w:lang w:val="en-US" w:eastAsia="zh-CN"/>
        </w:rPr>
      </w:pPr>
      <w:r>
        <w:rPr>
          <w:rFonts w:hint="eastAsia" w:ascii="仿宋" w:hAnsi="仿宋" w:eastAsia="仿宋" w:cs="仿宋"/>
          <w:b/>
          <w:bCs w:val="0"/>
          <w:color w:val="auto"/>
          <w:sz w:val="28"/>
          <w:szCs w:val="28"/>
          <w:highlight w:val="none"/>
          <w:lang w:val="en-US" w:eastAsia="zh-CN"/>
        </w:rPr>
        <w:t xml:space="preserve">签订时间 </w:t>
      </w:r>
      <w:r>
        <w:rPr>
          <w:rFonts w:hint="eastAsia" w:ascii="仿宋" w:hAnsi="仿宋" w:eastAsia="仿宋" w:cs="仿宋"/>
          <w:b/>
          <w:bCs w:val="0"/>
          <w:color w:val="auto"/>
          <w:sz w:val="28"/>
          <w:szCs w:val="28"/>
          <w:highlight w:val="none"/>
          <w:u w:val="single"/>
          <w:lang w:val="en-US" w:eastAsia="zh-CN"/>
        </w:rPr>
        <w:t xml:space="preserve">        </w:t>
      </w:r>
      <w:r>
        <w:rPr>
          <w:rFonts w:hint="eastAsia" w:ascii="仿宋" w:hAnsi="仿宋" w:eastAsia="仿宋" w:cs="仿宋"/>
          <w:b/>
          <w:bCs w:val="0"/>
          <w:color w:val="auto"/>
          <w:sz w:val="28"/>
          <w:szCs w:val="28"/>
          <w:highlight w:val="none"/>
          <w:u w:val="none"/>
          <w:lang w:val="en-US" w:eastAsia="zh-CN"/>
        </w:rPr>
        <w:t>年</w:t>
      </w:r>
      <w:r>
        <w:rPr>
          <w:rFonts w:hint="eastAsia" w:ascii="仿宋" w:hAnsi="仿宋" w:eastAsia="仿宋" w:cs="仿宋"/>
          <w:b/>
          <w:bCs w:val="0"/>
          <w:color w:val="auto"/>
          <w:sz w:val="28"/>
          <w:szCs w:val="28"/>
          <w:highlight w:val="none"/>
          <w:u w:val="single"/>
          <w:lang w:val="en-US" w:eastAsia="zh-CN"/>
        </w:rPr>
        <w:t xml:space="preserve">      </w:t>
      </w:r>
      <w:r>
        <w:rPr>
          <w:rFonts w:hint="eastAsia" w:ascii="仿宋" w:hAnsi="仿宋" w:eastAsia="仿宋" w:cs="仿宋"/>
          <w:b/>
          <w:bCs w:val="0"/>
          <w:color w:val="auto"/>
          <w:sz w:val="28"/>
          <w:szCs w:val="28"/>
          <w:highlight w:val="none"/>
          <w:u w:val="none"/>
          <w:lang w:val="en-US" w:eastAsia="zh-CN"/>
        </w:rPr>
        <w:t>月</w:t>
      </w:r>
      <w:r>
        <w:rPr>
          <w:rFonts w:hint="eastAsia" w:ascii="仿宋" w:hAnsi="仿宋" w:eastAsia="仿宋" w:cs="仿宋"/>
          <w:b/>
          <w:bCs w:val="0"/>
          <w:color w:val="auto"/>
          <w:sz w:val="28"/>
          <w:szCs w:val="28"/>
          <w:highlight w:val="none"/>
          <w:u w:val="single"/>
          <w:lang w:val="en-US" w:eastAsia="zh-CN"/>
        </w:rPr>
        <w:t xml:space="preserve">      </w:t>
      </w:r>
      <w:r>
        <w:rPr>
          <w:rFonts w:hint="eastAsia" w:ascii="仿宋" w:hAnsi="仿宋" w:eastAsia="仿宋" w:cs="仿宋"/>
          <w:b/>
          <w:bCs w:val="0"/>
          <w:color w:val="auto"/>
          <w:sz w:val="28"/>
          <w:szCs w:val="28"/>
          <w:highlight w:val="none"/>
          <w:u w:val="none"/>
          <w:lang w:val="en-US" w:eastAsia="zh-CN"/>
        </w:rPr>
        <w:t>日</w:t>
      </w:r>
    </w:p>
    <w:p>
      <w:pPr>
        <w:spacing w:before="0"/>
        <w:ind w:left="0" w:right="0" w:firstLine="0"/>
        <w:jc w:val="left"/>
        <w:rPr>
          <w:rFonts w:hint="eastAsia" w:ascii="宋体" w:hAnsi="宋体"/>
          <w:b/>
          <w:color w:val="auto"/>
          <w:sz w:val="24"/>
          <w:szCs w:val="24"/>
          <w:highlight w:val="none"/>
        </w:rPr>
      </w:pPr>
      <w:r>
        <w:rPr>
          <w:rFonts w:hint="eastAsia" w:ascii="宋体" w:hAnsi="宋体"/>
          <w:b/>
          <w:color w:val="auto"/>
          <w:sz w:val="24"/>
          <w:szCs w:val="24"/>
          <w:highlight w:val="none"/>
        </w:rPr>
        <w:br w:type="page"/>
      </w:r>
    </w:p>
    <w:p>
      <w:pPr>
        <w:spacing w:before="0"/>
        <w:ind w:right="0" w:firstLine="200"/>
        <w:jc w:val="center"/>
        <w:outlineLvl w:val="1"/>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二</w:t>
      </w:r>
      <w:r>
        <w:rPr>
          <w:rFonts w:hint="eastAsia" w:ascii="宋体" w:hAnsi="宋体"/>
          <w:b/>
          <w:color w:val="auto"/>
          <w:sz w:val="24"/>
          <w:szCs w:val="24"/>
          <w:highlight w:val="none"/>
        </w:rPr>
        <w:t>、</w:t>
      </w:r>
      <w:r>
        <w:rPr>
          <w:rFonts w:hint="eastAsia" w:ascii="宋体" w:hAnsi="宋体"/>
          <w:b/>
          <w:color w:val="auto"/>
          <w:sz w:val="24"/>
          <w:szCs w:val="24"/>
          <w:highlight w:val="none"/>
          <w:lang w:val="en-US" w:eastAsia="zh-CN"/>
        </w:rPr>
        <w:t>中选通知</w:t>
      </w:r>
      <w:r>
        <w:rPr>
          <w:rFonts w:hint="eastAsia" w:ascii="宋体" w:hAnsi="宋体"/>
          <w:b/>
          <w:color w:val="auto"/>
          <w:sz w:val="24"/>
          <w:szCs w:val="24"/>
          <w:highlight w:val="none"/>
        </w:rPr>
        <w:t>书</w:t>
      </w:r>
    </w:p>
    <w:p>
      <w:pPr>
        <w:spacing w:before="0"/>
        <w:ind w:right="0" w:firstLine="0"/>
        <w:jc w:val="left"/>
        <w:outlineLvl w:val="9"/>
        <w:rPr>
          <w:color w:val="auto"/>
          <w:highlight w:val="none"/>
        </w:rPr>
      </w:pPr>
      <w:r>
        <w:rPr>
          <w:rFonts w:hint="eastAsia" w:ascii="宋体" w:hAnsi="宋体"/>
          <w:b/>
          <w:color w:val="auto"/>
          <w:sz w:val="24"/>
          <w:szCs w:val="24"/>
          <w:highlight w:val="none"/>
        </w:rPr>
        <w:br w:type="page"/>
      </w:r>
    </w:p>
    <w:p>
      <w:pPr>
        <w:spacing w:before="0"/>
        <w:ind w:right="0" w:firstLine="200"/>
        <w:jc w:val="center"/>
        <w:outlineLvl w:val="1"/>
        <w:rPr>
          <w:rFonts w:ascii="宋体" w:hAnsi="宋体"/>
          <w:b/>
          <w:color w:val="auto"/>
          <w:sz w:val="32"/>
          <w:szCs w:val="32"/>
          <w:highlight w:val="none"/>
        </w:rPr>
      </w:pPr>
      <w:bookmarkStart w:id="1199" w:name="_Toc6561"/>
      <w:bookmarkStart w:id="1200" w:name="_Toc5927"/>
      <w:bookmarkStart w:id="1201" w:name="_Toc31675"/>
      <w:bookmarkStart w:id="1202" w:name="_Toc30010"/>
      <w:bookmarkStart w:id="1203" w:name="_Toc32148"/>
      <w:r>
        <w:rPr>
          <w:rFonts w:hint="eastAsia" w:ascii="宋体" w:hAnsi="宋体"/>
          <w:b/>
          <w:color w:val="auto"/>
          <w:sz w:val="32"/>
          <w:szCs w:val="32"/>
          <w:highlight w:val="none"/>
          <w:lang w:val="en-US" w:eastAsia="zh-CN"/>
        </w:rPr>
        <w:t>三</w:t>
      </w:r>
      <w:r>
        <w:rPr>
          <w:rFonts w:hint="eastAsia" w:ascii="宋体" w:hAnsi="宋体"/>
          <w:b/>
          <w:color w:val="auto"/>
          <w:sz w:val="32"/>
          <w:szCs w:val="32"/>
          <w:highlight w:val="none"/>
        </w:rPr>
        <w:t>、合同条款</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9"/>
      <w:bookmarkEnd w:id="1200"/>
      <w:bookmarkEnd w:id="1201"/>
      <w:bookmarkEnd w:id="1202"/>
      <w:bookmarkEnd w:id="1203"/>
    </w:p>
    <w:p>
      <w:pPr>
        <w:pStyle w:val="6"/>
        <w:keepNext w:val="0"/>
        <w:keepLines w:val="0"/>
        <w:pageBreakBefore w:val="0"/>
        <w:widowControl/>
        <w:kinsoku/>
        <w:wordWrap/>
        <w:overflowPunct/>
        <w:topLinePunct w:val="0"/>
        <w:autoSpaceDE/>
        <w:autoSpaceDN/>
        <w:bidi w:val="0"/>
        <w:adjustRightInd/>
        <w:snapToGrid/>
        <w:spacing w:before="0" w:after="0" w:afterAutospacing="0" w:line="560" w:lineRule="exact"/>
        <w:ind w:left="709" w:right="0" w:hanging="709"/>
        <w:textAlignment w:val="auto"/>
        <w:rPr>
          <w:rFonts w:hint="eastAsia" w:ascii="仿宋" w:hAnsi="仿宋" w:eastAsia="仿宋" w:cs="仿宋"/>
          <w:color w:val="auto"/>
          <w:sz w:val="28"/>
          <w:szCs w:val="28"/>
          <w:highlight w:val="none"/>
        </w:rPr>
      </w:pPr>
      <w:bookmarkStart w:id="1204" w:name="_Toc3658_WPSOffice_Level2"/>
      <w:r>
        <w:rPr>
          <w:rFonts w:hint="eastAsia" w:ascii="仿宋" w:hAnsi="仿宋" w:eastAsia="仿宋" w:cs="仿宋"/>
          <w:color w:val="auto"/>
          <w:sz w:val="28"/>
          <w:szCs w:val="28"/>
          <w:highlight w:val="none"/>
        </w:rPr>
        <w:t>1.定义</w:t>
      </w:r>
      <w:bookmarkEnd w:id="1204"/>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right="0" w:firstLine="0" w:firstLine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在合同中，下列措词和用语具有此处所赋予的它们的含义：</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2"/>
          <w:sz w:val="28"/>
          <w:szCs w:val="28"/>
          <w:highlight w:val="none"/>
        </w:rPr>
        <w:t>1.1</w:t>
      </w:r>
      <w:r>
        <w:rPr>
          <w:rFonts w:hint="eastAsia" w:ascii="仿宋" w:hAnsi="仿宋" w:eastAsia="仿宋" w:cs="仿宋"/>
          <w:color w:val="auto"/>
          <w:sz w:val="28"/>
          <w:szCs w:val="28"/>
          <w:highlight w:val="none"/>
        </w:rPr>
        <w:t>甲方：指南宁轨道交通运营有限公司。</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1.2乙方：指受甲方委托，负责本项目中标的单位。按照合同文件规定提供完整的服务。</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1.3合同文件（或称合同）：指合同协议书、中标通知书、合同条款、合同附件、用户需求书、</w:t>
      </w:r>
      <w:r>
        <w:rPr>
          <w:rFonts w:hint="eastAsia" w:ascii="仿宋" w:hAnsi="仿宋" w:eastAsia="仿宋" w:cs="仿宋"/>
          <w:color w:val="auto"/>
          <w:sz w:val="28"/>
          <w:szCs w:val="28"/>
          <w:highlight w:val="none"/>
          <w:lang w:val="en-US" w:eastAsia="zh-CN"/>
        </w:rPr>
        <w:t>比选</w:t>
      </w:r>
      <w:r>
        <w:rPr>
          <w:rFonts w:hint="eastAsia" w:ascii="仿宋" w:hAnsi="仿宋" w:eastAsia="仿宋" w:cs="仿宋"/>
          <w:color w:val="auto"/>
          <w:sz w:val="28"/>
          <w:szCs w:val="28"/>
          <w:highlight w:val="none"/>
        </w:rPr>
        <w:t>文件和澄清文件及甲方对管理的有关规定等。</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1.4书面函件：指合同文件、信函、传真、电子邮件等可以有形表现记载内容的形式。</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1.5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pStyle w:val="6"/>
        <w:keepNext w:val="0"/>
        <w:keepLines w:val="0"/>
        <w:pageBreakBefore w:val="0"/>
        <w:widowControl/>
        <w:numPr>
          <w:ilvl w:val="0"/>
          <w:numId w:val="0"/>
        </w:numPr>
        <w:kinsoku/>
        <w:wordWrap/>
        <w:overflowPunct/>
        <w:topLinePunct w:val="0"/>
        <w:autoSpaceDE/>
        <w:autoSpaceDN/>
        <w:bidi w:val="0"/>
        <w:adjustRightInd/>
        <w:snapToGrid/>
        <w:spacing w:before="0" w:after="0" w:afterAutospacing="0" w:line="560" w:lineRule="exact"/>
        <w:ind w:leftChars="0" w:right="0" w:rightChars="0"/>
        <w:textAlignment w:val="auto"/>
        <w:rPr>
          <w:rFonts w:hint="eastAsia" w:ascii="仿宋" w:hAnsi="仿宋" w:eastAsia="仿宋" w:cs="仿宋"/>
          <w:color w:val="auto"/>
          <w:sz w:val="28"/>
          <w:szCs w:val="28"/>
          <w:highlight w:val="none"/>
        </w:rPr>
      </w:pPr>
      <w:bookmarkStart w:id="1205" w:name="_Toc1724566"/>
      <w:bookmarkStart w:id="1206" w:name="_Toc24747_WPSOffice_Level2"/>
      <w:bookmarkStart w:id="1207" w:name="_Toc24850"/>
      <w:bookmarkStart w:id="1208" w:name="_Toc13282"/>
      <w:bookmarkStart w:id="1209" w:name="_Toc5435"/>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语言文字</w:t>
      </w:r>
      <w:bookmarkEnd w:id="1205"/>
      <w:bookmarkEnd w:id="1206"/>
      <w:bookmarkEnd w:id="1207"/>
      <w:bookmarkEnd w:id="1208"/>
      <w:bookmarkEnd w:id="1209"/>
    </w:p>
    <w:p>
      <w:pPr>
        <w:pStyle w:val="6"/>
        <w:keepNext w:val="0"/>
        <w:keepLines w:val="0"/>
        <w:pageBreakBefore w:val="0"/>
        <w:widowControl/>
        <w:numPr>
          <w:ilvl w:val="0"/>
          <w:numId w:val="0"/>
        </w:numPr>
        <w:kinsoku/>
        <w:wordWrap/>
        <w:overflowPunct/>
        <w:topLinePunct w:val="0"/>
        <w:autoSpaceDE/>
        <w:autoSpaceDN/>
        <w:bidi w:val="0"/>
        <w:adjustRightInd/>
        <w:snapToGrid/>
        <w:spacing w:before="0" w:after="0" w:afterAutospacing="0" w:line="560" w:lineRule="exact"/>
        <w:ind w:left="0" w:leftChars="0" w:right="0" w:rightChars="0" w:firstLine="560" w:firstLineChars="200"/>
        <w:textAlignment w:val="auto"/>
        <w:rPr>
          <w:rFonts w:hint="eastAsia" w:ascii="仿宋" w:hAnsi="仿宋" w:eastAsia="仿宋" w:cs="仿宋"/>
          <w:b w:val="0"/>
          <w:color w:val="auto"/>
          <w:kern w:val="0"/>
          <w:sz w:val="28"/>
          <w:szCs w:val="28"/>
          <w:highlight w:val="none"/>
          <w:lang w:val="en-US" w:eastAsia="zh-CN" w:bidi="ar-SA"/>
        </w:rPr>
      </w:pPr>
      <w:r>
        <w:rPr>
          <w:rFonts w:hint="eastAsia" w:ascii="仿宋" w:hAnsi="仿宋" w:eastAsia="仿宋" w:cs="仿宋"/>
          <w:b w:val="0"/>
          <w:color w:val="auto"/>
          <w:kern w:val="0"/>
          <w:sz w:val="28"/>
          <w:szCs w:val="28"/>
          <w:highlight w:val="none"/>
          <w:lang w:val="en-US" w:eastAsia="zh-CN" w:bidi="ar-SA"/>
        </w:rPr>
        <w:t>除专用术语外，合同使用的语言文字为中文。专用术语在使用其他语种文字应附有中文注释。</w:t>
      </w:r>
    </w:p>
    <w:p>
      <w:pPr>
        <w:pStyle w:val="6"/>
        <w:keepNext w:val="0"/>
        <w:keepLines w:val="0"/>
        <w:pageBreakBefore w:val="0"/>
        <w:widowControl/>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210" w:name="_Toc28587_WPSOffice_Level2"/>
      <w:bookmarkStart w:id="1211" w:name="_Toc17770"/>
      <w:bookmarkStart w:id="1212" w:name="_Toc5046"/>
      <w:bookmarkStart w:id="1213" w:name="_Toc8727"/>
      <w:bookmarkStart w:id="1214" w:name="_Toc1724567"/>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适用法律、标准和规范</w:t>
      </w:r>
      <w:bookmarkEnd w:id="1210"/>
      <w:bookmarkEnd w:id="1211"/>
      <w:bookmarkEnd w:id="1212"/>
      <w:bookmarkEnd w:id="1213"/>
      <w:bookmarkEnd w:id="1214"/>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3.1适用于合同的法律包括国家现行法律、行政法规、部门规章，以及广西壮族自治区和南宁市的地方法规、地方政府规章。</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3.2适用标准、规范。</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3.3除甲方的“技术规格书”的特别要求外，标准及规范应适用国家现行标准、规范；没有国家标准、规范但有行业标准、规范的，约定适用行业标准、规范；没有国家和行业标准、规范的，适用广西壮族自治区或南宁市标准、规范。</w:t>
      </w:r>
    </w:p>
    <w:p>
      <w:pPr>
        <w:pStyle w:val="6"/>
        <w:keepNext w:val="0"/>
        <w:keepLines w:val="0"/>
        <w:pageBreakBefore w:val="0"/>
        <w:widowControl/>
        <w:kinsoku/>
        <w:wordWrap/>
        <w:overflowPunct/>
        <w:topLinePunct w:val="0"/>
        <w:autoSpaceDE/>
        <w:autoSpaceDN/>
        <w:bidi w:val="0"/>
        <w:adjustRightInd/>
        <w:snapToGrid/>
        <w:spacing w:before="0" w:after="0" w:afterAutospacing="0" w:line="560" w:lineRule="exact"/>
        <w:ind w:left="709" w:leftChars="0" w:right="0" w:hanging="709"/>
        <w:textAlignment w:val="auto"/>
        <w:rPr>
          <w:rFonts w:hint="eastAsia" w:ascii="仿宋" w:hAnsi="仿宋" w:eastAsia="仿宋" w:cs="仿宋"/>
          <w:color w:val="auto"/>
          <w:sz w:val="28"/>
          <w:szCs w:val="28"/>
          <w:highlight w:val="none"/>
        </w:rPr>
      </w:pPr>
      <w:bookmarkStart w:id="1215" w:name="_Toc1913"/>
      <w:bookmarkStart w:id="1216" w:name="_Toc17094"/>
      <w:bookmarkStart w:id="1217" w:name="_Toc17777_WPSOffice_Level2"/>
      <w:bookmarkStart w:id="1218" w:name="_Toc10445"/>
      <w:bookmarkStart w:id="1219" w:name="_Toc1724568"/>
      <w:r>
        <w:rPr>
          <w:rFonts w:hint="eastAsia" w:ascii="仿宋" w:hAnsi="仿宋" w:eastAsia="仿宋" w:cs="仿宋"/>
          <w:color w:val="auto"/>
          <w:sz w:val="28"/>
          <w:szCs w:val="28"/>
          <w:highlight w:val="none"/>
        </w:rPr>
        <w:t>4.项目内容及技术要求</w:t>
      </w:r>
      <w:bookmarkEnd w:id="1215"/>
      <w:bookmarkEnd w:id="1216"/>
      <w:bookmarkEnd w:id="1217"/>
      <w:bookmarkEnd w:id="1218"/>
      <w:bookmarkEnd w:id="1219"/>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详见：技术规格书。</w:t>
      </w:r>
    </w:p>
    <w:p>
      <w:pPr>
        <w:pStyle w:val="6"/>
        <w:keepNext w:val="0"/>
        <w:keepLines w:val="0"/>
        <w:pageBreakBefore w:val="0"/>
        <w:numPr>
          <w:ilvl w:val="0"/>
          <w:numId w:val="0"/>
        </w:numPr>
        <w:kinsoku/>
        <w:wordWrap/>
        <w:overflowPunct/>
        <w:topLinePunct w:val="0"/>
        <w:bidi w:val="0"/>
        <w:spacing w:before="0" w:after="0" w:afterAutospacing="0" w:line="560" w:lineRule="exact"/>
        <w:ind w:right="0" w:rightChars="0"/>
        <w:textAlignment w:val="auto"/>
        <w:rPr>
          <w:rFonts w:hint="eastAsia" w:ascii="仿宋" w:hAnsi="仿宋" w:eastAsia="仿宋" w:cs="仿宋"/>
          <w:color w:val="auto"/>
          <w:sz w:val="28"/>
          <w:szCs w:val="28"/>
          <w:highlight w:val="none"/>
        </w:rPr>
      </w:pPr>
      <w:bookmarkStart w:id="1220" w:name="_Toc27138"/>
      <w:bookmarkStart w:id="1221" w:name="_Toc1724569"/>
      <w:bookmarkStart w:id="1222" w:name="_Toc14240"/>
      <w:bookmarkStart w:id="1223" w:name="_Toc15423_WPSOffice_Level2"/>
      <w:bookmarkStart w:id="1224" w:name="_Toc21494"/>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甲</w:t>
      </w:r>
      <w:r>
        <w:rPr>
          <w:rFonts w:hint="eastAsia" w:ascii="仿宋" w:hAnsi="仿宋" w:eastAsia="仿宋" w:cs="仿宋"/>
          <w:color w:val="auto"/>
          <w:sz w:val="28"/>
          <w:szCs w:val="28"/>
          <w:highlight w:val="none"/>
          <w:lang w:val="en-US" w:eastAsia="zh-CN"/>
        </w:rPr>
        <w:t>乙</w:t>
      </w:r>
      <w:r>
        <w:rPr>
          <w:rFonts w:hint="eastAsia" w:ascii="仿宋" w:hAnsi="仿宋" w:eastAsia="仿宋" w:cs="仿宋"/>
          <w:color w:val="auto"/>
          <w:sz w:val="28"/>
          <w:szCs w:val="28"/>
          <w:highlight w:val="none"/>
        </w:rPr>
        <w:t>方权利</w:t>
      </w:r>
      <w:r>
        <w:rPr>
          <w:rFonts w:hint="eastAsia" w:ascii="仿宋" w:hAnsi="仿宋" w:eastAsia="仿宋" w:cs="仿宋"/>
          <w:color w:val="auto"/>
          <w:sz w:val="28"/>
          <w:szCs w:val="28"/>
          <w:highlight w:val="none"/>
          <w:lang w:val="en-US" w:eastAsia="zh-CN"/>
        </w:rPr>
        <w:t>与</w:t>
      </w:r>
      <w:r>
        <w:rPr>
          <w:rFonts w:hint="eastAsia" w:ascii="仿宋" w:hAnsi="仿宋" w:eastAsia="仿宋" w:cs="仿宋"/>
          <w:color w:val="auto"/>
          <w:sz w:val="28"/>
          <w:szCs w:val="28"/>
          <w:highlight w:val="none"/>
        </w:rPr>
        <w:t>义务</w:t>
      </w:r>
      <w:bookmarkEnd w:id="1220"/>
      <w:bookmarkEnd w:id="1221"/>
      <w:bookmarkEnd w:id="1222"/>
      <w:bookmarkEnd w:id="1223"/>
      <w:bookmarkEnd w:id="1224"/>
    </w:p>
    <w:p>
      <w:pPr>
        <w:keepNext w:val="0"/>
        <w:keepLines w:val="0"/>
        <w:pageBreakBefore w:val="0"/>
        <w:kinsoku/>
        <w:wordWrap/>
        <w:overflowPunct/>
        <w:topLinePunct w:val="0"/>
        <w:bidi w:val="0"/>
        <w:spacing w:before="0" w:after="0" w:afterAutospacing="0" w:line="560" w:lineRule="exact"/>
        <w:ind w:left="0" w:leftChars="0" w:right="0" w:firstLine="560" w:firstLineChars="200"/>
        <w:textAlignment w:val="auto"/>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rPr>
        <w:t>5.1</w:t>
      </w:r>
      <w:r>
        <w:rPr>
          <w:rFonts w:hint="eastAsia" w:ascii="仿宋" w:hAnsi="仿宋" w:eastAsia="仿宋" w:cs="仿宋"/>
          <w:bCs/>
          <w:color w:val="auto"/>
          <w:sz w:val="28"/>
          <w:szCs w:val="28"/>
          <w:highlight w:val="none"/>
          <w:lang w:val="en-US" w:eastAsia="zh-CN"/>
        </w:rPr>
        <w:t>甲方的权利与义务</w:t>
      </w:r>
    </w:p>
    <w:p>
      <w:pPr>
        <w:keepNext w:val="0"/>
        <w:keepLines w:val="0"/>
        <w:pageBreakBefore w:val="0"/>
        <w:kinsoku/>
        <w:wordWrap/>
        <w:overflowPunct/>
        <w:topLinePunct w:val="0"/>
        <w:bidi w:val="0"/>
        <w:spacing w:before="0" w:after="0" w:afterAutospacing="0" w:line="560" w:lineRule="exact"/>
        <w:ind w:left="0" w:leftChars="0" w:right="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5.1.1甲方人员应积极配合乙方工作，提供必要的档案业务指导，提供符合档案工作要求的场地、办公桌椅等供乙方布置现场并开展工作</w:t>
      </w:r>
      <w:r>
        <w:rPr>
          <w:rFonts w:hint="eastAsia" w:ascii="仿宋" w:hAnsi="仿宋" w:eastAsia="仿宋" w:cs="仿宋"/>
          <w:bCs/>
          <w:color w:val="auto"/>
          <w:sz w:val="28"/>
          <w:szCs w:val="28"/>
          <w:highlight w:val="none"/>
        </w:rPr>
        <w:t>。</w:t>
      </w:r>
    </w:p>
    <w:p>
      <w:pPr>
        <w:keepNext w:val="0"/>
        <w:keepLines w:val="0"/>
        <w:pageBreakBefore w:val="0"/>
        <w:kinsoku/>
        <w:wordWrap/>
        <w:overflowPunct/>
        <w:topLinePunct w:val="0"/>
        <w:bidi w:val="0"/>
        <w:spacing w:before="0" w:after="0" w:afterAutospacing="0" w:line="560" w:lineRule="exact"/>
        <w:ind w:left="0" w:leftChars="0" w:right="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w:t>
      </w: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2</w:t>
      </w:r>
      <w:r>
        <w:rPr>
          <w:rFonts w:hint="eastAsia" w:ascii="仿宋" w:hAnsi="仿宋" w:eastAsia="仿宋" w:cs="仿宋"/>
          <w:bCs/>
          <w:color w:val="auto"/>
          <w:sz w:val="28"/>
          <w:szCs w:val="28"/>
          <w:highlight w:val="none"/>
          <w:lang w:val="en-US" w:eastAsia="zh-CN"/>
        </w:rPr>
        <w:t>甲方有权对乙方服务计划进行确认，对服务过程进行监督，对服务成果进行核查评价</w:t>
      </w:r>
      <w:r>
        <w:rPr>
          <w:rFonts w:hint="eastAsia" w:ascii="仿宋" w:hAnsi="仿宋" w:eastAsia="仿宋" w:cs="仿宋"/>
          <w:bCs/>
          <w:color w:val="auto"/>
          <w:sz w:val="28"/>
          <w:szCs w:val="28"/>
          <w:highlight w:val="none"/>
        </w:rPr>
        <w:t>。</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bookmarkStart w:id="1225" w:name="_Toc22193"/>
      <w:bookmarkStart w:id="1226" w:name="_Toc3310"/>
      <w:bookmarkStart w:id="1227" w:name="_Toc1724587"/>
      <w:bookmarkStart w:id="1228" w:name="_Toc3665"/>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合同执行过程中甲方有权要求乙方项目负责人及服务团队相关人员参加本合同项下服务内容相关的会议或其他汇报</w:t>
      </w:r>
      <w:r>
        <w:rPr>
          <w:rFonts w:hint="eastAsia" w:ascii="仿宋" w:hAnsi="仿宋" w:eastAsia="仿宋" w:cs="仿宋"/>
          <w:color w:val="auto"/>
          <w:sz w:val="28"/>
          <w:szCs w:val="28"/>
          <w:highlight w:val="none"/>
        </w:rPr>
        <w:t>。</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5.1.4甲方有义务按照合同约定支付乙方服务费用。</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5.1.5项目实施期间，乙方工作人员如违反甲方管理制度的，或被甲方认定为不合格的，甲方有权要求乙方立即撤换相关人员，乙方不得对此提出异议。</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2乙方的权利与义务</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.1乙方负责保证档案整理及数字化加工服务工作的科学性及规范性，工作严谨、成果准确，并履行本合同所规定的各项要求，在整个服务过程中应确保甲方档案的真实、完整、可用和安全。</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2.2乙方应就工作的进展情况及存在的问题向甲方及时汇报，并有责任在接到甲方反馈的意见后及时及时正确修改和完善原有工作计划和工作内容</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确保在每年上级档案主管部门年检前10个工作日，完成对应各项检查内容所需佐证材料的准备工作。</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5.2.3乙方项目负责人每月月末统计当月工作数量，总结工作情况，及时报送给甲方。</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5.2.4乙方负责积极配合甲方工作需求，确保项目负责人及服务团队相关人员及时参与本合同项下服务内容相关的会议或其他汇报。在必要时需协助甲方做好文件资料清点接收、档案上架调架、整理阶段文件的查找利用以及上级档案主管部门年检所需的佐证材料的准备工作等。</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5.2.5乙方必须遵守甲方的管理制度，不得随意使用与项目工作无关的电器、设备，不得再项目现场用餐饮食，保证项目现场设备设施、人员及档案的安全。</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5.2.6乙方负责提供完成档案整理及数字化加工服务所需的各种硬件设备（电脑、扫描仪、打印机、DVD光盘刻录设备等）、软件、各类耗材（纸张、夹子、装订针线、白乳胶、文具等书写、装订工具）等，所使用的设备、软件、耗材必须符合档案管理和保护的要求。进场硬件设备须编号登记，并提供设备清单给甲方备查，清单内未登记的设备未经允许不得带入项目现场，本次项目完成后，乙方须将所有进场计算机的硬盘及数据移交给甲方。</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5.2.7项目实施过程中，甲方根据工作量需要乙方增派实施人员进场时，乙方须在接到通知后5个工作日内安排实施人员进场工作。</w:t>
      </w:r>
    </w:p>
    <w:p>
      <w:pPr>
        <w:autoSpaceDE/>
        <w:autoSpaceDN/>
        <w:adjustRightInd/>
        <w:snapToGrid/>
        <w:spacing w:before="0" w:after="0" w:afterAutospacing="0" w:line="560" w:lineRule="exact"/>
        <w:ind w:left="0" w:right="0"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5.2.8在项目实施过程中</w:t>
      </w:r>
      <w:r>
        <w:rPr>
          <w:rFonts w:hint="eastAsia" w:ascii="仿宋" w:hAnsi="仿宋" w:eastAsia="仿宋" w:cs="仿宋"/>
          <w:color w:val="auto"/>
          <w:sz w:val="28"/>
          <w:szCs w:val="28"/>
          <w:highlight w:val="none"/>
        </w:rPr>
        <w:t>，乙方更换人员时须报甲方同意，且更换人员必须与比选申请承诺的资历（资历是指被更换人员的学历、资格条件、职称、业绩经验）和能力等方面相当。否则视为乙方违约，并扣以以下违约金：项目</w:t>
      </w:r>
      <w:r>
        <w:rPr>
          <w:rFonts w:hint="eastAsia" w:ascii="仿宋" w:hAnsi="仿宋" w:eastAsia="仿宋" w:cs="仿宋"/>
          <w:color w:val="auto"/>
          <w:sz w:val="28"/>
          <w:szCs w:val="28"/>
          <w:highlight w:val="none"/>
          <w:lang w:val="en-US" w:eastAsia="zh-CN"/>
        </w:rPr>
        <w:t>负责人</w:t>
      </w:r>
      <w:r>
        <w:rPr>
          <w:rFonts w:hint="eastAsia" w:ascii="仿宋" w:hAnsi="仿宋" w:eastAsia="仿宋" w:cs="仿宋"/>
          <w:color w:val="auto"/>
          <w:sz w:val="28"/>
          <w:szCs w:val="28"/>
          <w:highlight w:val="none"/>
        </w:rPr>
        <w:t>1万元/人次，</w:t>
      </w:r>
      <w:r>
        <w:rPr>
          <w:rFonts w:hint="eastAsia" w:ascii="仿宋" w:hAnsi="仿宋" w:eastAsia="仿宋" w:cs="仿宋"/>
          <w:color w:val="auto"/>
          <w:sz w:val="28"/>
          <w:szCs w:val="28"/>
          <w:highlight w:val="none"/>
          <w:lang w:val="en-US" w:eastAsia="zh-CN"/>
        </w:rPr>
        <w:t>项目团队成员</w:t>
      </w:r>
      <w:r>
        <w:rPr>
          <w:rFonts w:hint="eastAsia" w:ascii="仿宋" w:hAnsi="仿宋" w:eastAsia="仿宋" w:cs="仿宋"/>
          <w:color w:val="auto"/>
          <w:sz w:val="28"/>
          <w:szCs w:val="28"/>
          <w:highlight w:val="none"/>
        </w:rPr>
        <w:t>5000元/人次。同时，甲方有权解除合同。</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5.2.8乙方在工作中必须与甲方做好档案出入库的清点交接，填写档案交接单一式两份。乙方按照规范制作工作流程单，对档案整理、数字化加工等各个环节的工作情况进行记录。工作流程单与档案实体同步流转，完工后全部移交给甲方。</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5.2.9对正在进行整理或数字化加工的档案，乙方须安排专人保管，每天入库（柜），不得在工位上留存过夜。对于整理或数字化加工完毕的档案，双方应及时办理交接手续，接收入库保存。</w:t>
      </w:r>
    </w:p>
    <w:p>
      <w:pPr>
        <w:pStyle w:val="72"/>
        <w:keepNext w:val="0"/>
        <w:keepLines w:val="0"/>
        <w:pageBreakBefore w:val="0"/>
        <w:widowControl/>
        <w:kinsoku/>
        <w:wordWrap/>
        <w:overflowPunct/>
        <w:topLinePunct w:val="0"/>
        <w:autoSpaceDE w:val="0"/>
        <w:autoSpaceDN w:val="0"/>
        <w:bidi w:val="0"/>
        <w:adjustRightInd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5.2.10乙方拥有依合同约定如期取得服务报酬的权利。</w:t>
      </w:r>
    </w:p>
    <w:p>
      <w:pPr>
        <w:pStyle w:val="6"/>
        <w:keepNext w:val="0"/>
        <w:keepLines w:val="0"/>
        <w:pageBreakBefore w:val="0"/>
        <w:kinsoku/>
        <w:wordWrap/>
        <w:overflowPunct/>
        <w:topLinePunct w:val="0"/>
        <w:bidi w:val="0"/>
        <w:spacing w:before="0" w:after="0" w:afterAutospacing="0" w:line="560" w:lineRule="exact"/>
        <w:ind w:left="945" w:leftChars="133" w:right="0" w:hanging="666" w:hangingChars="237"/>
        <w:textAlignment w:val="auto"/>
        <w:rPr>
          <w:rFonts w:hint="eastAsia" w:ascii="仿宋" w:hAnsi="仿宋" w:eastAsia="仿宋" w:cs="仿宋"/>
          <w:color w:val="auto"/>
          <w:sz w:val="28"/>
          <w:szCs w:val="28"/>
          <w:highlight w:val="none"/>
        </w:rPr>
      </w:pPr>
      <w:bookmarkStart w:id="1229" w:name="_Toc2769_WPSOffice_Level2"/>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.合同价格</w:t>
      </w:r>
      <w:bookmarkEnd w:id="1225"/>
      <w:bookmarkEnd w:id="1226"/>
      <w:bookmarkEnd w:id="1227"/>
      <w:bookmarkEnd w:id="1228"/>
      <w:bookmarkEnd w:id="1229"/>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sz w:val="28"/>
          <w:szCs w:val="28"/>
          <w:highlight w:val="none"/>
          <w:lang w:val="en-US" w:eastAsia="zh-CN"/>
        </w:rPr>
        <w:t>6.1</w:t>
      </w:r>
      <w:r>
        <w:rPr>
          <w:rFonts w:hint="eastAsia" w:ascii="仿宋" w:hAnsi="仿宋" w:eastAsia="仿宋" w:cs="仿宋"/>
          <w:color w:val="auto"/>
          <w:sz w:val="28"/>
          <w:szCs w:val="28"/>
          <w:highlight w:val="none"/>
        </w:rPr>
        <w:t>本合同不含税总价为（大写）</w:t>
      </w:r>
      <w:r>
        <w:rPr>
          <w:rFonts w:hint="eastAsia" w:ascii="仿宋" w:hAnsi="仿宋" w:eastAsia="仿宋" w:cs="仿宋"/>
          <w:color w:val="auto"/>
          <w:sz w:val="28"/>
          <w:szCs w:val="28"/>
          <w:highlight w:val="none"/>
          <w:lang w:val="en-US" w:eastAsia="zh-CN"/>
        </w:rPr>
        <w:t xml:space="preserve">人民币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元</w:t>
      </w:r>
      <w:r>
        <w:rPr>
          <w:rFonts w:hint="eastAsia" w:ascii="仿宋" w:hAnsi="仿宋" w:eastAsia="仿宋" w:cs="仿宋"/>
          <w:color w:val="auto"/>
          <w:sz w:val="28"/>
          <w:szCs w:val="28"/>
          <w:highlight w:val="none"/>
        </w:rPr>
        <w:t>），增值税税率为</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，税额为</w:t>
      </w:r>
      <w:r>
        <w:rPr>
          <w:rFonts w:hint="eastAsia" w:ascii="仿宋" w:hAnsi="仿宋" w:eastAsia="仿宋" w:cs="仿宋"/>
          <w:color w:val="auto"/>
          <w:sz w:val="28"/>
          <w:szCs w:val="28"/>
          <w:highlight w:val="none"/>
          <w:lang w:val="en-US" w:eastAsia="zh-CN"/>
        </w:rPr>
        <w:t xml:space="preserve">人民币  </w:t>
      </w:r>
      <w:r>
        <w:rPr>
          <w:rFonts w:hint="eastAsia" w:ascii="仿宋" w:hAnsi="仿宋" w:eastAsia="仿宋" w:cs="仿宋"/>
          <w:color w:val="auto"/>
          <w:sz w:val="28"/>
          <w:szCs w:val="28"/>
          <w:highlight w:val="none"/>
        </w:rPr>
        <w:t>（大写）</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 xml:space="preserve"> 元</w:t>
      </w:r>
      <w:r>
        <w:rPr>
          <w:rFonts w:hint="eastAsia" w:ascii="仿宋" w:hAnsi="仿宋" w:eastAsia="仿宋" w:cs="仿宋"/>
          <w:color w:val="auto"/>
          <w:sz w:val="28"/>
          <w:szCs w:val="28"/>
          <w:highlight w:val="none"/>
        </w:rPr>
        <w:t>），含税总价为（大写）</w:t>
      </w:r>
      <w:r>
        <w:rPr>
          <w:rFonts w:hint="eastAsia" w:ascii="仿宋" w:hAnsi="仿宋" w:eastAsia="仿宋" w:cs="仿宋"/>
          <w:color w:val="auto"/>
          <w:sz w:val="28"/>
          <w:szCs w:val="28"/>
          <w:highlight w:val="none"/>
          <w:lang w:val="en-US" w:eastAsia="zh-CN"/>
        </w:rPr>
        <w:t xml:space="preserve">人民币 </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 xml:space="preserve">  元</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在合同履约过程中，本合同税率必须遵照国家现行税法执行。本合同最终税金在结算阶段，按实际产生的税金进行核算，但合同不含税价格不因国家税率调整而调整。</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6.2本合同为单价包干合同，合同总价由档案管理费、数字化加工费用、光盘刻录费用等费用组成。</w:t>
      </w:r>
    </w:p>
    <w:p>
      <w:pPr>
        <w:pStyle w:val="6"/>
        <w:keepNext w:val="0"/>
        <w:keepLines w:val="0"/>
        <w:pageBreakBefore w:val="0"/>
        <w:kinsoku/>
        <w:wordWrap/>
        <w:overflowPunct/>
        <w:topLinePunct w:val="0"/>
        <w:bidi w:val="0"/>
        <w:spacing w:before="0" w:after="0" w:afterAutospacing="0" w:line="560" w:lineRule="exact"/>
        <w:ind w:right="0"/>
        <w:textAlignment w:val="auto"/>
        <w:rPr>
          <w:rFonts w:hint="default" w:ascii="仿宋" w:hAnsi="仿宋" w:eastAsia="仿宋" w:cs="仿宋"/>
          <w:color w:val="auto"/>
          <w:sz w:val="28"/>
          <w:szCs w:val="28"/>
          <w:highlight w:val="none"/>
          <w:lang w:val="en-US" w:eastAsia="zh-CN"/>
        </w:rPr>
      </w:pPr>
      <w:bookmarkStart w:id="1230" w:name="_Toc27441"/>
      <w:bookmarkStart w:id="1231" w:name="_Toc10909_WPSOffice_Level2"/>
      <w:bookmarkStart w:id="1232" w:name="_Toc1724588"/>
      <w:bookmarkStart w:id="1233" w:name="_Toc31921"/>
      <w:bookmarkStart w:id="1234" w:name="_Toc30045"/>
      <w:r>
        <w:rPr>
          <w:rFonts w:hint="eastAsia" w:ascii="仿宋" w:hAnsi="仿宋" w:eastAsia="仿宋" w:cs="仿宋"/>
          <w:color w:val="auto"/>
          <w:sz w:val="28"/>
          <w:szCs w:val="28"/>
          <w:highlight w:val="none"/>
          <w:lang w:val="en-US" w:eastAsia="zh-CN"/>
        </w:rPr>
        <w:t>7.</w:t>
      </w:r>
      <w:bookmarkEnd w:id="1230"/>
      <w:bookmarkEnd w:id="1231"/>
      <w:bookmarkEnd w:id="1232"/>
      <w:bookmarkEnd w:id="1233"/>
      <w:bookmarkEnd w:id="1234"/>
      <w:r>
        <w:rPr>
          <w:rFonts w:hint="eastAsia" w:ascii="仿宋" w:hAnsi="仿宋" w:eastAsia="仿宋" w:cs="仿宋"/>
          <w:color w:val="auto"/>
          <w:sz w:val="28"/>
          <w:szCs w:val="28"/>
          <w:highlight w:val="none"/>
          <w:lang w:val="en-US" w:eastAsia="zh-CN"/>
        </w:rPr>
        <w:t>支付方式</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kern w:val="0"/>
          <w:sz w:val="28"/>
          <w:szCs w:val="28"/>
          <w:highlight w:val="none"/>
          <w:lang w:val="en-US" w:eastAsia="zh-CN"/>
        </w:rPr>
      </w:pPr>
      <w:bookmarkStart w:id="1235" w:name="_Toc25512"/>
      <w:bookmarkStart w:id="1236" w:name="_Toc11251"/>
      <w:bookmarkStart w:id="1237" w:name="_Toc1724589"/>
      <w:bookmarkStart w:id="1238" w:name="_Toc18034"/>
      <w:r>
        <w:rPr>
          <w:rFonts w:hint="eastAsia" w:ascii="仿宋" w:hAnsi="仿宋" w:eastAsia="仿宋" w:cs="仿宋"/>
          <w:color w:val="auto"/>
          <w:kern w:val="0"/>
          <w:sz w:val="28"/>
          <w:szCs w:val="28"/>
          <w:highlight w:val="none"/>
          <w:lang w:val="en-US" w:eastAsia="zh-CN"/>
        </w:rPr>
        <w:t>7.1本合同服务费采用固定单价形式，计量支付周期为6个月。</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7.2每个计量支付周期期末，乙方向甲方申请当期计量价款，当期计量价款=经甲乙双方确认并核验通过的实际完成数量*相应固定单价。</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cs="仿宋" w:asciiTheme="minorEastAsia" w:hAnsiTheme="minorEastAsia" w:eastAsiaTheme="minorEastAsia"/>
          <w:color w:val="auto"/>
          <w:szCs w:val="21"/>
          <w:highlight w:val="none"/>
        </w:rPr>
      </w:pPr>
      <w:r>
        <w:rPr>
          <w:rFonts w:hint="eastAsia" w:ascii="仿宋" w:hAnsi="仿宋" w:eastAsia="仿宋" w:cs="仿宋"/>
          <w:color w:val="auto"/>
          <w:kern w:val="0"/>
          <w:sz w:val="28"/>
          <w:szCs w:val="28"/>
          <w:highlight w:val="none"/>
          <w:lang w:val="en-US" w:eastAsia="zh-CN"/>
        </w:rPr>
        <w:t>7.3甲方在收到乙方提供与付款项目及付款金额相符的增值税专用发票后60个工作日内支付相应合同价款。</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7.4 支付的货币应以人民币支付，但不限于银行转账、汇票、国内信用证、供应链金融产品等支付形式。</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7.5如乙方未提出向甲方申请付款或开具增值税专用发票，甲方有权延迟支付相应费用，并且不因此向乙方承担任何逾期付款的违约责任。</w:t>
      </w:r>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239" w:name="_Toc6079_WPSOffice_Level2"/>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变更及变更费用的调整</w:t>
      </w:r>
      <w:bookmarkEnd w:id="1235"/>
      <w:bookmarkEnd w:id="1239"/>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本合同价格为固定单价</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不得以任何理由予以合同价格上浮、上调、上涨，但如属双方协商同意变更的情况除外。</w:t>
      </w:r>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lang w:val="en-US" w:eastAsia="zh-CN"/>
        </w:rPr>
      </w:pPr>
      <w:bookmarkStart w:id="1240" w:name="_Toc28149_WPSOffice_Level2"/>
      <w:bookmarkStart w:id="1241" w:name="_Toc15411"/>
      <w:r>
        <w:rPr>
          <w:rFonts w:hint="eastAsia" w:ascii="仿宋" w:hAnsi="仿宋" w:eastAsia="仿宋" w:cs="仿宋"/>
          <w:color w:val="auto"/>
          <w:sz w:val="28"/>
          <w:szCs w:val="28"/>
          <w:highlight w:val="none"/>
          <w:lang w:val="en-US" w:eastAsia="zh-CN"/>
        </w:rPr>
        <w:t>9.项目验收</w:t>
      </w:r>
      <w:bookmarkEnd w:id="1236"/>
      <w:bookmarkEnd w:id="1237"/>
      <w:bookmarkEnd w:id="1238"/>
      <w:bookmarkEnd w:id="1240"/>
      <w:bookmarkEnd w:id="1241"/>
    </w:p>
    <w:p>
      <w:pPr>
        <w:keepNext w:val="0"/>
        <w:keepLines w:val="0"/>
        <w:pageBreakBefore w:val="0"/>
        <w:widowControl/>
        <w:kinsoku/>
        <w:wordWrap/>
        <w:overflowPunct/>
        <w:topLinePunct w:val="0"/>
        <w:autoSpaceDE w:val="0"/>
        <w:autoSpaceDN w:val="0"/>
        <w:bidi w:val="0"/>
        <w:adjustRightInd w:val="0"/>
        <w:snapToGrid/>
        <w:spacing w:before="0" w:after="0" w:afterAutospacing="0" w:line="560" w:lineRule="exact"/>
        <w:ind w:left="0" w:right="0" w:firstLine="709"/>
        <w:textAlignment w:val="auto"/>
        <w:rPr>
          <w:rFonts w:hint="eastAsia" w:ascii="仿宋" w:hAnsi="仿宋" w:eastAsia="仿宋" w:cs="仿宋"/>
          <w:color w:val="auto"/>
          <w:kern w:val="0"/>
          <w:sz w:val="28"/>
          <w:szCs w:val="28"/>
          <w:highlight w:val="none"/>
          <w:lang w:val="en-US" w:eastAsia="zh-CN" w:bidi="ar-SA"/>
        </w:rPr>
      </w:pPr>
      <w:bookmarkStart w:id="1242" w:name="_Toc1724590"/>
      <w:bookmarkStart w:id="1243" w:name="_Toc9940"/>
      <w:bookmarkStart w:id="1244" w:name="_Toc24369"/>
      <w:bookmarkStart w:id="1245" w:name="_Toc28540"/>
      <w:r>
        <w:rPr>
          <w:rFonts w:hint="eastAsia" w:ascii="仿宋" w:hAnsi="仿宋" w:eastAsia="仿宋" w:cs="仿宋"/>
          <w:color w:val="auto"/>
          <w:kern w:val="0"/>
          <w:sz w:val="28"/>
          <w:szCs w:val="28"/>
          <w:highlight w:val="none"/>
          <w:lang w:val="en-US" w:eastAsia="zh-CN" w:bidi="ar-SA"/>
        </w:rPr>
        <w:t>9.1甲方对乙方工作采取平时检查、阶段验收和最终验收相结合的方式进行监督、检查和验收。乙方</w:t>
      </w:r>
      <w:r>
        <w:rPr>
          <w:rFonts w:hint="eastAsia" w:ascii="仿宋" w:hAnsi="仿宋" w:eastAsia="仿宋" w:cs="仿宋"/>
          <w:color w:val="auto"/>
          <w:kern w:val="0"/>
          <w:sz w:val="28"/>
          <w:szCs w:val="28"/>
          <w:highlight w:val="none"/>
          <w:lang w:val="zh-CN" w:eastAsia="zh-CN" w:bidi="ar-SA"/>
        </w:rPr>
        <w:t>需进行全面自检自查自纠，自检合格后申请</w:t>
      </w:r>
      <w:r>
        <w:rPr>
          <w:rFonts w:hint="eastAsia" w:ascii="仿宋" w:hAnsi="仿宋" w:eastAsia="仿宋" w:cs="仿宋"/>
          <w:color w:val="auto"/>
          <w:kern w:val="0"/>
          <w:sz w:val="28"/>
          <w:szCs w:val="28"/>
          <w:highlight w:val="none"/>
          <w:lang w:val="en-US" w:eastAsia="zh-CN" w:bidi="ar-SA"/>
        </w:rPr>
        <w:t>甲方</w:t>
      </w:r>
      <w:r>
        <w:rPr>
          <w:rFonts w:hint="eastAsia" w:ascii="仿宋" w:hAnsi="仿宋" w:eastAsia="仿宋" w:cs="仿宋"/>
          <w:color w:val="auto"/>
          <w:kern w:val="0"/>
          <w:sz w:val="28"/>
          <w:szCs w:val="28"/>
          <w:highlight w:val="none"/>
          <w:lang w:val="zh-CN" w:eastAsia="zh-CN" w:bidi="ar-SA"/>
        </w:rPr>
        <w:t>验收。验收前</w:t>
      </w:r>
      <w:r>
        <w:rPr>
          <w:rFonts w:hint="eastAsia" w:ascii="仿宋" w:hAnsi="仿宋" w:eastAsia="仿宋" w:cs="仿宋"/>
          <w:color w:val="auto"/>
          <w:kern w:val="0"/>
          <w:sz w:val="28"/>
          <w:szCs w:val="28"/>
          <w:highlight w:val="none"/>
          <w:lang w:val="en-US" w:eastAsia="zh-CN" w:bidi="ar-SA"/>
        </w:rPr>
        <w:t>乙方</w:t>
      </w:r>
      <w:r>
        <w:rPr>
          <w:rFonts w:hint="eastAsia" w:ascii="仿宋" w:hAnsi="仿宋" w:eastAsia="仿宋" w:cs="仿宋"/>
          <w:color w:val="auto"/>
          <w:kern w:val="0"/>
          <w:sz w:val="28"/>
          <w:szCs w:val="28"/>
          <w:highlight w:val="none"/>
          <w:lang w:val="zh-CN" w:eastAsia="zh-CN" w:bidi="ar-SA"/>
        </w:rPr>
        <w:t>应提供已进行整理和数字化扫描实施的档案明细清单供</w:t>
      </w:r>
      <w:r>
        <w:rPr>
          <w:rFonts w:hint="eastAsia" w:ascii="仿宋" w:hAnsi="仿宋" w:eastAsia="仿宋" w:cs="仿宋"/>
          <w:color w:val="auto"/>
          <w:kern w:val="0"/>
          <w:sz w:val="28"/>
          <w:szCs w:val="28"/>
          <w:highlight w:val="none"/>
          <w:lang w:val="en-US" w:eastAsia="zh-CN" w:bidi="ar-SA"/>
        </w:rPr>
        <w:t>甲方</w:t>
      </w:r>
      <w:r>
        <w:rPr>
          <w:rFonts w:hint="eastAsia" w:ascii="仿宋" w:hAnsi="仿宋" w:eastAsia="仿宋" w:cs="仿宋"/>
          <w:color w:val="auto"/>
          <w:kern w:val="0"/>
          <w:sz w:val="28"/>
          <w:szCs w:val="28"/>
          <w:highlight w:val="none"/>
          <w:lang w:val="zh-CN" w:eastAsia="zh-CN" w:bidi="ar-SA"/>
        </w:rPr>
        <w:t>使用。验收内容包括档案整理验收、档案数字化验收、光盘刻录验收三部分，上述三部分验收均合格后方能通过验收。验收时实际</w:t>
      </w:r>
      <w:r>
        <w:rPr>
          <w:rFonts w:hint="eastAsia" w:ascii="仿宋" w:hAnsi="仿宋" w:eastAsia="仿宋" w:cs="仿宋"/>
          <w:color w:val="auto"/>
          <w:kern w:val="0"/>
          <w:sz w:val="28"/>
          <w:szCs w:val="28"/>
          <w:highlight w:val="none"/>
          <w:lang w:val="en-US" w:eastAsia="zh-CN" w:bidi="ar-SA"/>
        </w:rPr>
        <w:t>完成数</w:t>
      </w:r>
      <w:r>
        <w:rPr>
          <w:rFonts w:hint="eastAsia" w:ascii="仿宋" w:hAnsi="仿宋" w:eastAsia="仿宋" w:cs="仿宋"/>
          <w:color w:val="auto"/>
          <w:kern w:val="0"/>
          <w:sz w:val="28"/>
          <w:szCs w:val="28"/>
          <w:highlight w:val="none"/>
          <w:lang w:val="zh-CN" w:eastAsia="zh-CN" w:bidi="ar-SA"/>
        </w:rPr>
        <w:t>量以双方签字确认为准。</w:t>
      </w:r>
    </w:p>
    <w:p>
      <w:pPr>
        <w:keepNext w:val="0"/>
        <w:keepLines w:val="0"/>
        <w:pageBreakBefore w:val="0"/>
        <w:widowControl/>
        <w:kinsoku/>
        <w:wordWrap/>
        <w:overflowPunct/>
        <w:topLinePunct w:val="0"/>
        <w:autoSpaceDE w:val="0"/>
        <w:autoSpaceDN w:val="0"/>
        <w:bidi w:val="0"/>
        <w:adjustRightInd w:val="0"/>
        <w:snapToGrid/>
        <w:spacing w:before="0" w:after="0" w:afterAutospacing="0" w:line="560" w:lineRule="exact"/>
        <w:ind w:left="0" w:right="0" w:firstLine="709"/>
        <w:textAlignment w:val="auto"/>
        <w:rPr>
          <w:rFonts w:hint="eastAsia" w:ascii="仿宋" w:hAnsi="仿宋" w:eastAsia="仿宋" w:cs="仿宋"/>
          <w:color w:val="auto"/>
          <w:kern w:val="0"/>
          <w:sz w:val="28"/>
          <w:szCs w:val="28"/>
          <w:highlight w:val="none"/>
          <w:lang w:val="en-US" w:eastAsia="zh-CN" w:bidi="ar-SA"/>
        </w:rPr>
      </w:pPr>
      <w:bookmarkStart w:id="1246" w:name="_Toc13934"/>
      <w:bookmarkStart w:id="1247" w:name="_Toc7142"/>
      <w:r>
        <w:rPr>
          <w:rFonts w:hint="eastAsia" w:ascii="仿宋" w:hAnsi="仿宋" w:eastAsia="仿宋" w:cs="仿宋"/>
          <w:color w:val="auto"/>
          <w:kern w:val="0"/>
          <w:sz w:val="28"/>
          <w:szCs w:val="28"/>
          <w:highlight w:val="none"/>
          <w:lang w:val="en-US" w:eastAsia="zh-CN" w:bidi="ar-SA"/>
        </w:rPr>
        <w:t>9.2档案整理验收</w:t>
      </w:r>
      <w:bookmarkEnd w:id="1246"/>
      <w:bookmarkEnd w:id="1247"/>
      <w:r>
        <w:rPr>
          <w:rFonts w:hint="eastAsia" w:ascii="仿宋" w:hAnsi="仿宋" w:eastAsia="仿宋" w:cs="仿宋"/>
          <w:color w:val="auto"/>
          <w:kern w:val="0"/>
          <w:sz w:val="28"/>
          <w:szCs w:val="28"/>
          <w:highlight w:val="none"/>
          <w:lang w:val="en-US" w:eastAsia="zh-CN" w:bidi="ar-SA"/>
        </w:rPr>
        <w:t>：由甲方按照整理标准要求对整理完毕的文书、科技、会计、照片、录音、录像、实物、电子档案进行抽取检查，抽检比例不低于10%，合格率必须达到99%以上。如抽查合格率达不到99%的，由比选申请人负责整改，直到合格，乙方承担因此产生的相关费用。</w:t>
      </w:r>
    </w:p>
    <w:p>
      <w:pPr>
        <w:keepNext w:val="0"/>
        <w:keepLines w:val="0"/>
        <w:pageBreakBefore w:val="0"/>
        <w:widowControl/>
        <w:kinsoku/>
        <w:wordWrap/>
        <w:overflowPunct/>
        <w:topLinePunct w:val="0"/>
        <w:autoSpaceDE w:val="0"/>
        <w:autoSpaceDN w:val="0"/>
        <w:bidi w:val="0"/>
        <w:adjustRightInd w:val="0"/>
        <w:snapToGrid/>
        <w:spacing w:before="0" w:after="0" w:afterAutospacing="0" w:line="560" w:lineRule="exact"/>
        <w:ind w:left="0" w:right="0" w:firstLine="709"/>
        <w:textAlignment w:val="auto"/>
        <w:rPr>
          <w:rFonts w:hint="eastAsia" w:ascii="仿宋" w:hAnsi="仿宋" w:eastAsia="仿宋" w:cs="仿宋"/>
          <w:color w:val="auto"/>
          <w:kern w:val="0"/>
          <w:sz w:val="28"/>
          <w:szCs w:val="28"/>
          <w:highlight w:val="none"/>
          <w:lang w:val="en-US" w:eastAsia="zh-CN" w:bidi="ar-SA"/>
        </w:rPr>
      </w:pPr>
      <w:bookmarkStart w:id="1248" w:name="_Toc14813"/>
      <w:r>
        <w:rPr>
          <w:rFonts w:hint="eastAsia" w:ascii="仿宋" w:hAnsi="仿宋" w:eastAsia="仿宋" w:cs="仿宋"/>
          <w:color w:val="auto"/>
          <w:kern w:val="0"/>
          <w:sz w:val="28"/>
          <w:szCs w:val="28"/>
          <w:highlight w:val="none"/>
          <w:lang w:val="en-US" w:eastAsia="zh-CN" w:bidi="ar-SA"/>
        </w:rPr>
        <w:t>9.3档案数字化验收</w:t>
      </w:r>
      <w:bookmarkEnd w:id="1248"/>
      <w:r>
        <w:rPr>
          <w:rFonts w:hint="eastAsia" w:ascii="仿宋" w:hAnsi="仿宋" w:eastAsia="仿宋" w:cs="仿宋"/>
          <w:color w:val="auto"/>
          <w:kern w:val="0"/>
          <w:sz w:val="28"/>
          <w:szCs w:val="28"/>
          <w:highlight w:val="none"/>
          <w:lang w:val="en-US" w:eastAsia="zh-CN" w:bidi="ar-SA"/>
        </w:rPr>
        <w:t>：甲方按照档案数字化加工要求对乙方目录数据库与图像文件挂接完毕的数据进行抽取检查，抽检比例不低于5%，合格率必须达到99%以上。如抽查合格率达不到99%的，由乙方负责再次整改，直到合格，乙方承担因此产生的相关费用。</w:t>
      </w:r>
    </w:p>
    <w:p>
      <w:pPr>
        <w:keepNext w:val="0"/>
        <w:keepLines w:val="0"/>
        <w:pageBreakBefore w:val="0"/>
        <w:widowControl/>
        <w:kinsoku/>
        <w:wordWrap/>
        <w:overflowPunct/>
        <w:topLinePunct w:val="0"/>
        <w:autoSpaceDE w:val="0"/>
        <w:autoSpaceDN w:val="0"/>
        <w:bidi w:val="0"/>
        <w:adjustRightInd w:val="0"/>
        <w:snapToGrid/>
        <w:spacing w:before="0" w:after="0" w:afterAutospacing="0" w:line="560" w:lineRule="exact"/>
        <w:ind w:left="0" w:right="0" w:firstLine="709"/>
        <w:textAlignment w:val="auto"/>
        <w:rPr>
          <w:rFonts w:hint="eastAsia" w:ascii="仿宋" w:hAnsi="仿宋" w:eastAsia="仿宋" w:cs="仿宋"/>
          <w:color w:val="auto"/>
          <w:kern w:val="0"/>
          <w:sz w:val="28"/>
          <w:szCs w:val="28"/>
          <w:highlight w:val="none"/>
          <w:lang w:val="en-US" w:eastAsia="zh-CN" w:bidi="ar-SA"/>
        </w:rPr>
      </w:pPr>
      <w:bookmarkStart w:id="1249" w:name="_Toc5433"/>
      <w:bookmarkStart w:id="1250" w:name="_Toc4105"/>
      <w:r>
        <w:rPr>
          <w:rFonts w:hint="eastAsia" w:ascii="仿宋" w:hAnsi="仿宋" w:eastAsia="仿宋" w:cs="仿宋"/>
          <w:color w:val="auto"/>
          <w:kern w:val="0"/>
          <w:sz w:val="28"/>
          <w:szCs w:val="28"/>
          <w:highlight w:val="none"/>
          <w:lang w:val="en-US" w:eastAsia="zh-CN" w:bidi="ar-SA"/>
        </w:rPr>
        <w:t>9.4光盘档案验收</w:t>
      </w:r>
      <w:bookmarkEnd w:id="1249"/>
      <w:bookmarkEnd w:id="1250"/>
      <w:r>
        <w:rPr>
          <w:rFonts w:hint="eastAsia" w:ascii="仿宋" w:hAnsi="仿宋" w:eastAsia="仿宋" w:cs="仿宋"/>
          <w:color w:val="auto"/>
          <w:kern w:val="0"/>
          <w:sz w:val="28"/>
          <w:szCs w:val="28"/>
          <w:highlight w:val="none"/>
          <w:lang w:val="en-US" w:eastAsia="zh-CN" w:bidi="ar-SA"/>
        </w:rPr>
        <w:t>：甲方按照光盘刻录要求对乙方刻录完毕的光盘进行抽取检查，抽检比例不低于10%，合格率必须达到99%以上。如抽查合格率达不到99%的，由乙方负责整改，直到合格，乙方承担因此产生的相关费用。</w:t>
      </w:r>
    </w:p>
    <w:p>
      <w:pPr>
        <w:keepNext w:val="0"/>
        <w:keepLines w:val="0"/>
        <w:pageBreakBefore w:val="0"/>
        <w:widowControl/>
        <w:kinsoku/>
        <w:wordWrap/>
        <w:overflowPunct/>
        <w:topLinePunct w:val="0"/>
        <w:autoSpaceDE w:val="0"/>
        <w:autoSpaceDN w:val="0"/>
        <w:bidi w:val="0"/>
        <w:adjustRightInd w:val="0"/>
        <w:snapToGrid/>
        <w:spacing w:before="0" w:after="0" w:afterAutospacing="0" w:line="560" w:lineRule="exact"/>
        <w:ind w:left="0" w:right="0" w:firstLine="709"/>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9.5成果移交：乙方将通过验收的档案实体成品，以及将档案条目数据及对应的扫描件形成的PDF、JPG格式文件各一套刻录成DVD光盘移交甲方。</w:t>
      </w:r>
    </w:p>
    <w:p>
      <w:pPr>
        <w:keepNext w:val="0"/>
        <w:keepLines w:val="0"/>
        <w:pageBreakBefore w:val="0"/>
        <w:widowControl/>
        <w:kinsoku/>
        <w:wordWrap/>
        <w:overflowPunct/>
        <w:topLinePunct w:val="0"/>
        <w:autoSpaceDE w:val="0"/>
        <w:autoSpaceDN w:val="0"/>
        <w:bidi w:val="0"/>
        <w:adjustRightInd w:val="0"/>
        <w:snapToGrid/>
        <w:spacing w:before="0" w:after="0" w:afterAutospacing="0" w:line="560" w:lineRule="exact"/>
        <w:ind w:left="0" w:right="0" w:firstLine="709"/>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SA"/>
        </w:rPr>
        <w:t>9.6其他验收要求详见技术规格书。</w:t>
      </w:r>
    </w:p>
    <w:p>
      <w:pPr>
        <w:pStyle w:val="6"/>
        <w:keepNext w:val="0"/>
        <w:keepLines w:val="0"/>
        <w:pageBreakBefore w:val="0"/>
        <w:kinsoku/>
        <w:wordWrap/>
        <w:overflowPunct/>
        <w:topLinePunct w:val="0"/>
        <w:bidi w:val="0"/>
        <w:spacing w:before="0" w:after="0" w:afterAutospacing="0" w:line="560" w:lineRule="exact"/>
        <w:ind w:right="0"/>
        <w:textAlignment w:val="auto"/>
        <w:rPr>
          <w:rFonts w:hint="default" w:ascii="仿宋" w:hAnsi="仿宋" w:eastAsia="仿宋" w:cs="仿宋"/>
          <w:color w:val="auto"/>
          <w:sz w:val="28"/>
          <w:szCs w:val="28"/>
          <w:highlight w:val="none"/>
          <w:lang w:val="en-US" w:eastAsia="zh-CN"/>
        </w:rPr>
      </w:pPr>
      <w:bookmarkStart w:id="1251" w:name="_Toc18674_WPSOffice_Level2"/>
      <w:r>
        <w:rPr>
          <w:rFonts w:hint="eastAsia" w:ascii="仿宋" w:hAnsi="仿宋" w:eastAsia="仿宋" w:cs="仿宋"/>
          <w:color w:val="auto"/>
          <w:sz w:val="28"/>
          <w:szCs w:val="28"/>
          <w:highlight w:val="none"/>
          <w:lang w:val="en-US" w:eastAsia="zh-CN"/>
        </w:rPr>
        <w:t>10</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履约担保</w:t>
      </w:r>
      <w:bookmarkEnd w:id="1242"/>
      <w:bookmarkEnd w:id="1243"/>
      <w:bookmarkEnd w:id="1244"/>
      <w:bookmarkEnd w:id="1245"/>
      <w:bookmarkEnd w:id="1251"/>
      <w:bookmarkStart w:id="1252" w:name="_Toc2597"/>
      <w:bookmarkStart w:id="1253" w:name="_Toc1724594"/>
      <w:bookmarkStart w:id="1254" w:name="_Toc12681"/>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10.1在合同签订前，</w:t>
      </w:r>
      <w:r>
        <w:rPr>
          <w:rFonts w:hint="eastAsia" w:ascii="仿宋" w:hAnsi="仿宋" w:eastAsia="仿宋" w:cs="仿宋"/>
          <w:color w:val="auto"/>
          <w:sz w:val="28"/>
          <w:szCs w:val="28"/>
          <w:highlight w:val="none"/>
        </w:rPr>
        <w:t>乙方向甲方提交的履约担保的金额应为</w:t>
      </w:r>
      <w:r>
        <w:rPr>
          <w:rFonts w:hint="eastAsia" w:ascii="仿宋" w:hAnsi="仿宋" w:eastAsia="仿宋" w:cs="仿宋"/>
          <w:color w:val="auto"/>
          <w:sz w:val="28"/>
          <w:szCs w:val="28"/>
          <w:highlight w:val="none"/>
          <w:lang w:val="en-US" w:eastAsia="zh-CN"/>
        </w:rPr>
        <w:t>中选</w:t>
      </w:r>
      <w:r>
        <w:rPr>
          <w:rFonts w:hint="eastAsia" w:ascii="仿宋" w:hAnsi="仿宋" w:eastAsia="仿宋" w:cs="仿宋"/>
          <w:color w:val="auto"/>
          <w:sz w:val="28"/>
          <w:szCs w:val="28"/>
          <w:highlight w:val="none"/>
        </w:rPr>
        <w:t>价格的</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采用履约保函或银行电汇或转账等形式提交。</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10.2履约担保有效期：应从双方签订的合同文件生效之日起至服务期满后四十五（45）日一直有效。如本项目实际验收日期超出该履约担保写明的日期，则乙方相应延长履约担保的日期，当出现逾期验收而未及时办理包含展期手续时（如为保函形式），甲方有权暂停剩余费用的支付，并收取签约合同价5‰的违约金。</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10.3履约担保在本合同结束后，根据履约期间甲方的索赔情况，将剩余履约担保款项无息退还乙方。</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10.4在合同执行过程中，履约担保金额应保持足额有效，不足时应按照甲方的要求及时不足担保金额。</w:t>
      </w:r>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255" w:name="_Toc15309_WPSOffice_Level2"/>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1</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转包与分包</w:t>
      </w:r>
      <w:bookmarkEnd w:id="1252"/>
      <w:bookmarkEnd w:id="1253"/>
      <w:bookmarkEnd w:id="1254"/>
      <w:bookmarkEnd w:id="1255"/>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bookmarkStart w:id="1256" w:name="_Toc5659"/>
      <w:bookmarkStart w:id="1257" w:name="_Toc1724595"/>
      <w:bookmarkStart w:id="1258" w:name="_Toc26184"/>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.1本项目不予转包。</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bookmarkStart w:id="1259" w:name="_Toc297123493"/>
      <w:bookmarkStart w:id="1260" w:name="_Toc297120460"/>
      <w:bookmarkStart w:id="1261" w:name="_Toc297048346"/>
      <w:bookmarkStart w:id="1262" w:name="_Toc318581158"/>
      <w:bookmarkStart w:id="1263" w:name="_Toc300934946"/>
      <w:bookmarkStart w:id="1264" w:name="_Toc296347159"/>
      <w:bookmarkStart w:id="1265" w:name="_Toc296503160"/>
      <w:bookmarkStart w:id="1266" w:name="_Toc297216152"/>
      <w:bookmarkStart w:id="1267" w:name="_Toc303539103"/>
      <w:bookmarkStart w:id="1268" w:name="_Toc296890988"/>
      <w:bookmarkStart w:id="1269" w:name="_Toc296891200"/>
      <w:bookmarkStart w:id="1270" w:name="_Toc304295524"/>
      <w:bookmarkStart w:id="1271" w:name="_Toc296944499"/>
      <w:bookmarkStart w:id="1272" w:name="_Toc312677989"/>
      <w:bookmarkStart w:id="1273" w:name="_Toc296346661"/>
      <w:bookmarkStart w:id="1274" w:name="_Toc292559870"/>
      <w:bookmarkStart w:id="1275" w:name="_Toc292559365"/>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 xml:space="preserve">.2 </w:t>
      </w:r>
      <w:r>
        <w:rPr>
          <w:rFonts w:hint="eastAsia" w:ascii="仿宋" w:hAnsi="仿宋" w:eastAsia="仿宋" w:cs="仿宋"/>
          <w:color w:val="auto"/>
          <w:sz w:val="28"/>
          <w:szCs w:val="28"/>
          <w:highlight w:val="none"/>
          <w:lang w:eastAsia="zh-CN"/>
        </w:rPr>
        <w:t>本项目</w:t>
      </w:r>
      <w:r>
        <w:rPr>
          <w:rFonts w:hint="eastAsia" w:ascii="仿宋" w:hAnsi="仿宋" w:eastAsia="仿宋" w:cs="仿宋"/>
          <w:color w:val="auto"/>
          <w:sz w:val="28"/>
          <w:szCs w:val="28"/>
          <w:highlight w:val="none"/>
        </w:rPr>
        <w:t>不允许分包</w:t>
      </w:r>
    </w:p>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276" w:name="_Toc16823_WPSOffice_Level2"/>
      <w:bookmarkStart w:id="1277" w:name="_Toc1268"/>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保险</w:t>
      </w:r>
      <w:bookmarkEnd w:id="1256"/>
      <w:bookmarkEnd w:id="1257"/>
      <w:bookmarkEnd w:id="1258"/>
      <w:bookmarkEnd w:id="1276"/>
      <w:bookmarkEnd w:id="1277"/>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12.1</w:t>
      </w:r>
      <w:r>
        <w:rPr>
          <w:rFonts w:hint="eastAsia" w:ascii="仿宋" w:hAnsi="仿宋" w:eastAsia="仿宋" w:cs="仿宋"/>
          <w:color w:val="auto"/>
          <w:sz w:val="28"/>
          <w:szCs w:val="28"/>
          <w:highlight w:val="none"/>
        </w:rPr>
        <w:t>乙方必须为自有人员办理意外伤害险或类似险种等与本项目相关的保险，支付保险费用。</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12.2甲方有权审查乙方办理保险的证明文件，若乙方没有按要求办理保险，视为乙方违约，并处以460元/人·次（或保险额的双倍金额）违约金。</w:t>
      </w:r>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278" w:name="_Toc5816_WPSOffice_Level2"/>
      <w:bookmarkStart w:id="1279" w:name="_Toc1724596"/>
      <w:bookmarkStart w:id="1280" w:name="_Toc31160"/>
      <w:bookmarkStart w:id="1281" w:name="_Toc30221"/>
      <w:bookmarkStart w:id="1282" w:name="_Toc27055"/>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合同解除和终止</w:t>
      </w:r>
      <w:bookmarkEnd w:id="1278"/>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.1对合同条件所做出的任何修改、补充，须经双方协商达成一致意见后，签订书面协议。</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.2合同自然终止</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甲方、乙方双方各自完成合同规定的责任和义务，合同自然终止。</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.3 因乙方违约违规终止合同</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.3.1合同成立后，若乙方不按合同履行职责导致对甲方安全运营、名誉、形象等造成影响，甲方有权终止合同。</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.3.2按照违约责任条款或技术规格书中甲方有权解除（终止）合同的情形。</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.3.3如果甲方发现以下违约情形之一后可向乙方发出书面违约通知书，提出终止部分或全部合同，自发出书面违约通知之日起发生的费用由乙方自行负责，若给甲方造成损失的，乙方还应负责赔偿：</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（1）乙方不具备继续按合同要求开展工作的条件或未能按照合同规定的方式进行的； </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（2）如果甲方认为乙方在本合同的竞争和实施过程中有腐败和欺诈行为的。</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“腐败行为”是指提供、给予、接受或索取任何有价值的东西来影响有关人员在定标过程或合同实施过程中的行为；</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“欺诈行为”是指为了影响定标过程或合同实施过程而谎报事实，损害甲方的利益，包括乙方之间串通</w:t>
      </w:r>
      <w:r>
        <w:rPr>
          <w:rFonts w:hint="eastAsia" w:ascii="仿宋" w:hAnsi="仿宋" w:eastAsia="仿宋" w:cs="仿宋"/>
          <w:color w:val="auto"/>
          <w:sz w:val="28"/>
          <w:szCs w:val="28"/>
          <w:highlight w:val="none"/>
          <w:lang w:eastAsia="zh-CN"/>
        </w:rPr>
        <w:t>比选申请</w:t>
      </w:r>
      <w:r>
        <w:rPr>
          <w:rFonts w:hint="eastAsia" w:ascii="仿宋" w:hAnsi="仿宋" w:eastAsia="仿宋" w:cs="仿宋"/>
          <w:color w:val="auto"/>
          <w:sz w:val="28"/>
          <w:szCs w:val="28"/>
          <w:highlight w:val="none"/>
        </w:rPr>
        <w:t>（递交</w:t>
      </w:r>
      <w:r>
        <w:rPr>
          <w:rFonts w:hint="eastAsia" w:ascii="仿宋" w:hAnsi="仿宋" w:eastAsia="仿宋" w:cs="仿宋"/>
          <w:color w:val="auto"/>
          <w:sz w:val="28"/>
          <w:szCs w:val="28"/>
          <w:highlight w:val="none"/>
          <w:lang w:val="en-US" w:eastAsia="zh-CN"/>
        </w:rPr>
        <w:t>比选申请文件</w:t>
      </w:r>
      <w:r>
        <w:rPr>
          <w:rFonts w:hint="eastAsia" w:ascii="仿宋" w:hAnsi="仿宋" w:eastAsia="仿宋" w:cs="仿宋"/>
          <w:color w:val="auto"/>
          <w:sz w:val="28"/>
          <w:szCs w:val="28"/>
          <w:highlight w:val="none"/>
        </w:rPr>
        <w:t>之前和之后），人为地使各</w:t>
      </w:r>
      <w:r>
        <w:rPr>
          <w:rFonts w:hint="eastAsia" w:ascii="仿宋" w:hAnsi="仿宋" w:eastAsia="仿宋" w:cs="仿宋"/>
          <w:color w:val="auto"/>
          <w:sz w:val="28"/>
          <w:szCs w:val="28"/>
          <w:highlight w:val="none"/>
          <w:lang w:val="en-US" w:eastAsia="zh-CN"/>
        </w:rPr>
        <w:t>比选报价</w:t>
      </w:r>
      <w:r>
        <w:rPr>
          <w:rFonts w:hint="eastAsia" w:ascii="仿宋" w:hAnsi="仿宋" w:eastAsia="仿宋" w:cs="仿宋"/>
          <w:color w:val="auto"/>
          <w:sz w:val="28"/>
          <w:szCs w:val="28"/>
          <w:highlight w:val="none"/>
        </w:rPr>
        <w:t>价丧失竞争性，剥夺甲方从自由公开竞争所获得的权益。欺诈行为还包括乙方擅自改变合同所要求的材料，或者提供伪造的检修或检测报告，刻意隐瞒故障逃避责任等，造成甲方受到相关行政部门考核或约谈的。</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（3）乙方资质证明文件在合同期内到期（或失效），未能按规定取得合法有效符合本项目要求的企业资质的（不可抗力因素导致的除外）；</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乙方参与本项目工作人员未与乙方签订正式劳动（劳务）合同或未按时足额支付本项目员工工资的，或者乙方未按国家、省（自治区）、市相关政策为所聘用参与本项目主要人员购买社会保险的，造成甲方经济、声誉损失的。</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因乙方原因造成重大安全事故的（如因乙方原因造成的火灾、档案严重损坏、丢失及泄密等）。</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（6）乙方未按要求完成合同规定的工作进度，造成工期延误达30天以上的。</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（7）在合同有效期内，如发现乙方擅自转包或挂靠，或提供虚假资料的。</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）因乙方破产而终止合同</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1）如果乙方破产或无清偿能力，甲方可在任何时候以书面形式通知乙方，提出终止合同而不给乙方补偿。该终止合同将不损害或影响甲方已经采取或将要采取的任何行动或补救措施的权利。</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2）乙方有责任而且必须支付甲方超过合同金额的合理的必须的费用。该费用是甲方为了执行完成被终止了的该部分而实际发生的直接费用。</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.4根据16.3条规定合同终止后，甲方没收乙方履约保证金并不再支付任何费用。</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.5因甲方违约终止合同</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5.1甲方严重违背合同规定的责任义务而且这种违约没有任何条款允许时，则乙方有权终止合同中的一部分或全部，但前提条件是乙方应在终止合同前三个月书面通知甲方，而甲方未能在这个期限内采取合理的措施以弥补其违约。</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13.5.2乙方有权要求甲方补偿其因违约而造成的任何直接损失。在甲方采取有效弥补措施前，乙方可以中止合同的履行，待甲方弥补措施得到乙方确认后，乙方恢复合同未中止部分的履行，但对履行合同中止期间的一切责任，损失概由甲方负责承担。</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.6因不可抗力终止合同</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如果不可抗力事件的影响已达120天或双方预计不可抗力事件的影响将延续120天以上（含本数）时，任何一方有权终止本合同。</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如因不可抗力提出终止合同，双方均不因此构成违约，双方应合同终止日期以前协商解决双方应得的利益问题。合同终止后双方应在21个工作日内退还对方剩余履约担保。</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.7在合同有效期内任何一方无任何法定或合同约定的理由单方提出终止合同的，提出方应承担违约责任，违约方向对方支付违约金。当乙方违约时，甲方有权没收履约保证金</w:t>
      </w:r>
      <w:r>
        <w:rPr>
          <w:rFonts w:hint="eastAsia" w:ascii="仿宋" w:hAnsi="仿宋" w:eastAsia="仿宋" w:cs="仿宋"/>
          <w:color w:val="auto"/>
          <w:sz w:val="28"/>
          <w:szCs w:val="28"/>
          <w:highlight w:val="none"/>
          <w:lang w:eastAsia="zh-CN"/>
        </w:rPr>
        <w:t>，如没收履约保证金仍不足以弥补甲方损失的，甲方有权继续向乙方追索因此产生的一切损失。</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8合同非自然终止后，甲方可寻找合同外第三方完成本合同项目，在过渡期间（不少于6个月）甲方有权要求乙方继续履行合同，乙方应配合</w:t>
      </w:r>
      <w:r>
        <w:rPr>
          <w:rFonts w:hint="eastAsia" w:ascii="仿宋" w:hAnsi="仿宋" w:eastAsia="仿宋" w:cs="仿宋"/>
          <w:color w:val="auto"/>
          <w:sz w:val="28"/>
          <w:szCs w:val="28"/>
          <w:highlight w:val="none"/>
        </w:rPr>
        <w:t>。</w:t>
      </w:r>
      <w:bookmarkEnd w:id="1279"/>
      <w:bookmarkEnd w:id="1280"/>
      <w:bookmarkEnd w:id="1281"/>
      <w:bookmarkEnd w:id="1282"/>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283" w:name="_Toc846"/>
      <w:bookmarkStart w:id="1284" w:name="_Toc482008348"/>
      <w:bookmarkStart w:id="1285" w:name="_Toc31994"/>
      <w:bookmarkStart w:id="1286" w:name="_Toc16556"/>
      <w:bookmarkStart w:id="1287" w:name="_Toc486842412"/>
      <w:bookmarkStart w:id="1288" w:name="_Toc1724597"/>
      <w:bookmarkStart w:id="1289" w:name="_Toc7397_WPSOffice_Level2"/>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不可抗力</w:t>
      </w:r>
      <w:bookmarkEnd w:id="1283"/>
      <w:bookmarkEnd w:id="1284"/>
      <w:bookmarkEnd w:id="1285"/>
      <w:bookmarkEnd w:id="1286"/>
      <w:bookmarkEnd w:id="1287"/>
      <w:bookmarkEnd w:id="1288"/>
      <w:bookmarkEnd w:id="1289"/>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bookmarkStart w:id="1290" w:name="_Toc351203608"/>
      <w:bookmarkStart w:id="1291" w:name="_Toc337558824"/>
      <w:bookmarkStart w:id="1292" w:name="_Toc296346618"/>
      <w:bookmarkStart w:id="1293" w:name="_Toc296503117"/>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 不可抗力的确认</w:t>
      </w:r>
      <w:bookmarkEnd w:id="1290"/>
    </w:p>
    <w:bookmarkEnd w:id="1291"/>
    <w:bookmarkEnd w:id="1292"/>
    <w:bookmarkEnd w:id="1293"/>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不可抗力发生后，甲方和乙方应收集证明不可抗力发生及不可抗力造成损失的证据，并及时认真统计所造成的损失。甲乙双方对是否属于不可抗力或其损失发生争议时，按第21条〔争议解决方式〕的约定处理。</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bookmarkStart w:id="1294" w:name="_Toc351203609"/>
      <w:bookmarkStart w:id="1295" w:name="_Toc296346619"/>
      <w:bookmarkStart w:id="1296" w:name="_Toc296503118"/>
      <w:bookmarkStart w:id="1297" w:name="_Toc337558825"/>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.2 不可抗力的通知</w:t>
      </w:r>
      <w:bookmarkEnd w:id="1294"/>
    </w:p>
    <w:bookmarkEnd w:id="1295"/>
    <w:bookmarkEnd w:id="1296"/>
    <w:bookmarkEnd w:id="1297"/>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合同一方当事人遇到不可抗力事件，使其履行合同义务受到阻碍时，应立即通知合同另一方当事人，书面说明不可抗力和受阻碍的详细情况，并在合理期限内提供必要的证明。</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不可抗力持续发生的，合同一方当事人应及时向合同另一方当事人提交中间报告，说明不可抗力和履行合同受阻的情况，并于不可抗力事件结束后28天内提交最终报告及有关资料。</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bookmarkStart w:id="1298" w:name="_Toc351203610"/>
      <w:bookmarkStart w:id="1299" w:name="_Toc296346620"/>
      <w:bookmarkStart w:id="1300" w:name="_Toc296503119"/>
      <w:bookmarkStart w:id="1301" w:name="_Toc337558826"/>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.3 不可抗力后果的承担</w:t>
      </w:r>
      <w:bookmarkEnd w:id="1298"/>
    </w:p>
    <w:bookmarkEnd w:id="1299"/>
    <w:bookmarkEnd w:id="1300"/>
    <w:bookmarkEnd w:id="1301"/>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不可抗力引起的后果及造成的损失由合同当事人按照法律规定及合同约定各自承担。不可抗力发生前已完成的项目内容应当按照合同约定进行支付。</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不可抗力发生后，合同当事人均应采取措施尽量避免和减少损失的扩大，任何一方当事人没有采取有效措施导致损失扩大的，应对扩大的损失承担责任。</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因合同一方迟延履行合同义务，在迟延履行期间遭遇不可抗力的，不免除其违约责任。</w:t>
      </w:r>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302" w:name="_Toc1845"/>
      <w:bookmarkStart w:id="1303" w:name="_Toc3707_WPSOffice_Level2"/>
      <w:bookmarkStart w:id="1304" w:name="_Toc482008349"/>
      <w:bookmarkStart w:id="1305" w:name="_Toc10047"/>
      <w:bookmarkStart w:id="1306" w:name="_Toc10374"/>
      <w:bookmarkStart w:id="1307" w:name="_Toc1724598"/>
      <w:bookmarkStart w:id="1308" w:name="_Toc486842413"/>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5</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违约责任</w:t>
      </w:r>
      <w:bookmarkEnd w:id="1302"/>
      <w:bookmarkEnd w:id="1303"/>
      <w:bookmarkEnd w:id="1304"/>
      <w:bookmarkEnd w:id="1305"/>
      <w:bookmarkEnd w:id="1306"/>
      <w:bookmarkEnd w:id="1307"/>
      <w:bookmarkEnd w:id="1308"/>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15.1乙方未按照合同规定提供服务或服务成果无法满足甲方服务需求，不符合国家、行业及甲方有关档案工作的制度、规范、标准的，甲方有权解除合同，停付剩余款项。乙方须退还全部已付款项。导致甲方蒙受经济损失的，乙方应向甲方赔偿直接经济损失。</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15.2因乙方原因，未能按照合同约定的时间完成本合同明确的工作任务，每延期1日乙方支付甲方合同总价款的0.05%作为违约金。逾期超过30天未提供服务成果，甲方有权解除合同，要求乙方退还本合同项下已付款项。</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15.3因乙方原因造成甲方档案被损失、丢失、泄密或甲方知识产权呗侵害的，乙方向甲方赔偿由此导致的直接经济损失和相应间接经济损失。间接经济损失包括但不限于因主张权利产生的诉讼费、保全费、保全保险费、律师费，向第三方支付的违约金。其他难以估量的，经双方友好协商确定。</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15.4已乙方原因造成甲方档案被损毁、丢失或泄密的重大事件，或使甲方档案面临严重威胁时，甲方有权解除合同，并要求乙方承担违约责任。</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15.5因甲方导致乙方未能按约定履行合同或乙方知识产权被侵害的，甲方应向乙方赔偿由此导致的直接经济损失和相应间接经济损失。</w:t>
      </w:r>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309" w:name="_Toc12885_WPSOffice_Level2"/>
      <w:r>
        <w:rPr>
          <w:rFonts w:hint="eastAsia" w:ascii="仿宋" w:hAnsi="仿宋" w:eastAsia="仿宋" w:cs="仿宋"/>
          <w:color w:val="auto"/>
          <w:sz w:val="28"/>
          <w:szCs w:val="28"/>
          <w:highlight w:val="none"/>
          <w:lang w:val="en-US" w:eastAsia="zh-CN"/>
        </w:rPr>
        <w:t>16</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通知与送达</w:t>
      </w:r>
      <w:bookmarkEnd w:id="1309"/>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310" w:name="_Toc3623_WPSOffice_Level2"/>
      <w:r>
        <w:rPr>
          <w:rFonts w:hint="eastAsia" w:ascii="仿宋" w:hAnsi="仿宋" w:eastAsia="仿宋" w:cs="仿宋"/>
          <w:color w:val="auto"/>
          <w:sz w:val="28"/>
          <w:szCs w:val="28"/>
          <w:highlight w:val="none"/>
          <w:lang w:val="en-US" w:eastAsia="zh-CN"/>
        </w:rPr>
        <w:t>17</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保密条款</w:t>
      </w:r>
      <w:bookmarkEnd w:id="1310"/>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严格履行保密义务。对于甲方提供给乙方的相关资料、乙方在工作过程中接触到关于甲方的相关资料或信息、履约过程中形成与甲方有关的结果资料或信息，乙方均应作为秘密信息对待。除非经甲方事先书面许可，或因政府部门及法律法令的强制性要求而披露，乙方应当保证保守该秘密信息，并不得将该秘密信息以任何方式泄露予第三方，双方均承诺不将从对方取得的秘密信息披露或泄露给无关的人员。若乙方涉及泄密，应赔偿甲方由此而产生的损失并承担相应的法律责任。</w:t>
      </w:r>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311" w:name="_Toc1724599"/>
      <w:bookmarkStart w:id="1312" w:name="_Toc486842414"/>
      <w:bookmarkStart w:id="1313" w:name="_Toc28138"/>
      <w:bookmarkStart w:id="1314" w:name="_Toc20737_WPSOffice_Level2"/>
      <w:bookmarkStart w:id="1315" w:name="_Toc482008350"/>
      <w:bookmarkStart w:id="1316" w:name="_Toc22243"/>
      <w:bookmarkStart w:id="1317" w:name="_Toc32674"/>
      <w:r>
        <w:rPr>
          <w:rFonts w:hint="eastAsia" w:ascii="仿宋" w:hAnsi="仿宋" w:eastAsia="仿宋" w:cs="仿宋"/>
          <w:color w:val="auto"/>
          <w:sz w:val="28"/>
          <w:szCs w:val="28"/>
          <w:highlight w:val="none"/>
          <w:lang w:val="en-US" w:eastAsia="zh-CN"/>
        </w:rPr>
        <w:t>18</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争议解决方式</w:t>
      </w:r>
      <w:bookmarkEnd w:id="1311"/>
      <w:bookmarkEnd w:id="1312"/>
      <w:bookmarkEnd w:id="1313"/>
      <w:bookmarkEnd w:id="1314"/>
      <w:bookmarkEnd w:id="1315"/>
      <w:bookmarkEnd w:id="1316"/>
      <w:bookmarkEnd w:id="1317"/>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.1甲乙双方履行合同中发生争议的，可以先通过友好协商解决。</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.2双方协商不成的，应当按下列第（2）种方式解决：</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（1）提交南宁仲裁委员会仲裁；</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（2）依法向甲方所在地人民法院起诉。</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18.3发生争议后，除非出现下列情况的，双方都应继续履行合同，保持施工连续并保护好已完成项目：</w:t>
      </w:r>
    </w:p>
    <w:p>
      <w:pPr>
        <w:pStyle w:val="72"/>
        <w:keepNext w:val="0"/>
        <w:keepLines w:val="0"/>
        <w:pageBreakBefore w:val="0"/>
        <w:numPr>
          <w:ilvl w:val="0"/>
          <w:numId w:val="7"/>
        </w:numPr>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单方违约导致合同已无法履行，双方协议停止施工；</w:t>
      </w:r>
    </w:p>
    <w:p>
      <w:pPr>
        <w:pStyle w:val="72"/>
        <w:keepNext w:val="0"/>
        <w:keepLines w:val="0"/>
        <w:pageBreakBefore w:val="0"/>
        <w:numPr>
          <w:ilvl w:val="0"/>
          <w:numId w:val="7"/>
        </w:numPr>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不可抗力导致合同无法履行；</w:t>
      </w:r>
    </w:p>
    <w:p>
      <w:pPr>
        <w:pStyle w:val="72"/>
        <w:keepNext w:val="0"/>
        <w:keepLines w:val="0"/>
        <w:pageBreakBefore w:val="0"/>
        <w:numPr>
          <w:ilvl w:val="0"/>
          <w:numId w:val="7"/>
        </w:numPr>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调解要求停止施工，且为双方接受；</w:t>
      </w:r>
    </w:p>
    <w:p>
      <w:pPr>
        <w:pStyle w:val="72"/>
        <w:keepNext w:val="0"/>
        <w:keepLines w:val="0"/>
        <w:pageBreakBefore w:val="0"/>
        <w:numPr>
          <w:ilvl w:val="0"/>
          <w:numId w:val="7"/>
        </w:numPr>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仲裁机关要求停止施工；</w:t>
      </w:r>
    </w:p>
    <w:p>
      <w:pPr>
        <w:pStyle w:val="72"/>
        <w:keepNext w:val="0"/>
        <w:keepLines w:val="0"/>
        <w:pageBreakBefore w:val="0"/>
        <w:numPr>
          <w:ilvl w:val="0"/>
          <w:numId w:val="7"/>
        </w:numPr>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法院要求停止施工。</w:t>
      </w:r>
    </w:p>
    <w:p>
      <w:pPr>
        <w:pStyle w:val="6"/>
        <w:keepNext w:val="0"/>
        <w:keepLines w:val="0"/>
        <w:pageBreakBefore w:val="0"/>
        <w:kinsoku/>
        <w:wordWrap/>
        <w:overflowPunct/>
        <w:topLinePunct w:val="0"/>
        <w:bidi w:val="0"/>
        <w:spacing w:before="0" w:after="0" w:afterAutospacing="0" w:line="560" w:lineRule="exact"/>
        <w:ind w:right="0"/>
        <w:textAlignment w:val="auto"/>
        <w:rPr>
          <w:rFonts w:hint="default" w:ascii="仿宋" w:hAnsi="仿宋" w:eastAsia="宋体"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19</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lang w:val="en-US" w:eastAsia="zh-CN"/>
        </w:rPr>
        <w:t>质量保证期</w:t>
      </w:r>
    </w:p>
    <w:p>
      <w:pPr>
        <w:pStyle w:val="72"/>
        <w:keepNext w:val="0"/>
        <w:keepLines w:val="0"/>
        <w:pageBreakBefore w:val="0"/>
        <w:widowControl/>
        <w:numPr>
          <w:ilvl w:val="0"/>
          <w:numId w:val="0"/>
        </w:numPr>
        <w:kinsoku/>
        <w:wordWrap/>
        <w:overflowPunct/>
        <w:topLinePunct w:val="0"/>
        <w:autoSpaceDE w:val="0"/>
        <w:autoSpaceDN w:val="0"/>
        <w:bidi w:val="0"/>
        <w:adjustRightInd w:val="0"/>
        <w:snapToGrid w:val="0"/>
        <w:spacing w:before="0" w:after="0" w:afterAutospacing="0" w:line="560" w:lineRule="exact"/>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19.1质量保证期为：12个月，自项目最终验收合格之日起计算；质保期内乙方免费提供电话、传真、电子邮件、现场多种方式技术服务，接到甲方处理问题通知后24小时内到达甲方指定现场。</w:t>
      </w:r>
    </w:p>
    <w:p>
      <w:pPr>
        <w:pStyle w:val="72"/>
        <w:keepNext w:val="0"/>
        <w:keepLines w:val="0"/>
        <w:pageBreakBefore w:val="0"/>
        <w:widowControl/>
        <w:numPr>
          <w:ilvl w:val="0"/>
          <w:numId w:val="0"/>
        </w:numPr>
        <w:kinsoku/>
        <w:wordWrap/>
        <w:overflowPunct/>
        <w:topLinePunct w:val="0"/>
        <w:autoSpaceDE w:val="0"/>
        <w:autoSpaceDN w:val="0"/>
        <w:bidi w:val="0"/>
        <w:adjustRightInd w:val="0"/>
        <w:snapToGrid w:val="0"/>
        <w:spacing w:before="0" w:after="0" w:afterAutospacing="0" w:line="560" w:lineRule="exact"/>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19.2在正常质量保证期内，出现或产生的缺陷或项目任何部分的损害，乙方应向甲方承担相应违约责任，并整改至满足技术规格书的要求。</w:t>
      </w:r>
    </w:p>
    <w:p>
      <w:pPr>
        <w:pStyle w:val="6"/>
        <w:keepNext w:val="0"/>
        <w:keepLines w:val="0"/>
        <w:pageBreakBefore w:val="0"/>
        <w:kinsoku/>
        <w:wordWrap/>
        <w:overflowPunct/>
        <w:topLinePunct w:val="0"/>
        <w:bidi w:val="0"/>
        <w:spacing w:before="0" w:after="0" w:afterAutospacing="0" w:line="560" w:lineRule="exact"/>
        <w:ind w:right="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20.服务团队人员配置</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20.1乙方指定</w:t>
      </w:r>
      <w:r>
        <w:rPr>
          <w:rFonts w:hint="eastAsia" w:ascii="仿宋" w:hAnsi="仿宋" w:eastAsia="仿宋" w:cs="仿宋"/>
          <w:color w:val="auto"/>
          <w:kern w:val="0"/>
          <w:sz w:val="28"/>
          <w:szCs w:val="28"/>
          <w:highlight w:val="none"/>
          <w:u w:val="single"/>
          <w:lang w:val="en-US" w:eastAsia="zh-CN" w:bidi="ar-SA"/>
        </w:rPr>
        <w:t xml:space="preserve">       </w:t>
      </w:r>
      <w:r>
        <w:rPr>
          <w:rFonts w:hint="eastAsia" w:ascii="仿宋" w:hAnsi="仿宋" w:eastAsia="仿宋" w:cs="仿宋"/>
          <w:color w:val="auto"/>
          <w:kern w:val="0"/>
          <w:sz w:val="28"/>
          <w:szCs w:val="28"/>
          <w:highlight w:val="none"/>
          <w:u w:val="none"/>
          <w:lang w:val="en-US" w:eastAsia="zh-CN" w:bidi="ar-SA"/>
        </w:rPr>
        <w:t>为项目负责人兼驻场项目主管（详见附件），代表乙方统筹负责本合同项下档案整理及数字化加工服务工作。项目负责人不得随意更换，不得兼任外单位项目负责人，如必须更换则须书面报请</w:t>
      </w:r>
      <w:r>
        <w:rPr>
          <w:rFonts w:hint="eastAsia" w:ascii="仿宋" w:hAnsi="仿宋" w:eastAsia="仿宋" w:cs="仿宋"/>
          <w:color w:val="auto"/>
          <w:kern w:val="0"/>
          <w:sz w:val="28"/>
          <w:szCs w:val="28"/>
          <w:highlight w:val="none"/>
          <w:lang w:val="en-US" w:eastAsia="zh-CN" w:bidi="ar-SA"/>
        </w:rPr>
        <w:t>甲方同意。</w:t>
      </w:r>
    </w:p>
    <w:p>
      <w:pPr>
        <w:keepNext w:val="0"/>
        <w:keepLines w:val="0"/>
        <w:pageBreakBefore w:val="0"/>
        <w:widowControl/>
        <w:kinsoku/>
        <w:wordWrap/>
        <w:overflowPunct/>
        <w:topLinePunct w:val="0"/>
        <w:autoSpaceDE/>
        <w:autoSpaceDN/>
        <w:bidi w:val="0"/>
        <w:adjustRightInd/>
        <w:snapToGrid/>
        <w:spacing w:before="0" w:after="0" w:afterAutospacing="0" w:line="560" w:lineRule="exact"/>
        <w:ind w:left="0" w:right="0" w:firstLine="560" w:firstLineChars="200"/>
        <w:textAlignment w:val="auto"/>
        <w:rPr>
          <w:rFonts w:hint="default" w:ascii="仿宋" w:hAnsi="仿宋" w:eastAsia="仿宋" w:cs="仿宋"/>
          <w:color w:val="auto"/>
          <w:sz w:val="28"/>
          <w:szCs w:val="28"/>
          <w:highlight w:val="none"/>
          <w:u w:val="none"/>
          <w:lang w:val="en-US" w:eastAsia="zh-CN"/>
        </w:rPr>
      </w:pPr>
      <w:r>
        <w:rPr>
          <w:rFonts w:hint="eastAsia" w:ascii="仿宋" w:hAnsi="仿宋" w:eastAsia="仿宋" w:cs="仿宋"/>
          <w:color w:val="auto"/>
          <w:kern w:val="0"/>
          <w:sz w:val="28"/>
          <w:szCs w:val="28"/>
          <w:highlight w:val="none"/>
          <w:lang w:val="en-US" w:eastAsia="zh-CN" w:bidi="ar-SA"/>
        </w:rPr>
        <w:t>20.2乙方服务团队共</w:t>
      </w:r>
      <w:r>
        <w:rPr>
          <w:rFonts w:hint="eastAsia" w:ascii="仿宋" w:hAnsi="仿宋" w:eastAsia="仿宋" w:cs="仿宋"/>
          <w:color w:val="auto"/>
          <w:kern w:val="0"/>
          <w:sz w:val="28"/>
          <w:szCs w:val="28"/>
          <w:highlight w:val="none"/>
          <w:u w:val="single"/>
          <w:lang w:val="en-US" w:eastAsia="zh-CN" w:bidi="ar-SA"/>
        </w:rPr>
        <w:t xml:space="preserve">     </w:t>
      </w:r>
      <w:r>
        <w:rPr>
          <w:rFonts w:hint="eastAsia" w:ascii="仿宋" w:hAnsi="仿宋" w:eastAsia="仿宋" w:cs="仿宋"/>
          <w:color w:val="auto"/>
          <w:kern w:val="0"/>
          <w:sz w:val="28"/>
          <w:szCs w:val="28"/>
          <w:highlight w:val="none"/>
          <w:u w:val="none"/>
          <w:lang w:val="en-US" w:eastAsia="zh-CN" w:bidi="ar-SA"/>
        </w:rPr>
        <w:t>人（详见附件），全程参与本合同项下档案整理及数字化加工服务工作。</w:t>
      </w:r>
    </w:p>
    <w:p>
      <w:pPr>
        <w:pStyle w:val="6"/>
        <w:keepNext w:val="0"/>
        <w:keepLines w:val="0"/>
        <w:pageBreakBefore w:val="0"/>
        <w:widowControl/>
        <w:kinsoku/>
        <w:wordWrap/>
        <w:overflowPunct/>
        <w:topLinePunct w:val="0"/>
        <w:autoSpaceDE/>
        <w:autoSpaceDN/>
        <w:bidi w:val="0"/>
        <w:adjustRightInd/>
        <w:snapToGrid/>
        <w:spacing w:before="0" w:after="0" w:afterAutospacing="0" w:line="560" w:lineRule="exact"/>
        <w:ind w:left="709" w:leftChars="0" w:right="0" w:hanging="709"/>
        <w:textAlignment w:val="auto"/>
        <w:rPr>
          <w:rFonts w:hint="eastAsia" w:ascii="仿宋" w:hAnsi="仿宋" w:eastAsia="仿宋" w:cs="仿宋"/>
          <w:color w:val="auto"/>
          <w:sz w:val="28"/>
          <w:szCs w:val="28"/>
          <w:highlight w:val="none"/>
        </w:rPr>
      </w:pPr>
      <w:bookmarkStart w:id="1318" w:name="_Toc2096"/>
      <w:bookmarkStart w:id="1319" w:name="_Toc25750640"/>
      <w:bookmarkStart w:id="1320" w:name="_Toc17100"/>
      <w:bookmarkStart w:id="1321" w:name="_Toc390098469"/>
      <w:bookmarkStart w:id="1322" w:name="_Toc18946"/>
      <w:bookmarkStart w:id="1323" w:name="_Toc16793"/>
      <w:bookmarkStart w:id="1324" w:name="_Toc2340"/>
      <w:bookmarkStart w:id="1325" w:name="_Toc24189"/>
      <w:bookmarkStart w:id="1326" w:name="_Toc4739"/>
      <w:bookmarkStart w:id="1327" w:name="_Toc12048"/>
      <w:bookmarkStart w:id="1328" w:name="_Toc5930"/>
      <w:bookmarkStart w:id="1329" w:name="_Toc25104"/>
      <w:bookmarkStart w:id="1330" w:name="_Toc370933860"/>
      <w:bookmarkStart w:id="1331" w:name="_Toc15801"/>
      <w:bookmarkStart w:id="1332" w:name="_Toc378514957"/>
      <w:bookmarkStart w:id="1333" w:name="_Toc16437_WPSOffice_Level2"/>
      <w:bookmarkStart w:id="1334" w:name="_Toc8848"/>
      <w:bookmarkStart w:id="1335" w:name="_Toc17102"/>
      <w:bookmarkStart w:id="1336" w:name="_Toc16891"/>
      <w:bookmarkStart w:id="1337" w:name="_Toc492478768"/>
      <w:bookmarkStart w:id="1338" w:name="_Toc385427843"/>
      <w:bookmarkStart w:id="1339" w:name="_Toc23542"/>
      <w:bookmarkStart w:id="1340" w:name="_Toc17908"/>
      <w:bookmarkStart w:id="1341" w:name="_Toc25049"/>
      <w:bookmarkStart w:id="1342" w:name="_Toc23274"/>
      <w:bookmarkStart w:id="1343" w:name="_Toc486842415"/>
      <w:bookmarkStart w:id="1344" w:name="_Toc1724600"/>
      <w:bookmarkStart w:id="1345" w:name="_Toc30695"/>
      <w:bookmarkStart w:id="1346" w:name="_Toc482008351"/>
      <w:bookmarkStart w:id="1347" w:name="_Toc29651"/>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1</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知识产权</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bookmarkEnd w:id="1343"/>
    <w:bookmarkEnd w:id="1344"/>
    <w:bookmarkEnd w:id="1345"/>
    <w:bookmarkEnd w:id="1346"/>
    <w:bookmarkEnd w:id="1347"/>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甲方档案本身所包含的知识产权由原所有人所有。</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21.2乙方根据本合同规定服务对甲方档案进行著录、标引、扫描、摘录、汇编、研究等而产生的知识产权归甲方所有；</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21.3由乙方形成的，可脱离于甲方档案或本合同服务内容而独立存在的知识产权，如商标、软件著作权、专利技术、商业秘密等，归乙方所有。</w:t>
      </w:r>
    </w:p>
    <w:p>
      <w:pPr>
        <w:pStyle w:val="6"/>
        <w:keepNext w:val="0"/>
        <w:keepLines w:val="0"/>
        <w:pageBreakBefore w:val="0"/>
        <w:kinsoku/>
        <w:wordWrap/>
        <w:overflowPunct/>
        <w:topLinePunct w:val="0"/>
        <w:bidi w:val="0"/>
        <w:snapToGrid w:val="0"/>
        <w:spacing w:before="0" w:after="0" w:afterAutospacing="0" w:line="560" w:lineRule="exact"/>
        <w:ind w:right="0"/>
        <w:textAlignment w:val="auto"/>
        <w:rPr>
          <w:rFonts w:hint="eastAsia" w:ascii="仿宋" w:hAnsi="仿宋" w:eastAsia="仿宋" w:cs="仿宋"/>
          <w:color w:val="auto"/>
          <w:sz w:val="28"/>
          <w:szCs w:val="28"/>
          <w:highlight w:val="none"/>
        </w:rPr>
      </w:pPr>
      <w:bookmarkStart w:id="1348" w:name="_Toc23358_WPSOffice_Level2"/>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2</w:t>
      </w:r>
      <w:r>
        <w:rPr>
          <w:rFonts w:hint="eastAsia" w:ascii="仿宋" w:hAnsi="仿宋" w:cs="仿宋"/>
          <w:color w:val="auto"/>
          <w:sz w:val="28"/>
          <w:szCs w:val="28"/>
          <w:highlight w:val="none"/>
          <w:lang w:val="en-US" w:eastAsia="zh-CN"/>
        </w:rPr>
        <w:t>.</w:t>
      </w:r>
      <w:r>
        <w:rPr>
          <w:rFonts w:hint="eastAsia" w:ascii="仿宋" w:hAnsi="仿宋" w:eastAsia="仿宋" w:cs="仿宋"/>
          <w:color w:val="auto"/>
          <w:sz w:val="28"/>
          <w:szCs w:val="28"/>
          <w:highlight w:val="none"/>
        </w:rPr>
        <w:t>其他约定事项</w:t>
      </w:r>
      <w:bookmarkEnd w:id="1348"/>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Style w:val="35"/>
          <w:rFonts w:hint="eastAsia" w:ascii="仿宋" w:hAnsi="仿宋" w:eastAsia="仿宋" w:cs="仿宋"/>
          <w:color w:val="auto"/>
          <w:sz w:val="28"/>
          <w:szCs w:val="28"/>
          <w:highlight w:val="none"/>
        </w:rPr>
      </w:pPr>
      <w:r>
        <w:rPr>
          <w:rStyle w:val="35"/>
          <w:rFonts w:hint="eastAsia" w:ascii="仿宋" w:hAnsi="仿宋" w:eastAsia="仿宋" w:cs="仿宋"/>
          <w:color w:val="auto"/>
          <w:sz w:val="28"/>
          <w:szCs w:val="28"/>
          <w:highlight w:val="none"/>
        </w:rPr>
        <w:t>2</w:t>
      </w:r>
      <w:r>
        <w:rPr>
          <w:rStyle w:val="35"/>
          <w:rFonts w:hint="eastAsia" w:ascii="仿宋" w:hAnsi="仿宋" w:eastAsia="仿宋" w:cs="仿宋"/>
          <w:color w:val="auto"/>
          <w:sz w:val="28"/>
          <w:szCs w:val="28"/>
          <w:highlight w:val="none"/>
          <w:lang w:val="en-US" w:eastAsia="zh-CN"/>
        </w:rPr>
        <w:t>2</w:t>
      </w:r>
      <w:r>
        <w:rPr>
          <w:rStyle w:val="35"/>
          <w:rFonts w:hint="eastAsia" w:ascii="仿宋" w:hAnsi="仿宋" w:eastAsia="仿宋" w:cs="仿宋"/>
          <w:color w:val="auto"/>
          <w:sz w:val="28"/>
          <w:szCs w:val="28"/>
          <w:highlight w:val="none"/>
        </w:rPr>
        <w:t>.1本项目的附属设施若有损坏，本着“谁损坏，谁赔偿”的原则解决。</w:t>
      </w:r>
    </w:p>
    <w:p>
      <w:pPr>
        <w:pStyle w:val="72"/>
        <w:keepNext w:val="0"/>
        <w:keepLines w:val="0"/>
        <w:pageBreakBefore w:val="0"/>
        <w:kinsoku/>
        <w:wordWrap/>
        <w:overflowPunct/>
        <w:topLinePunct w:val="0"/>
        <w:bidi w:val="0"/>
        <w:snapToGrid w:val="0"/>
        <w:spacing w:before="0" w:after="0" w:afterAutospacing="0" w:line="560" w:lineRule="exact"/>
        <w:ind w:left="0" w:leftChars="0" w:right="0" w:firstLine="560" w:firstLineChars="200"/>
        <w:textAlignment w:val="auto"/>
        <w:rPr>
          <w:rStyle w:val="35"/>
          <w:rFonts w:hint="eastAsia" w:ascii="仿宋" w:hAnsi="仿宋" w:eastAsia="仿宋" w:cs="仿宋"/>
          <w:color w:val="auto"/>
          <w:sz w:val="28"/>
          <w:szCs w:val="28"/>
          <w:highlight w:val="none"/>
        </w:rPr>
      </w:pPr>
      <w:r>
        <w:rPr>
          <w:rStyle w:val="35"/>
          <w:rFonts w:hint="eastAsia" w:ascii="仿宋" w:hAnsi="仿宋" w:eastAsia="仿宋" w:cs="仿宋"/>
          <w:color w:val="auto"/>
          <w:sz w:val="28"/>
          <w:szCs w:val="28"/>
          <w:highlight w:val="none"/>
        </w:rPr>
        <w:t>2</w:t>
      </w:r>
      <w:r>
        <w:rPr>
          <w:rStyle w:val="35"/>
          <w:rFonts w:hint="eastAsia" w:ascii="仿宋" w:hAnsi="仿宋" w:eastAsia="仿宋" w:cs="仿宋"/>
          <w:color w:val="auto"/>
          <w:sz w:val="28"/>
          <w:szCs w:val="28"/>
          <w:highlight w:val="none"/>
          <w:lang w:val="en-US" w:eastAsia="zh-CN"/>
        </w:rPr>
        <w:t>2</w:t>
      </w:r>
      <w:r>
        <w:rPr>
          <w:rStyle w:val="35"/>
          <w:rFonts w:hint="eastAsia" w:ascii="仿宋" w:hAnsi="仿宋" w:eastAsia="仿宋" w:cs="仿宋"/>
          <w:color w:val="auto"/>
          <w:sz w:val="28"/>
          <w:szCs w:val="28"/>
          <w:highlight w:val="none"/>
        </w:rPr>
        <w:t>.2本合同未尽事宜，由双方协商解决，必要时可签订补充合同。</w:t>
      </w:r>
    </w:p>
    <w:p>
      <w:pPr>
        <w:ind w:left="705" w:leftChars="200" w:hanging="285" w:hangingChars="136"/>
        <w:rPr>
          <w:rFonts w:hint="eastAsia" w:ascii="宋体" w:hAnsi="宋体" w:eastAsia="宋体" w:cs="宋体"/>
          <w:color w:val="auto"/>
          <w:highlight w:val="none"/>
        </w:rPr>
      </w:pPr>
      <w:r>
        <w:rPr>
          <w:rFonts w:hint="eastAsia" w:ascii="宋体" w:hAnsi="宋体" w:eastAsia="宋体" w:cs="宋体"/>
          <w:color w:val="auto"/>
          <w:highlight w:val="none"/>
        </w:rPr>
        <w:br w:type="page"/>
      </w:r>
    </w:p>
    <w:p>
      <w:pPr>
        <w:numPr>
          <w:ilvl w:val="0"/>
          <w:numId w:val="0"/>
        </w:numPr>
        <w:spacing w:before="0"/>
        <w:ind w:right="0" w:firstLine="200"/>
        <w:jc w:val="center"/>
        <w:outlineLvl w:val="1"/>
        <w:rPr>
          <w:rFonts w:hint="eastAsia" w:ascii="宋体" w:hAnsi="宋体"/>
          <w:b/>
          <w:color w:val="auto"/>
          <w:sz w:val="24"/>
          <w:szCs w:val="24"/>
          <w:highlight w:val="none"/>
          <w:lang w:val="en-US" w:eastAsia="zh-CN"/>
        </w:rPr>
      </w:pPr>
      <w:r>
        <w:rPr>
          <w:rFonts w:hint="eastAsia" w:ascii="宋体" w:hAnsi="宋体" w:cs="Times New Roman"/>
          <w:b/>
          <w:color w:val="auto"/>
          <w:sz w:val="24"/>
          <w:szCs w:val="24"/>
          <w:highlight w:val="none"/>
          <w:lang w:val="en-US" w:eastAsia="zh-CN" w:bidi="ar-SA"/>
        </w:rPr>
        <w:t>四</w:t>
      </w:r>
      <w:r>
        <w:rPr>
          <w:rFonts w:hint="eastAsia" w:ascii="宋体" w:hAnsi="宋体" w:eastAsia="宋体" w:cs="Times New Roman"/>
          <w:b/>
          <w:color w:val="auto"/>
          <w:sz w:val="24"/>
          <w:szCs w:val="24"/>
          <w:highlight w:val="none"/>
          <w:lang w:val="en-US" w:eastAsia="zh-CN" w:bidi="ar-SA"/>
        </w:rPr>
        <w:t>、</w:t>
      </w:r>
      <w:r>
        <w:rPr>
          <w:rFonts w:hint="eastAsia" w:ascii="宋体" w:hAnsi="宋体"/>
          <w:b/>
          <w:color w:val="auto"/>
          <w:sz w:val="24"/>
          <w:szCs w:val="24"/>
          <w:highlight w:val="none"/>
          <w:lang w:val="en-US" w:eastAsia="zh-CN"/>
        </w:rPr>
        <w:t>价格组成文件</w:t>
      </w:r>
    </w:p>
    <w:p>
      <w:pPr>
        <w:pStyle w:val="6"/>
        <w:outlineLvl w:val="1"/>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1.税率确认函</w:t>
      </w:r>
    </w:p>
    <w:p>
      <w:pPr>
        <w:pStyle w:val="6"/>
        <w:outlineLvl w:val="1"/>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2.中选文件分项报价表</w:t>
      </w:r>
    </w:p>
    <w:p>
      <w:pPr>
        <w:rPr>
          <w:rFonts w:hint="eastAsia" w:ascii="宋体" w:hAnsi="宋体" w:eastAsia="宋体" w:cs="宋体"/>
          <w:color w:val="auto"/>
          <w:sz w:val="21"/>
          <w:szCs w:val="21"/>
          <w:highlight w:val="none"/>
          <w:lang w:val="en-US" w:eastAsia="zh-CN"/>
        </w:rPr>
      </w:pPr>
      <w:r>
        <w:rPr>
          <w:rFonts w:hint="eastAsia" w:ascii="宋体" w:hAnsi="宋体" w:cs="宋体"/>
          <w:b w:val="0"/>
          <w:color w:val="auto"/>
          <w:sz w:val="21"/>
          <w:szCs w:val="21"/>
          <w:highlight w:val="none"/>
          <w:lang w:val="en-US" w:eastAsia="zh-CN"/>
        </w:rPr>
        <w:t>3.含税分项报价汇总表</w:t>
      </w:r>
    </w:p>
    <w:p>
      <w:pPr>
        <w:pStyle w:val="32"/>
        <w:numPr>
          <w:ilvl w:val="-1"/>
          <w:numId w:val="0"/>
        </w:numPr>
        <w:ind w:left="840" w:leftChars="400" w:firstLine="0" w:firstLineChars="0"/>
        <w:rPr>
          <w:rFonts w:hint="eastAsia"/>
          <w:color w:val="auto"/>
          <w:highlight w:val="none"/>
          <w:lang w:eastAsia="zh-CN"/>
        </w:rPr>
      </w:pPr>
    </w:p>
    <w:p>
      <w:pPr>
        <w:pStyle w:val="12"/>
        <w:ind w:left="705" w:leftChars="200" w:hanging="285" w:hangingChars="136"/>
        <w:rPr>
          <w:rFonts w:hint="eastAsia" w:ascii="宋体" w:hAnsi="宋体" w:eastAsia="宋体" w:cs="宋体"/>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ind w:left="705" w:leftChars="200" w:hanging="285" w:hangingChars="136"/>
        <w:rPr>
          <w:rFonts w:hint="eastAsia"/>
          <w:color w:val="auto"/>
          <w:highlight w:val="none"/>
        </w:rPr>
      </w:pPr>
      <w:r>
        <w:rPr>
          <w:rFonts w:hint="eastAsia"/>
          <w:color w:val="auto"/>
          <w:highlight w:val="none"/>
        </w:rPr>
        <w:br w:type="page"/>
      </w:r>
    </w:p>
    <w:p>
      <w:pPr>
        <w:spacing w:before="0" w:after="0" w:afterAutospacing="0"/>
        <w:ind w:left="0" w:right="0" w:firstLine="0"/>
        <w:jc w:val="center"/>
        <w:outlineLvl w:val="9"/>
        <w:rPr>
          <w:rFonts w:hint="eastAsia" w:ascii="宋体" w:hAnsi="宋体"/>
          <w:b/>
          <w:color w:val="auto"/>
          <w:sz w:val="24"/>
          <w:szCs w:val="24"/>
          <w:highlight w:val="none"/>
          <w:lang w:val="en-US" w:eastAsia="zh-CN"/>
        </w:rPr>
      </w:pPr>
      <w:bookmarkStart w:id="1349" w:name="_Toc3084"/>
      <w:bookmarkStart w:id="1350" w:name="_Toc14663"/>
      <w:bookmarkStart w:id="1351" w:name="_Toc6546"/>
      <w:bookmarkStart w:id="1352" w:name="_Toc3101"/>
      <w:bookmarkStart w:id="1353" w:name="_Toc15938"/>
      <w:bookmarkStart w:id="1354" w:name="_Toc17263"/>
      <w:bookmarkStart w:id="1355" w:name="_Toc25750672"/>
      <w:bookmarkStart w:id="1356" w:name="_Toc19448"/>
      <w:bookmarkStart w:id="1357" w:name="_Toc16716"/>
      <w:bookmarkStart w:id="1358" w:name="_Toc16443"/>
      <w:bookmarkStart w:id="1359" w:name="_Toc6194"/>
      <w:bookmarkStart w:id="1360" w:name="_Toc14997"/>
      <w:bookmarkStart w:id="1361" w:name="_Toc12470"/>
      <w:bookmarkStart w:id="1362" w:name="_Toc27316"/>
      <w:bookmarkStart w:id="1363" w:name="_Toc21372"/>
      <w:bookmarkStart w:id="1364" w:name="_Toc12983548"/>
      <w:bookmarkStart w:id="1365" w:name="_Toc29249"/>
      <w:bookmarkStart w:id="1366" w:name="_Toc21659"/>
      <w:bookmarkStart w:id="1367" w:name="_Toc21033"/>
      <w:bookmarkStart w:id="1368" w:name="_Toc5644"/>
      <w:bookmarkStart w:id="1369" w:name="_Toc5186"/>
      <w:bookmarkStart w:id="1370" w:name="_Toc27258"/>
      <w:bookmarkStart w:id="1371" w:name="_Toc21635"/>
      <w:bookmarkStart w:id="1372" w:name="_Toc2753"/>
      <w:bookmarkStart w:id="1373" w:name="_Toc13288"/>
      <w:r>
        <w:rPr>
          <w:rFonts w:hint="eastAsia" w:ascii="宋体" w:hAnsi="宋体" w:cs="Times New Roman"/>
          <w:b/>
          <w:color w:val="auto"/>
          <w:sz w:val="24"/>
          <w:szCs w:val="24"/>
          <w:highlight w:val="none"/>
          <w:lang w:val="en-US" w:eastAsia="zh-CN" w:bidi="ar-SA"/>
        </w:rPr>
        <w:t>五</w:t>
      </w:r>
      <w:r>
        <w:rPr>
          <w:rFonts w:hint="eastAsia" w:ascii="宋体" w:hAnsi="宋体" w:eastAsia="宋体" w:cs="Times New Roman"/>
          <w:b/>
          <w:color w:val="auto"/>
          <w:sz w:val="24"/>
          <w:szCs w:val="24"/>
          <w:highlight w:val="none"/>
          <w:lang w:val="en-US" w:eastAsia="zh-CN" w:bidi="ar-SA"/>
        </w:rPr>
        <w:t>、</w:t>
      </w:r>
      <w:r>
        <w:rPr>
          <w:rFonts w:hint="eastAsia" w:ascii="宋体" w:hAnsi="宋体"/>
          <w:b/>
          <w:color w:val="auto"/>
          <w:sz w:val="24"/>
          <w:szCs w:val="24"/>
          <w:highlight w:val="none"/>
          <w:lang w:val="en-US" w:eastAsia="zh-CN"/>
        </w:rPr>
        <w:t>技术规格书</w:t>
      </w:r>
    </w:p>
    <w:p>
      <w:pPr>
        <w:spacing w:before="0" w:after="0" w:afterAutospacing="0"/>
        <w:ind w:left="0" w:right="0" w:firstLine="0"/>
        <w:jc w:val="left"/>
        <w:outlineLvl w:val="9"/>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br w:type="page"/>
      </w:r>
    </w:p>
    <w:p>
      <w:pPr>
        <w:spacing w:before="0" w:after="0" w:afterAutospacing="0"/>
        <w:ind w:left="0" w:right="0" w:firstLine="0"/>
        <w:jc w:val="left"/>
        <w:outlineLvl w:val="9"/>
        <w:rPr>
          <w:rFonts w:hint="default" w:ascii="宋体" w:hAnsi="宋体"/>
          <w:b/>
          <w:color w:val="auto"/>
          <w:sz w:val="24"/>
          <w:szCs w:val="24"/>
          <w:highlight w:val="none"/>
          <w:lang w:val="en-US" w:eastAsia="zh-CN"/>
        </w:rPr>
      </w:pPr>
    </w:p>
    <w:p>
      <w:pPr>
        <w:tabs>
          <w:tab w:val="left" w:pos="840"/>
          <w:tab w:val="left" w:pos="1843"/>
        </w:tabs>
        <w:spacing w:before="0" w:after="0" w:afterAutospacing="0"/>
        <w:ind w:left="422" w:right="0" w:firstLine="0"/>
        <w:jc w:val="center"/>
        <w:outlineLvl w:val="1"/>
        <w:rPr>
          <w:rFonts w:ascii="宋体" w:hAnsi="宋体"/>
          <w:b/>
          <w:color w:val="auto"/>
          <w:sz w:val="24"/>
          <w:szCs w:val="24"/>
          <w:highlight w:val="none"/>
        </w:rPr>
      </w:pPr>
      <w:r>
        <w:rPr>
          <w:rFonts w:hint="eastAsia" w:ascii="宋体" w:hAnsi="宋体"/>
          <w:b/>
          <w:color w:val="auto"/>
          <w:sz w:val="24"/>
          <w:szCs w:val="24"/>
          <w:highlight w:val="none"/>
          <w:lang w:val="en-US" w:eastAsia="zh-CN"/>
        </w:rPr>
        <w:t>六</w:t>
      </w:r>
      <w:r>
        <w:rPr>
          <w:rFonts w:hint="eastAsia" w:ascii="宋体" w:hAnsi="宋体"/>
          <w:b/>
          <w:color w:val="auto"/>
          <w:sz w:val="24"/>
          <w:szCs w:val="24"/>
          <w:highlight w:val="none"/>
        </w:rPr>
        <w:t>、合同附件及格式</w:t>
      </w:r>
      <w:bookmarkEnd w:id="1349"/>
      <w:bookmarkEnd w:id="1350"/>
      <w:bookmarkEnd w:id="1351"/>
      <w:bookmarkEnd w:id="1352"/>
      <w:bookmarkEnd w:id="1353"/>
      <w:bookmarkEnd w:id="1354"/>
      <w:bookmarkEnd w:id="1355"/>
    </w:p>
    <w:p>
      <w:pPr>
        <w:pStyle w:val="32"/>
        <w:ind w:left="0" w:leftChars="0" w:firstLine="0" w:firstLineChars="0"/>
        <w:rPr>
          <w:rStyle w:val="46"/>
          <w:rFonts w:hint="eastAsia" w:cs="Times New Roman" w:asciiTheme="minorEastAsia" w:hAnsiTheme="minorEastAsia" w:eastAsiaTheme="minorEastAsia"/>
          <w:color w:val="auto"/>
          <w:sz w:val="21"/>
          <w:szCs w:val="21"/>
          <w:highlight w:val="none"/>
          <w:lang w:eastAsia="zh-CN"/>
        </w:rPr>
      </w:pPr>
    </w:p>
    <w:p>
      <w:pPr>
        <w:ind w:left="0" w:leftChars="0" w:firstLine="0" w:firstLine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br w:type="page"/>
      </w:r>
    </w:p>
    <w:p>
      <w:pPr>
        <w:ind w:left="0" w:leftChars="0" w:firstLine="0" w:firstLineChars="0"/>
        <w:jc w:val="center"/>
        <w:rPr>
          <w:rStyle w:val="35"/>
          <w:rFonts w:hint="eastAsia" w:ascii="宋体" w:hAnsi="宋体" w:eastAsia="宋体" w:cs="Times New Roman"/>
          <w:color w:val="auto"/>
          <w:sz w:val="24"/>
          <w:szCs w:val="24"/>
          <w:highlight w:val="none"/>
        </w:rPr>
      </w:pPr>
      <w:r>
        <w:rPr>
          <w:rFonts w:hint="eastAsia" w:ascii="宋体" w:hAnsi="宋体"/>
          <w:b/>
          <w:color w:val="auto"/>
          <w:sz w:val="24"/>
          <w:szCs w:val="24"/>
          <w:highlight w:val="none"/>
          <w:lang w:val="en-US" w:eastAsia="zh-CN"/>
        </w:rPr>
        <w:t>七</w:t>
      </w:r>
      <w:r>
        <w:rPr>
          <w:rFonts w:hint="eastAsia" w:ascii="宋体" w:hAnsi="宋体"/>
          <w:b/>
          <w:color w:val="auto"/>
          <w:sz w:val="24"/>
          <w:szCs w:val="24"/>
          <w:highlight w:val="none"/>
        </w:rPr>
        <w:t>、</w:t>
      </w:r>
      <w:r>
        <w:rPr>
          <w:rFonts w:hint="eastAsia" w:ascii="宋体" w:hAnsi="宋体" w:eastAsia="宋体" w:cs="Times New Roman"/>
          <w:b/>
          <w:color w:val="auto"/>
          <w:sz w:val="24"/>
          <w:szCs w:val="24"/>
          <w:highlight w:val="none"/>
        </w:rPr>
        <w:t>比选文件（含比选补遗文件） （另册）</w:t>
      </w:r>
    </w:p>
    <w:p>
      <w:pPr>
        <w:rPr>
          <w:rStyle w:val="46"/>
          <w:rFonts w:hint="eastAsia" w:cs="Times New Roman" w:asciiTheme="minorEastAsia" w:hAnsiTheme="minorEastAsia" w:eastAsiaTheme="minorEastAsia"/>
          <w:color w:val="auto"/>
          <w:sz w:val="21"/>
          <w:szCs w:val="21"/>
          <w:highlight w:val="none"/>
        </w:rPr>
      </w:pPr>
      <w:r>
        <w:rPr>
          <w:rStyle w:val="46"/>
          <w:rFonts w:hint="eastAsia" w:cs="Times New Roman" w:asciiTheme="minorEastAsia" w:hAnsiTheme="minorEastAsia" w:eastAsiaTheme="minorEastAsia"/>
          <w:color w:val="auto"/>
          <w:sz w:val="21"/>
          <w:szCs w:val="21"/>
          <w:highlight w:val="none"/>
        </w:rPr>
        <w:br w:type="page"/>
      </w:r>
    </w:p>
    <w:p>
      <w:pPr>
        <w:pStyle w:val="32"/>
        <w:ind w:left="0" w:leftChars="0" w:firstLine="0" w:firstLineChars="0"/>
        <w:jc w:val="center"/>
        <w:rPr>
          <w:rFonts w:hint="eastAsia" w:ascii="宋体" w:hAnsi="宋体" w:eastAsia="宋体" w:cs="Times New Roman"/>
          <w:b/>
          <w:color w:val="auto"/>
          <w:sz w:val="24"/>
          <w:szCs w:val="24"/>
          <w:highlight w:val="none"/>
        </w:rPr>
      </w:pPr>
      <w:r>
        <w:rPr>
          <w:rFonts w:hint="eastAsia" w:ascii="宋体" w:hAnsi="宋体" w:cs="Times New Roman"/>
          <w:b/>
          <w:color w:val="auto"/>
          <w:sz w:val="24"/>
          <w:szCs w:val="24"/>
          <w:highlight w:val="none"/>
          <w:lang w:val="en-US" w:eastAsia="zh-CN"/>
        </w:rPr>
        <w:t>八</w:t>
      </w:r>
      <w:r>
        <w:rPr>
          <w:rFonts w:hint="eastAsia" w:ascii="宋体" w:hAnsi="宋体" w:cs="Times New Roman"/>
          <w:b/>
          <w:color w:val="auto"/>
          <w:sz w:val="24"/>
          <w:szCs w:val="24"/>
          <w:highlight w:val="none"/>
        </w:rPr>
        <w:t>、</w:t>
      </w:r>
      <w:r>
        <w:rPr>
          <w:rFonts w:hint="eastAsia" w:ascii="宋体" w:hAnsi="宋体" w:eastAsia="宋体" w:cs="Times New Roman"/>
          <w:b/>
          <w:color w:val="auto"/>
          <w:sz w:val="24"/>
          <w:szCs w:val="24"/>
          <w:highlight w:val="none"/>
        </w:rPr>
        <w:t>比选申请文件（含比选申请文件的补充文件） （另册）</w:t>
      </w:r>
    </w:p>
    <w:p>
      <w:pPr>
        <w:pStyle w:val="32"/>
        <w:ind w:left="0" w:leftChars="0" w:firstLine="0" w:firstLineChars="0"/>
        <w:rPr>
          <w:rStyle w:val="46"/>
          <w:rFonts w:hint="eastAsia" w:cs="Times New Roman" w:asciiTheme="minorEastAsia" w:hAnsiTheme="minorEastAsia" w:eastAsiaTheme="minorEastAsia"/>
          <w:color w:val="auto"/>
          <w:sz w:val="21"/>
          <w:szCs w:val="21"/>
          <w:highlight w:val="none"/>
        </w:rPr>
      </w:pPr>
    </w:p>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Pr>
        <w:rPr>
          <w:rFonts w:hint="eastAsia"/>
          <w:color w:val="auto"/>
          <w:sz w:val="32"/>
          <w:szCs w:val="28"/>
          <w:highlight w:val="none"/>
        </w:rPr>
      </w:pPr>
      <w:bookmarkStart w:id="1374" w:name="_Toc10910"/>
      <w:bookmarkStart w:id="1375" w:name="_Toc1387"/>
      <w:bookmarkStart w:id="1376" w:name="_Toc13335"/>
      <w:bookmarkStart w:id="1377" w:name="_Toc30102"/>
      <w:bookmarkStart w:id="1378" w:name="_Toc9218"/>
      <w:bookmarkStart w:id="1379" w:name="_Toc23749"/>
      <w:bookmarkStart w:id="1380" w:name="_Toc159931569"/>
      <w:bookmarkStart w:id="1381" w:name="_Toc20200"/>
      <w:bookmarkStart w:id="1382" w:name="_Toc30797"/>
      <w:bookmarkStart w:id="1383" w:name="_Toc20847"/>
      <w:bookmarkStart w:id="1384" w:name="_Toc26986"/>
      <w:bookmarkStart w:id="1385" w:name="_Toc18257"/>
      <w:bookmarkStart w:id="1386" w:name="_Toc28817"/>
      <w:bookmarkStart w:id="1387" w:name="_Toc18818"/>
      <w:bookmarkStart w:id="1388" w:name="_Toc361"/>
      <w:bookmarkStart w:id="1389" w:name="_Toc492478802"/>
      <w:bookmarkStart w:id="1390" w:name="_Toc31535"/>
      <w:bookmarkStart w:id="1391" w:name="_Toc19412"/>
      <w:bookmarkStart w:id="1392" w:name="_Toc23261"/>
      <w:bookmarkStart w:id="1393" w:name="_Toc12983549"/>
      <w:bookmarkStart w:id="1394" w:name="_Toc31624"/>
      <w:bookmarkStart w:id="1395" w:name="_Toc3396"/>
      <w:bookmarkStart w:id="1396" w:name="_Toc4873"/>
      <w:bookmarkStart w:id="1397" w:name="_Toc414290520"/>
      <w:bookmarkStart w:id="1398" w:name="_Toc21274"/>
      <w:bookmarkStart w:id="1399" w:name="_Toc25325"/>
      <w:bookmarkStart w:id="1400" w:name="_Toc22709"/>
      <w:bookmarkStart w:id="1401" w:name="_Toc6941"/>
      <w:bookmarkStart w:id="1402" w:name="_Toc16671"/>
      <w:bookmarkStart w:id="1403" w:name="_Toc24824"/>
      <w:bookmarkStart w:id="1404" w:name="_Toc30705"/>
      <w:bookmarkStart w:id="1405" w:name="_Toc12984805"/>
      <w:bookmarkStart w:id="1406" w:name="_Toc24453"/>
      <w:bookmarkStart w:id="1407" w:name="_Toc32185"/>
      <w:bookmarkStart w:id="1408" w:name="_Toc4027"/>
      <w:r>
        <w:rPr>
          <w:rFonts w:hint="eastAsia"/>
          <w:color w:val="auto"/>
          <w:sz w:val="32"/>
          <w:szCs w:val="28"/>
          <w:highlight w:val="none"/>
        </w:rPr>
        <w:br w:type="page"/>
      </w:r>
    </w:p>
    <w:p>
      <w:pPr>
        <w:pStyle w:val="4"/>
        <w:keepNext w:val="0"/>
        <w:keepLines w:val="0"/>
        <w:pageBreakBefore w:val="0"/>
        <w:widowControl/>
        <w:numPr>
          <w:ilvl w:val="0"/>
          <w:numId w:val="8"/>
        </w:numPr>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color w:val="auto"/>
          <w:sz w:val="32"/>
          <w:szCs w:val="28"/>
          <w:highlight w:val="none"/>
        </w:rPr>
      </w:pPr>
      <w:bookmarkStart w:id="1409" w:name="_Toc10830"/>
      <w:r>
        <w:rPr>
          <w:rFonts w:hint="eastAsia"/>
          <w:color w:val="auto"/>
          <w:sz w:val="32"/>
          <w:szCs w:val="28"/>
          <w:highlight w:val="none"/>
        </w:rPr>
        <w:t>比选申请文件格式</w:t>
      </w:r>
      <w:bookmarkEnd w:id="1374"/>
      <w:bookmarkEnd w:id="1375"/>
      <w:bookmarkEnd w:id="1376"/>
      <w:bookmarkEnd w:id="1377"/>
      <w:bookmarkEnd w:id="1378"/>
      <w:bookmarkEnd w:id="1379"/>
      <w:bookmarkEnd w:id="1380"/>
      <w:bookmarkEnd w:id="1409"/>
    </w:p>
    <w:p>
      <w:pPr>
        <w:pStyle w:val="4"/>
        <w:numPr>
          <w:ilvl w:val="0"/>
          <w:numId w:val="0"/>
        </w:numPr>
        <w:spacing w:before="312" w:beforeLines="100" w:after="312" w:afterLines="100" w:line="360" w:lineRule="auto"/>
        <w:ind w:leftChars="0" w:right="-27" w:rightChars="0"/>
        <w:jc w:val="both"/>
        <w:rPr>
          <w:rFonts w:ascii="宋体" w:hAnsi="宋体"/>
          <w:color w:val="auto"/>
          <w:kern w:val="0"/>
          <w:sz w:val="84"/>
          <w:highlight w:val="none"/>
        </w:rPr>
      </w:pPr>
      <w:r>
        <w:rPr>
          <w:rFonts w:ascii="楷体_GB2312" w:eastAsia="楷体_GB2312"/>
          <w:b/>
          <w:color w:val="auto"/>
          <w:kern w:val="0"/>
          <w:sz w:val="24"/>
          <w:highlight w:val="none"/>
        </w:rPr>
        <w:tab/>
      </w:r>
      <w:bookmarkStart w:id="1410" w:name="_Toc114052390"/>
    </w:p>
    <w:bookmarkEnd w:id="1410"/>
    <w:p>
      <w:pPr>
        <w:keepNext w:val="0"/>
        <w:keepLines w:val="0"/>
        <w:pageBreakBefore w:val="0"/>
        <w:widowControl/>
        <w:kinsoku/>
        <w:wordWrap/>
        <w:overflowPunct/>
        <w:topLinePunct w:val="0"/>
        <w:bidi w:val="0"/>
        <w:snapToGrid/>
        <w:spacing w:before="0" w:after="0" w:afterAutospacing="0" w:line="240" w:lineRule="auto"/>
        <w:ind w:left="0" w:right="0" w:firstLine="0"/>
        <w:jc w:val="center"/>
        <w:textAlignment w:val="auto"/>
        <w:rPr>
          <w:rFonts w:ascii="宋体" w:hAnsi="宋体"/>
          <w:color w:val="auto"/>
          <w:kern w:val="0"/>
          <w:sz w:val="48"/>
          <w:szCs w:val="48"/>
          <w:highlight w:val="none"/>
        </w:rPr>
      </w:pPr>
      <w:bookmarkStart w:id="1411" w:name="_Toc28363_WPSOffice_Level2"/>
      <w:bookmarkStart w:id="1412" w:name="_Toc20805_WPSOffice_Level2"/>
      <w:r>
        <w:rPr>
          <w:rFonts w:hint="eastAsia" w:ascii="宋体" w:hAnsi="宋体"/>
          <w:color w:val="auto"/>
          <w:kern w:val="0"/>
          <w:sz w:val="48"/>
          <w:szCs w:val="48"/>
          <w:highlight w:val="none"/>
        </w:rPr>
        <w:t>*</w:t>
      </w:r>
      <w:r>
        <w:rPr>
          <w:rFonts w:ascii="宋体" w:hAnsi="宋体"/>
          <w:color w:val="auto"/>
          <w:kern w:val="0"/>
          <w:sz w:val="48"/>
          <w:szCs w:val="48"/>
          <w:highlight w:val="none"/>
        </w:rPr>
        <w:t>*</w:t>
      </w:r>
      <w:r>
        <w:rPr>
          <w:rFonts w:hint="eastAsia" w:ascii="宋体" w:hAnsi="宋体"/>
          <w:color w:val="auto"/>
          <w:kern w:val="0"/>
          <w:sz w:val="48"/>
          <w:szCs w:val="48"/>
          <w:highlight w:val="none"/>
        </w:rPr>
        <w:t>项目比选申请文件</w:t>
      </w:r>
      <w:bookmarkEnd w:id="1411"/>
      <w:bookmarkEnd w:id="1412"/>
    </w:p>
    <w:p>
      <w:pPr>
        <w:keepNext w:val="0"/>
        <w:keepLines w:val="0"/>
        <w:pageBreakBefore w:val="0"/>
        <w:widowControl/>
        <w:kinsoku/>
        <w:wordWrap/>
        <w:overflowPunct/>
        <w:topLinePunct w:val="0"/>
        <w:bidi w:val="0"/>
        <w:snapToGrid/>
        <w:spacing w:before="0" w:after="0" w:afterAutospacing="0" w:line="240" w:lineRule="auto"/>
        <w:ind w:left="0" w:right="0" w:firstLine="0"/>
        <w:jc w:val="center"/>
        <w:textAlignment w:val="auto"/>
        <w:outlineLvl w:val="1"/>
        <w:rPr>
          <w:rFonts w:ascii="宋体" w:hAnsi="宋体"/>
          <w:b/>
          <w:color w:val="auto"/>
          <w:sz w:val="48"/>
          <w:szCs w:val="48"/>
          <w:highlight w:val="none"/>
        </w:rPr>
      </w:pPr>
      <w:bookmarkStart w:id="1413" w:name="_Toc22230"/>
      <w:bookmarkStart w:id="1414" w:name="_Toc159931570"/>
      <w:bookmarkStart w:id="1415" w:name="_Toc28980"/>
      <w:bookmarkStart w:id="1416" w:name="_Toc19569"/>
      <w:bookmarkStart w:id="1417" w:name="_Toc31876"/>
      <w:bookmarkStart w:id="1418" w:name="_Toc4941"/>
      <w:r>
        <w:rPr>
          <w:rFonts w:hint="eastAsia" w:ascii="宋体" w:hAnsi="宋体"/>
          <w:b/>
          <w:color w:val="auto"/>
          <w:sz w:val="48"/>
          <w:szCs w:val="48"/>
          <w:highlight w:val="none"/>
        </w:rPr>
        <w:t>资格审查文件</w:t>
      </w:r>
      <w:bookmarkEnd w:id="1413"/>
      <w:bookmarkEnd w:id="1414"/>
      <w:bookmarkEnd w:id="1415"/>
      <w:bookmarkEnd w:id="1416"/>
      <w:bookmarkEnd w:id="1417"/>
      <w:bookmarkEnd w:id="1418"/>
    </w:p>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right="0" w:firstLine="0"/>
        <w:jc w:val="center"/>
        <w:textAlignment w:val="auto"/>
        <w:rPr>
          <w:rFonts w:ascii="楷体_GB2312" w:eastAsia="楷体_GB2312"/>
          <w:color w:val="auto"/>
          <w:kern w:val="0"/>
          <w:sz w:val="24"/>
          <w:highlight w:val="none"/>
        </w:rPr>
      </w:pPr>
      <w:r>
        <w:rPr>
          <w:rFonts w:hint="eastAsia" w:ascii="楷体_GB2312" w:eastAsia="楷体_GB2312"/>
          <w:color w:val="auto"/>
          <w:kern w:val="0"/>
          <w:sz w:val="36"/>
          <w:szCs w:val="36"/>
          <w:highlight w:val="none"/>
        </w:rPr>
        <w:t>（＊本）</w:t>
      </w:r>
    </w:p>
    <w:p>
      <w:pPr>
        <w:autoSpaceDE w:val="0"/>
        <w:autoSpaceDN w:val="0"/>
        <w:adjustRightInd w:val="0"/>
        <w:ind w:left="0" w:leftChars="0" w:firstLine="0" w:firstLineChars="0"/>
        <w:jc w:val="left"/>
        <w:rPr>
          <w:rFonts w:ascii="楷体_GB2312" w:eastAsia="楷体_GB2312"/>
          <w:color w:val="auto"/>
          <w:kern w:val="0"/>
          <w:sz w:val="24"/>
          <w:highlight w:val="none"/>
        </w:rPr>
      </w:pPr>
    </w:p>
    <w:p>
      <w:pPr>
        <w:autoSpaceDE w:val="0"/>
        <w:autoSpaceDN w:val="0"/>
        <w:adjustRightInd w:val="0"/>
        <w:rPr>
          <w:rFonts w:ascii="楷体_GB2312" w:eastAsia="楷体_GB2312"/>
          <w:color w:val="auto"/>
          <w:kern w:val="0"/>
          <w:sz w:val="24"/>
          <w:highlight w:val="none"/>
        </w:rPr>
      </w:pPr>
    </w:p>
    <w:p>
      <w:pPr>
        <w:keepNext w:val="0"/>
        <w:keepLines w:val="0"/>
        <w:pageBreakBefore w:val="0"/>
        <w:widowControl/>
        <w:kinsoku/>
        <w:wordWrap/>
        <w:overflowPunct/>
        <w:topLinePunct w:val="0"/>
        <w:autoSpaceDE w:val="0"/>
        <w:autoSpaceDN w:val="0"/>
        <w:bidi w:val="0"/>
        <w:adjustRightInd w:val="0"/>
        <w:snapToGrid/>
        <w:spacing w:before="0" w:after="0" w:afterAutospacing="0" w:line="480" w:lineRule="auto"/>
        <w:ind w:left="0" w:right="0" w:firstLine="0"/>
        <w:textAlignment w:val="auto"/>
        <w:rPr>
          <w:rFonts w:ascii="宋体" w:hAnsi="宋体"/>
          <w:color w:val="auto"/>
          <w:kern w:val="0"/>
          <w:sz w:val="28"/>
          <w:szCs w:val="28"/>
          <w:highlight w:val="none"/>
        </w:rPr>
      </w:pPr>
      <w:bookmarkStart w:id="1419" w:name="_Toc114052391"/>
      <w:r>
        <w:rPr>
          <w:rFonts w:hint="eastAsia" w:ascii="宋体" w:hAnsi="宋体"/>
          <w:color w:val="auto"/>
          <w:kern w:val="0"/>
          <w:sz w:val="28"/>
          <w:szCs w:val="28"/>
          <w:highlight w:val="none"/>
        </w:rPr>
        <w:t>比选申请人：（ 加盖单位公章）</w:t>
      </w:r>
      <w:bookmarkEnd w:id="1419"/>
    </w:p>
    <w:p>
      <w:pPr>
        <w:keepNext w:val="0"/>
        <w:keepLines w:val="0"/>
        <w:pageBreakBefore w:val="0"/>
        <w:widowControl/>
        <w:kinsoku/>
        <w:wordWrap/>
        <w:overflowPunct/>
        <w:topLinePunct w:val="0"/>
        <w:autoSpaceDE w:val="0"/>
        <w:autoSpaceDN w:val="0"/>
        <w:bidi w:val="0"/>
        <w:adjustRightInd w:val="0"/>
        <w:snapToGrid/>
        <w:spacing w:before="0" w:after="0" w:afterAutospacing="0" w:line="480" w:lineRule="auto"/>
        <w:ind w:left="0" w:right="0" w:firstLine="0"/>
        <w:textAlignment w:val="auto"/>
        <w:rPr>
          <w:rFonts w:ascii="宋体" w:hAnsi="宋体"/>
          <w:color w:val="auto"/>
          <w:kern w:val="0"/>
          <w:sz w:val="28"/>
          <w:szCs w:val="28"/>
          <w:highlight w:val="none"/>
        </w:rPr>
      </w:pPr>
      <w:bookmarkStart w:id="1420" w:name="_Toc114052392"/>
      <w:r>
        <w:rPr>
          <w:rFonts w:hint="eastAsia" w:ascii="宋体" w:hAnsi="宋体"/>
          <w:color w:val="auto"/>
          <w:kern w:val="0"/>
          <w:sz w:val="28"/>
          <w:szCs w:val="28"/>
          <w:highlight w:val="none"/>
        </w:rPr>
        <w:t>法定代表人或授权委托代理人：（签字或盖章）</w:t>
      </w:r>
      <w:bookmarkEnd w:id="1420"/>
    </w:p>
    <w:p>
      <w:pPr>
        <w:keepNext w:val="0"/>
        <w:keepLines w:val="0"/>
        <w:pageBreakBefore w:val="0"/>
        <w:widowControl/>
        <w:kinsoku/>
        <w:wordWrap/>
        <w:overflowPunct/>
        <w:topLinePunct w:val="0"/>
        <w:autoSpaceDE w:val="0"/>
        <w:autoSpaceDN w:val="0"/>
        <w:bidi w:val="0"/>
        <w:adjustRightInd w:val="0"/>
        <w:snapToGrid/>
        <w:spacing w:before="0" w:after="0" w:afterAutospacing="0" w:line="480" w:lineRule="auto"/>
        <w:ind w:left="0" w:right="0" w:firstLine="0"/>
        <w:textAlignment w:val="auto"/>
        <w:rPr>
          <w:rFonts w:ascii="宋体" w:hAnsi="宋体"/>
          <w:color w:val="auto"/>
          <w:kern w:val="0"/>
          <w:sz w:val="28"/>
          <w:szCs w:val="28"/>
          <w:highlight w:val="none"/>
        </w:rPr>
      </w:pPr>
      <w:r>
        <w:rPr>
          <w:rFonts w:hint="eastAsia" w:ascii="宋体" w:hAnsi="宋体"/>
          <w:color w:val="auto"/>
          <w:kern w:val="0"/>
          <w:sz w:val="28"/>
          <w:szCs w:val="28"/>
          <w:highlight w:val="none"/>
        </w:rPr>
        <w:t>电话/传真：</w:t>
      </w:r>
    </w:p>
    <w:p>
      <w:pPr>
        <w:keepNext w:val="0"/>
        <w:keepLines w:val="0"/>
        <w:pageBreakBefore w:val="0"/>
        <w:widowControl/>
        <w:kinsoku/>
        <w:wordWrap/>
        <w:overflowPunct/>
        <w:topLinePunct w:val="0"/>
        <w:autoSpaceDE w:val="0"/>
        <w:autoSpaceDN w:val="0"/>
        <w:bidi w:val="0"/>
        <w:adjustRightInd w:val="0"/>
        <w:snapToGrid/>
        <w:spacing w:before="0" w:after="0" w:afterAutospacing="0" w:line="480" w:lineRule="auto"/>
        <w:ind w:left="0" w:right="0" w:firstLine="0"/>
        <w:textAlignment w:val="auto"/>
        <w:rPr>
          <w:rFonts w:ascii="宋体" w:hAnsi="宋体"/>
          <w:color w:val="auto"/>
          <w:kern w:val="0"/>
          <w:sz w:val="28"/>
          <w:szCs w:val="28"/>
          <w:highlight w:val="none"/>
        </w:rPr>
      </w:pPr>
      <w:r>
        <w:rPr>
          <w:rFonts w:hint="eastAsia" w:ascii="宋体" w:hAnsi="宋体"/>
          <w:color w:val="auto"/>
          <w:kern w:val="0"/>
          <w:sz w:val="28"/>
          <w:szCs w:val="28"/>
          <w:highlight w:val="none"/>
        </w:rPr>
        <w:t>地址：</w:t>
      </w:r>
    </w:p>
    <w:p>
      <w:pPr>
        <w:autoSpaceDE w:val="0"/>
        <w:autoSpaceDN w:val="0"/>
        <w:adjustRightInd w:val="0"/>
        <w:rPr>
          <w:rFonts w:ascii="宋体" w:hAnsi="宋体"/>
          <w:color w:val="auto"/>
          <w:kern w:val="0"/>
          <w:sz w:val="28"/>
          <w:szCs w:val="28"/>
          <w:highlight w:val="none"/>
        </w:rPr>
      </w:pPr>
    </w:p>
    <w:p>
      <w:pPr>
        <w:autoSpaceDE w:val="0"/>
        <w:autoSpaceDN w:val="0"/>
        <w:adjustRightInd w:val="0"/>
        <w:rPr>
          <w:rFonts w:ascii="宋体" w:hAnsi="宋体"/>
          <w:color w:val="auto"/>
          <w:kern w:val="0"/>
          <w:sz w:val="28"/>
          <w:szCs w:val="28"/>
          <w:highlight w:val="none"/>
        </w:rPr>
      </w:pPr>
    </w:p>
    <w:p>
      <w:pPr>
        <w:autoSpaceDE w:val="0"/>
        <w:autoSpaceDN w:val="0"/>
        <w:adjustRightInd w:val="0"/>
        <w:jc w:val="center"/>
        <w:rPr>
          <w:rFonts w:ascii="楷体_GB2312" w:eastAsia="楷体_GB2312"/>
          <w:color w:val="auto"/>
          <w:kern w:val="0"/>
          <w:sz w:val="32"/>
          <w:highlight w:val="none"/>
        </w:rPr>
      </w:pPr>
      <w:r>
        <w:rPr>
          <w:rFonts w:hint="eastAsia" w:ascii="宋体" w:hAnsi="宋体"/>
          <w:color w:val="auto"/>
          <w:kern w:val="0"/>
          <w:sz w:val="28"/>
          <w:szCs w:val="28"/>
          <w:highlight w:val="none"/>
        </w:rPr>
        <w:t xml:space="preserve">年 </w:t>
      </w:r>
      <w:r>
        <w:rPr>
          <w:rFonts w:ascii="宋体" w:hAnsi="宋体"/>
          <w:color w:val="auto"/>
          <w:kern w:val="0"/>
          <w:sz w:val="28"/>
          <w:szCs w:val="28"/>
          <w:highlight w:val="none"/>
        </w:rPr>
        <w:t xml:space="preserve"> </w:t>
      </w:r>
      <w:r>
        <w:rPr>
          <w:rFonts w:hint="eastAsia" w:ascii="宋体" w:hAnsi="宋体"/>
          <w:color w:val="auto"/>
          <w:kern w:val="0"/>
          <w:sz w:val="28"/>
          <w:szCs w:val="28"/>
          <w:highlight w:val="none"/>
        </w:rPr>
        <w:t xml:space="preserve">月 </w:t>
      </w:r>
      <w:r>
        <w:rPr>
          <w:rFonts w:ascii="宋体" w:hAnsi="宋体"/>
          <w:color w:val="auto"/>
          <w:kern w:val="0"/>
          <w:sz w:val="28"/>
          <w:szCs w:val="28"/>
          <w:highlight w:val="none"/>
        </w:rPr>
        <w:t xml:space="preserve"> </w:t>
      </w:r>
      <w:r>
        <w:rPr>
          <w:rFonts w:hint="eastAsia" w:ascii="宋体" w:hAnsi="宋体"/>
          <w:color w:val="auto"/>
          <w:kern w:val="0"/>
          <w:sz w:val="28"/>
          <w:szCs w:val="28"/>
          <w:highlight w:val="none"/>
        </w:rPr>
        <w:t>日</w:t>
      </w:r>
    </w:p>
    <w:p>
      <w:pPr>
        <w:spacing w:line="360" w:lineRule="auto"/>
        <w:ind w:firstLine="708" w:firstLineChars="196"/>
        <w:jc w:val="center"/>
        <w:rPr>
          <w:b/>
          <w:color w:val="auto"/>
          <w:sz w:val="36"/>
          <w:szCs w:val="36"/>
          <w:highlight w:val="none"/>
        </w:rPr>
      </w:pPr>
    </w:p>
    <w:p>
      <w:pPr>
        <w:spacing w:line="360" w:lineRule="auto"/>
        <w:ind w:firstLine="708" w:firstLineChars="196"/>
        <w:jc w:val="center"/>
        <w:rPr>
          <w:b/>
          <w:color w:val="auto"/>
          <w:sz w:val="36"/>
          <w:szCs w:val="36"/>
          <w:highlight w:val="none"/>
        </w:rPr>
      </w:pPr>
    </w:p>
    <w:bookmarkEnd w:id="1381"/>
    <w:bookmarkEnd w:id="1382"/>
    <w:bookmarkEnd w:id="1383"/>
    <w:bookmarkEnd w:id="1384"/>
    <w:bookmarkEnd w:id="1385"/>
    <w:bookmarkEnd w:id="1386"/>
    <w:bookmarkEnd w:id="1387"/>
    <w:p>
      <w:pPr>
        <w:tabs>
          <w:tab w:val="left" w:pos="1134"/>
        </w:tabs>
        <w:spacing w:before="0" w:after="0" w:afterAutospacing="0"/>
        <w:ind w:left="0" w:leftChars="0" w:right="0" w:firstLine="0" w:firstLineChars="0"/>
        <w:jc w:val="center"/>
        <w:rPr>
          <w:rFonts w:hint="eastAsia" w:ascii="宋体" w:hAnsi="宋体" w:cs="宋体"/>
          <w:b/>
          <w:bCs w:val="0"/>
          <w:color w:val="auto"/>
          <w:sz w:val="28"/>
          <w:szCs w:val="28"/>
          <w:highlight w:val="none"/>
          <w:lang w:val="en-US" w:eastAsia="zh-CN"/>
        </w:rPr>
      </w:pPr>
      <w:r>
        <w:rPr>
          <w:rFonts w:hint="eastAsia" w:ascii="宋体" w:hAnsi="宋体" w:cs="宋体"/>
          <w:b/>
          <w:bCs w:val="0"/>
          <w:color w:val="auto"/>
          <w:sz w:val="28"/>
          <w:szCs w:val="28"/>
          <w:highlight w:val="none"/>
          <w:lang w:val="en-US" w:eastAsia="zh-CN"/>
        </w:rPr>
        <w:t>目  录</w:t>
      </w:r>
    </w:p>
    <w:p>
      <w:pPr>
        <w:pStyle w:val="2"/>
        <w:rPr>
          <w:rFonts w:hint="eastAsia"/>
          <w:color w:val="auto"/>
          <w:highlight w:val="none"/>
          <w:lang w:val="en-US" w:eastAsia="zh-CN"/>
        </w:rPr>
      </w:pPr>
    </w:p>
    <w:p>
      <w:pPr>
        <w:tabs>
          <w:tab w:val="left" w:pos="1134"/>
        </w:tabs>
        <w:spacing w:before="0" w:after="0" w:afterAutospacing="0"/>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（1）法定代表人授权书及法定代表人资格证明书（如无授权时，只需提供法定代表人资格证明书，），法定代表人及被授权人身份证复印件；</w:t>
      </w:r>
    </w:p>
    <w:p>
      <w:pPr>
        <w:tabs>
          <w:tab w:val="left" w:pos="1134"/>
        </w:tabs>
        <w:spacing w:before="0" w:after="0" w:afterAutospacing="0"/>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（2）比选申请人有效的营业执照副本复印件；</w:t>
      </w:r>
    </w:p>
    <w:p>
      <w:pPr>
        <w:spacing w:before="0" w:after="0" w:afterAutospacing="0"/>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（3）承诺书；</w:t>
      </w:r>
    </w:p>
    <w:p>
      <w:pPr>
        <w:shd w:val="clear" w:color="auto" w:fill="auto"/>
        <w:spacing w:before="0" w:after="0" w:afterAutospacing="0"/>
        <w:ind w:left="0" w:right="0"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类似项目业绩表</w:t>
      </w:r>
      <w:r>
        <w:rPr>
          <w:rFonts w:hint="eastAsia" w:ascii="宋体" w:hAnsi="宋体" w:cs="宋体"/>
          <w:color w:val="auto"/>
          <w:sz w:val="24"/>
          <w:szCs w:val="24"/>
          <w:highlight w:val="none"/>
          <w:lang w:eastAsia="zh-CN"/>
        </w:rPr>
        <w:t>；</w:t>
      </w:r>
    </w:p>
    <w:p>
      <w:pPr>
        <w:spacing w:before="0" w:after="0" w:afterAutospacing="0"/>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）比选申请人认为应提交的其他比选申请资料（如有）。</w:t>
      </w:r>
    </w:p>
    <w:p>
      <w:pPr>
        <w:spacing w:before="0" w:after="0" w:afterAutospacing="0"/>
        <w:ind w:left="0" w:right="0" w:firstLine="480" w:firstLineChars="200"/>
        <w:rPr>
          <w:rFonts w:hint="eastAsia" w:ascii="宋体" w:hAnsi="宋体" w:eastAsia="宋体" w:cs="宋体"/>
          <w:color w:val="auto"/>
          <w:sz w:val="24"/>
          <w:szCs w:val="24"/>
          <w:highlight w:val="none"/>
        </w:rPr>
      </w:pPr>
    </w:p>
    <w:p>
      <w:pPr>
        <w:spacing w:before="0" w:after="0" w:afterAutospacing="0"/>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Fonts w:hint="eastAsia" w:ascii="宋体" w:hAnsi="宋体"/>
          <w:color w:val="auto"/>
          <w:kern w:val="0"/>
          <w:sz w:val="24"/>
          <w:highlight w:val="none"/>
        </w:rPr>
        <w:t>以上提供的复印件必须加盖比选申请人公章，并按照目录顺序编排，标注页码</w:t>
      </w:r>
      <w:r>
        <w:rPr>
          <w:rFonts w:hint="eastAsia"/>
          <w:color w:val="auto"/>
          <w:highlight w:val="none"/>
        </w:rPr>
        <w:t>。</w:t>
      </w:r>
    </w:p>
    <w:p>
      <w:pPr>
        <w:spacing w:before="0" w:after="0" w:afterAutospacing="0"/>
        <w:ind w:left="0" w:right="0" w:firstLine="480" w:firstLineChars="200"/>
        <w:rPr>
          <w:rFonts w:hint="eastAsia" w:ascii="宋体" w:hAnsi="宋体" w:eastAsia="宋体" w:cs="宋体"/>
          <w:color w:val="auto"/>
          <w:sz w:val="24"/>
          <w:szCs w:val="24"/>
          <w:highlight w:val="none"/>
        </w:rPr>
        <w:sectPr>
          <w:footerReference r:id="rId8" w:type="default"/>
          <w:pgSz w:w="11905" w:h="16838"/>
          <w:pgMar w:top="1417" w:right="1417" w:bottom="1417" w:left="1417" w:header="454" w:footer="567" w:gutter="0"/>
          <w:pgNumType w:fmt="decimal" w:start="1"/>
          <w:cols w:space="720" w:num="1"/>
          <w:docGrid w:linePitch="312" w:charSpace="0"/>
        </w:sectPr>
      </w:pPr>
    </w:p>
    <w:p>
      <w:pPr>
        <w:numPr>
          <w:ilvl w:val="0"/>
          <w:numId w:val="0"/>
        </w:numPr>
        <w:snapToGrid w:val="0"/>
        <w:spacing w:before="0" w:line="240" w:lineRule="auto"/>
        <w:ind w:left="567" w:leftChars="0" w:right="0" w:rightChars="0"/>
        <w:jc w:val="left"/>
        <w:outlineLvl w:val="0"/>
        <w:rPr>
          <w:rFonts w:ascii="宋体" w:hAnsi="宋体"/>
          <w:b/>
          <w:color w:val="auto"/>
          <w:highlight w:val="none"/>
        </w:rPr>
      </w:pPr>
      <w:bookmarkStart w:id="1421" w:name="_Toc375564351"/>
      <w:bookmarkStart w:id="1422" w:name="_Toc20029"/>
      <w:bookmarkStart w:id="1423" w:name="_Toc32455"/>
      <w:bookmarkStart w:id="1424" w:name="_Toc20671"/>
      <w:bookmarkStart w:id="1425" w:name="_Toc10789"/>
      <w:bookmarkStart w:id="1426" w:name="_Toc956"/>
      <w:bookmarkStart w:id="1427" w:name="_Toc3658"/>
      <w:bookmarkStart w:id="1428" w:name="_Toc9658"/>
      <w:bookmarkStart w:id="1429" w:name="_Toc16089"/>
      <w:bookmarkStart w:id="1430" w:name="_Toc24436"/>
      <w:bookmarkStart w:id="1431" w:name="_Toc25750675"/>
      <w:bookmarkStart w:id="1432" w:name="_Toc3499"/>
      <w:bookmarkStart w:id="1433" w:name="_Toc15696"/>
      <w:bookmarkStart w:id="1434" w:name="_Toc7201"/>
      <w:bookmarkStart w:id="1435" w:name="_Toc10433"/>
      <w:bookmarkStart w:id="1436" w:name="_Toc414290522"/>
      <w:bookmarkStart w:id="1437" w:name="_Toc10238"/>
      <w:bookmarkStart w:id="1438" w:name="_Toc4125"/>
      <w:bookmarkStart w:id="1439" w:name="_Toc492478804"/>
      <w:bookmarkStart w:id="1440" w:name="_Toc7057"/>
      <w:bookmarkStart w:id="1441" w:name="_Toc13389"/>
      <w:bookmarkStart w:id="1442" w:name="_Toc12984807"/>
      <w:bookmarkStart w:id="1443" w:name="_Toc8868"/>
      <w:bookmarkStart w:id="1444" w:name="_Toc22533"/>
      <w:bookmarkStart w:id="1445" w:name="_Toc20283"/>
      <w:r>
        <w:rPr>
          <w:rFonts w:hint="eastAsia" w:ascii="宋体" w:hAnsi="宋体"/>
          <w:b/>
          <w:color w:val="auto"/>
          <w:highlight w:val="none"/>
          <w:lang w:val="en-US" w:eastAsia="zh-CN"/>
        </w:rPr>
        <w:t>1.</w:t>
      </w:r>
      <w:r>
        <w:rPr>
          <w:rFonts w:hint="eastAsia" w:ascii="宋体" w:hAnsi="宋体"/>
          <w:b/>
          <w:color w:val="auto"/>
          <w:highlight w:val="none"/>
        </w:rPr>
        <w:t xml:space="preserve"> </w:t>
      </w:r>
      <w:bookmarkStart w:id="1446" w:name="_Toc25836"/>
      <w:bookmarkStart w:id="1447" w:name="_Toc20721"/>
      <w:bookmarkStart w:id="1448" w:name="_Toc19028"/>
      <w:bookmarkStart w:id="1449" w:name="_Toc14173"/>
      <w:bookmarkStart w:id="1450" w:name="_Toc12101"/>
      <w:r>
        <w:rPr>
          <w:rFonts w:ascii="宋体" w:hAnsi="宋体"/>
          <w:b/>
          <w:color w:val="auto"/>
          <w:highlight w:val="none"/>
        </w:rPr>
        <w:t>法定代表人授权书格式</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keepNext w:val="0"/>
        <w:keepLines w:val="0"/>
        <w:pageBreakBefore w:val="0"/>
        <w:widowControl/>
        <w:tabs>
          <w:tab w:val="left" w:pos="8364"/>
        </w:tabs>
        <w:kinsoku/>
        <w:wordWrap/>
        <w:overflowPunct/>
        <w:topLinePunct w:val="0"/>
        <w:autoSpaceDE/>
        <w:autoSpaceDN/>
        <w:bidi w:val="0"/>
        <w:adjustRightInd/>
        <w:snapToGrid w:val="0"/>
        <w:spacing w:before="0" w:after="0" w:afterAutospacing="0"/>
        <w:ind w:left="0" w:right="0" w:firstLine="420" w:firstLineChars="200"/>
        <w:textAlignment w:val="auto"/>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hint="eastAsia" w:ascii="宋体" w:hAnsi="宋体"/>
          <w:color w:val="auto"/>
          <w:highlight w:val="none"/>
        </w:rPr>
        <w:t>202</w:t>
      </w:r>
      <w:r>
        <w:rPr>
          <w:rFonts w:hint="eastAsia" w:ascii="宋体" w:hAnsi="宋体"/>
          <w:color w:val="auto"/>
          <w:highlight w:val="none"/>
          <w:lang w:val="en-US" w:eastAsia="zh-CN"/>
        </w:rPr>
        <w:t>40130</w:t>
      </w:r>
      <w:r>
        <w:rPr>
          <w:rFonts w:hint="eastAsia" w:ascii="宋体" w:hAnsi="宋体"/>
          <w:color w:val="auto"/>
          <w:highlight w:val="none"/>
        </w:rPr>
        <w:t>000</w:t>
      </w:r>
      <w:r>
        <w:rPr>
          <w:rFonts w:hint="eastAsia" w:ascii="宋体" w:hAnsi="宋体"/>
          <w:color w:val="auto"/>
          <w:highlight w:val="none"/>
          <w:lang w:val="en-US" w:eastAsia="zh-CN"/>
        </w:rPr>
        <w:t>1</w:t>
      </w:r>
      <w:r>
        <w:rPr>
          <w:rFonts w:ascii="宋体" w:hAnsi="宋体"/>
          <w:color w:val="auto"/>
          <w:highlight w:val="none"/>
        </w:rPr>
        <w:t>的</w:t>
      </w:r>
      <w:r>
        <w:rPr>
          <w:rFonts w:hint="eastAsia" w:ascii="宋体" w:hAnsi="宋体"/>
          <w:color w:val="auto"/>
          <w:highlight w:val="none"/>
          <w:lang w:eastAsia="zh-CN"/>
        </w:rPr>
        <w:t>运营公司档案委外整理及数字化加工服务采购项目（2024年—2026年）</w:t>
      </w:r>
      <w:r>
        <w:rPr>
          <w:rFonts w:ascii="宋体" w:hAnsi="宋体"/>
          <w:color w:val="auto"/>
          <w:highlight w:val="none"/>
        </w:rPr>
        <w:t>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XXXX   </w:t>
      </w:r>
      <w:r>
        <w:rPr>
          <w:rFonts w:ascii="宋体" w:hAnsi="宋体"/>
          <w:color w:val="auto"/>
          <w:highlight w:val="none"/>
        </w:rPr>
        <w:t>年</w:t>
      </w:r>
      <w:r>
        <w:rPr>
          <w:rFonts w:hint="eastAsia" w:ascii="宋体" w:hAnsi="宋体"/>
          <w:color w:val="auto"/>
          <w:highlight w:val="none"/>
          <w:u w:val="single"/>
        </w:rPr>
        <w:t xml:space="preserve"> XX  </w:t>
      </w:r>
      <w:r>
        <w:rPr>
          <w:rFonts w:ascii="宋体" w:hAnsi="宋体"/>
          <w:color w:val="auto"/>
          <w:highlight w:val="none"/>
        </w:rPr>
        <w:t>月</w:t>
      </w:r>
      <w:r>
        <w:rPr>
          <w:rFonts w:hint="eastAsia" w:ascii="宋体" w:hAnsi="宋体"/>
          <w:color w:val="auto"/>
          <w:highlight w:val="none"/>
          <w:u w:val="single"/>
        </w:rPr>
        <w:t xml:space="preserve"> XX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hint="eastAsia" w:ascii="宋体" w:hAnsi="宋体"/>
          <w:b/>
          <w:color w:val="auto"/>
          <w:highlight w:val="none"/>
        </w:rPr>
      </w:pPr>
      <w:r>
        <w:rPr>
          <w:rFonts w:hint="eastAsia" w:ascii="宋体" w:hAnsi="宋体"/>
          <w:b/>
          <w:color w:val="auto"/>
          <w:highlight w:val="none"/>
        </w:rPr>
        <w:t>附：授权代理人身份证复印件</w:t>
      </w:r>
    </w:p>
    <w:p>
      <w:pPr>
        <w:spacing w:before="0"/>
        <w:ind w:right="0" w:firstLine="0"/>
        <w:rPr>
          <w:rFonts w:hint="eastAsia" w:ascii="宋体" w:hAnsi="宋体"/>
          <w:b/>
          <w:color w:val="auto"/>
          <w:highlight w:val="none"/>
        </w:rPr>
      </w:pPr>
      <w:r>
        <w:rPr>
          <w:rFonts w:hint="eastAsia" w:ascii="宋体" w:hAnsi="宋体"/>
          <w:b/>
          <w:color w:val="auto"/>
          <w:highlight w:val="none"/>
        </w:rPr>
        <w:br w:type="page"/>
      </w:r>
    </w:p>
    <w:p>
      <w:pPr>
        <w:numPr>
          <w:ilvl w:val="0"/>
          <w:numId w:val="0"/>
        </w:numPr>
        <w:snapToGrid w:val="0"/>
        <w:spacing w:before="0" w:line="240" w:lineRule="auto"/>
        <w:ind w:right="0" w:rightChars="0"/>
        <w:jc w:val="left"/>
        <w:outlineLvl w:val="0"/>
        <w:rPr>
          <w:rFonts w:ascii="宋体" w:hAnsi="宋体"/>
          <w:b/>
          <w:color w:val="auto"/>
          <w:highlight w:val="none"/>
        </w:rPr>
      </w:pPr>
      <w:bookmarkStart w:id="1451" w:name="_Toc7753"/>
      <w:bookmarkStart w:id="1452" w:name="_Toc13634"/>
      <w:bookmarkStart w:id="1453" w:name="_Toc27722"/>
      <w:bookmarkStart w:id="1454" w:name="_Toc9583"/>
      <w:bookmarkStart w:id="1455" w:name="_Toc15572"/>
      <w:bookmarkStart w:id="1456" w:name="_Toc19744"/>
      <w:bookmarkStart w:id="1457" w:name="_Toc15980"/>
      <w:bookmarkStart w:id="1458" w:name="_Toc20436"/>
      <w:bookmarkStart w:id="1459" w:name="_Toc25750676"/>
      <w:bookmarkStart w:id="1460" w:name="_Toc31808"/>
      <w:bookmarkStart w:id="1461" w:name="_Toc13798"/>
      <w:bookmarkStart w:id="1462" w:name="_Toc9757"/>
      <w:bookmarkStart w:id="1463" w:name="_Toc24322"/>
      <w:bookmarkStart w:id="1464" w:name="_Toc492478805"/>
      <w:bookmarkStart w:id="1465" w:name="_Toc26713"/>
      <w:bookmarkStart w:id="1466" w:name="_Toc6700"/>
      <w:bookmarkStart w:id="1467" w:name="_Toc375564352"/>
      <w:bookmarkStart w:id="1468" w:name="_Toc12984808"/>
      <w:bookmarkStart w:id="1469" w:name="_Toc414290523"/>
      <w:bookmarkStart w:id="1470" w:name="_Toc13606"/>
      <w:bookmarkStart w:id="1471" w:name="_Toc17964"/>
      <w:bookmarkStart w:id="1472" w:name="_Toc27657"/>
      <w:bookmarkStart w:id="1473" w:name="_Toc8654"/>
      <w:bookmarkStart w:id="1474" w:name="_Toc7273"/>
      <w:r>
        <w:rPr>
          <w:rFonts w:hint="eastAsia" w:ascii="宋体" w:hAnsi="宋体"/>
          <w:b/>
          <w:color w:val="auto"/>
          <w:highlight w:val="none"/>
        </w:rPr>
        <w:t xml:space="preserve"> </w:t>
      </w:r>
      <w:bookmarkStart w:id="1475" w:name="_Toc21599"/>
      <w:bookmarkStart w:id="1476" w:name="_Toc7493"/>
      <w:bookmarkStart w:id="1477" w:name="_Toc11230"/>
      <w:bookmarkStart w:id="1478" w:name="_Toc15655"/>
      <w:bookmarkStart w:id="1479" w:name="_Toc995"/>
      <w:bookmarkStart w:id="1480" w:name="_Toc14222"/>
      <w:r>
        <w:rPr>
          <w:rFonts w:hint="eastAsia" w:ascii="宋体" w:hAnsi="宋体"/>
          <w:b/>
          <w:color w:val="auto"/>
          <w:highlight w:val="none"/>
          <w:lang w:val="en-US" w:eastAsia="zh-CN"/>
        </w:rPr>
        <w:t>2.</w:t>
      </w:r>
      <w:r>
        <w:rPr>
          <w:rFonts w:ascii="宋体" w:hAnsi="宋体"/>
          <w:b/>
          <w:color w:val="auto"/>
          <w:highlight w:val="none"/>
        </w:rPr>
        <w:t>法定代表人资格证明书格式</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keepNext w:val="0"/>
        <w:keepLines w:val="0"/>
        <w:pageBreakBefore w:val="0"/>
        <w:widowControl/>
        <w:kinsoku/>
        <w:wordWrap/>
        <w:overflowPunct/>
        <w:topLinePunct w:val="0"/>
        <w:autoSpaceDE/>
        <w:autoSpaceDN/>
        <w:bidi w:val="0"/>
        <w:adjustRightInd/>
        <w:snapToGrid/>
        <w:spacing w:before="0" w:after="0" w:afterAutospacing="0" w:line="720" w:lineRule="auto"/>
        <w:ind w:left="0" w:right="0" w:firstLine="0"/>
        <w:textAlignment w:val="auto"/>
        <w:rPr>
          <w:rFonts w:ascii="宋体" w:hAnsi="宋体"/>
          <w:color w:val="auto"/>
          <w:sz w:val="24"/>
          <w:szCs w:val="24"/>
          <w:highlight w:val="none"/>
          <w:u w:val="single"/>
        </w:rPr>
      </w:pPr>
      <w:r>
        <w:rPr>
          <w:rFonts w:ascii="宋体" w:hAnsi="宋体"/>
          <w:color w:val="auto"/>
          <w:sz w:val="24"/>
          <w:szCs w:val="24"/>
          <w:highlight w:val="none"/>
        </w:rPr>
        <w:t>单位名称：</w:t>
      </w:r>
    </w:p>
    <w:p>
      <w:pPr>
        <w:keepNext w:val="0"/>
        <w:keepLines w:val="0"/>
        <w:pageBreakBefore w:val="0"/>
        <w:widowControl/>
        <w:kinsoku/>
        <w:wordWrap/>
        <w:overflowPunct/>
        <w:topLinePunct w:val="0"/>
        <w:autoSpaceDE/>
        <w:autoSpaceDN/>
        <w:bidi w:val="0"/>
        <w:adjustRightInd/>
        <w:snapToGrid/>
        <w:spacing w:before="0" w:after="0" w:afterAutospacing="0" w:line="720" w:lineRule="auto"/>
        <w:ind w:left="0" w:right="0" w:firstLine="0"/>
        <w:textAlignment w:val="auto"/>
        <w:rPr>
          <w:rFonts w:ascii="宋体" w:hAnsi="宋体"/>
          <w:color w:val="auto"/>
          <w:sz w:val="24"/>
          <w:szCs w:val="24"/>
          <w:highlight w:val="none"/>
          <w:u w:val="single"/>
        </w:rPr>
      </w:pPr>
      <w:r>
        <w:rPr>
          <w:rFonts w:ascii="宋体" w:hAnsi="宋体"/>
          <w:color w:val="auto"/>
          <w:sz w:val="24"/>
          <w:szCs w:val="24"/>
          <w:highlight w:val="none"/>
        </w:rPr>
        <w:t>地址：</w:t>
      </w:r>
    </w:p>
    <w:p>
      <w:pPr>
        <w:keepNext w:val="0"/>
        <w:keepLines w:val="0"/>
        <w:pageBreakBefore w:val="0"/>
        <w:widowControl/>
        <w:kinsoku/>
        <w:wordWrap/>
        <w:overflowPunct/>
        <w:topLinePunct w:val="0"/>
        <w:autoSpaceDE/>
        <w:autoSpaceDN/>
        <w:bidi w:val="0"/>
        <w:adjustRightInd/>
        <w:snapToGrid/>
        <w:spacing w:before="0" w:after="0" w:afterAutospacing="0" w:line="720" w:lineRule="auto"/>
        <w:ind w:left="0" w:right="0" w:firstLine="0"/>
        <w:textAlignment w:val="auto"/>
        <w:rPr>
          <w:rFonts w:ascii="宋体" w:hAnsi="宋体"/>
          <w:color w:val="auto"/>
          <w:sz w:val="24"/>
          <w:szCs w:val="24"/>
          <w:highlight w:val="none"/>
          <w:u w:val="single"/>
        </w:rPr>
      </w:pPr>
      <w:r>
        <w:rPr>
          <w:rFonts w:ascii="宋体" w:hAnsi="宋体"/>
          <w:color w:val="auto"/>
          <w:sz w:val="24"/>
          <w:szCs w:val="24"/>
          <w:highlight w:val="none"/>
        </w:rPr>
        <w:t>姓名：</w:t>
      </w:r>
      <w:r>
        <w:rPr>
          <w:rFonts w:hint="eastAsia" w:ascii="宋体" w:hAnsi="宋体"/>
          <w:color w:val="auto"/>
          <w:sz w:val="24"/>
          <w:szCs w:val="24"/>
          <w:highlight w:val="none"/>
          <w:lang w:val="en-US" w:eastAsia="zh-CN"/>
        </w:rPr>
        <w:t xml:space="preserve">  </w:t>
      </w:r>
      <w:r>
        <w:rPr>
          <w:rFonts w:ascii="宋体" w:hAnsi="宋体"/>
          <w:color w:val="auto"/>
          <w:sz w:val="24"/>
          <w:szCs w:val="24"/>
          <w:highlight w:val="none"/>
        </w:rPr>
        <w:t>性别：</w:t>
      </w:r>
      <w:r>
        <w:rPr>
          <w:rFonts w:hint="eastAsia" w:ascii="宋体" w:hAnsi="宋体"/>
          <w:color w:val="auto"/>
          <w:sz w:val="24"/>
          <w:szCs w:val="24"/>
          <w:highlight w:val="none"/>
          <w:lang w:val="en-US" w:eastAsia="zh-CN"/>
        </w:rPr>
        <w:t xml:space="preserve">   </w:t>
      </w:r>
      <w:r>
        <w:rPr>
          <w:rFonts w:ascii="宋体" w:hAnsi="宋体"/>
          <w:color w:val="auto"/>
          <w:sz w:val="24"/>
          <w:szCs w:val="24"/>
          <w:highlight w:val="none"/>
        </w:rPr>
        <w:t>年龄：</w:t>
      </w:r>
      <w:r>
        <w:rPr>
          <w:rFonts w:hint="eastAsia" w:ascii="宋体" w:hAnsi="宋体"/>
          <w:color w:val="auto"/>
          <w:sz w:val="24"/>
          <w:szCs w:val="24"/>
          <w:highlight w:val="none"/>
          <w:lang w:val="en-US" w:eastAsia="zh-CN"/>
        </w:rPr>
        <w:t xml:space="preserve">   </w:t>
      </w:r>
      <w:r>
        <w:rPr>
          <w:rFonts w:ascii="宋体" w:hAnsi="宋体"/>
          <w:color w:val="auto"/>
          <w:sz w:val="24"/>
          <w:szCs w:val="24"/>
          <w:highlight w:val="none"/>
        </w:rPr>
        <w:t>职务：</w:t>
      </w:r>
    </w:p>
    <w:p>
      <w:pPr>
        <w:keepNext w:val="0"/>
        <w:keepLines w:val="0"/>
        <w:pageBreakBefore w:val="0"/>
        <w:widowControl/>
        <w:kinsoku/>
        <w:wordWrap/>
        <w:overflowPunct/>
        <w:topLinePunct w:val="0"/>
        <w:autoSpaceDE/>
        <w:autoSpaceDN/>
        <w:bidi w:val="0"/>
        <w:adjustRightInd/>
        <w:snapToGrid/>
        <w:spacing w:before="0" w:after="0" w:afterAutospacing="0" w:line="720" w:lineRule="auto"/>
        <w:ind w:left="0" w:right="0" w:firstLine="0"/>
        <w:textAlignment w:val="auto"/>
        <w:rPr>
          <w:rFonts w:ascii="宋体" w:hAnsi="宋体"/>
          <w:color w:val="auto"/>
          <w:sz w:val="24"/>
          <w:szCs w:val="24"/>
          <w:highlight w:val="none"/>
        </w:rPr>
      </w:pPr>
      <w:r>
        <w:rPr>
          <w:rFonts w:ascii="宋体" w:hAnsi="宋体"/>
          <w:color w:val="auto"/>
          <w:sz w:val="24"/>
          <w:szCs w:val="24"/>
          <w:highlight w:val="none"/>
        </w:rPr>
        <w:t>系</w:t>
      </w:r>
      <w:r>
        <w:rPr>
          <w:rFonts w:hint="eastAsia" w:ascii="宋体" w:hAnsi="宋体"/>
          <w:color w:val="auto"/>
          <w:sz w:val="24"/>
          <w:szCs w:val="24"/>
          <w:highlight w:val="none"/>
          <w:lang w:val="en-US" w:eastAsia="zh-CN"/>
        </w:rPr>
        <w:t xml:space="preserve">                 </w:t>
      </w:r>
      <w:r>
        <w:rPr>
          <w:rFonts w:ascii="宋体" w:hAnsi="宋体"/>
          <w:color w:val="auto"/>
          <w:sz w:val="24"/>
          <w:szCs w:val="24"/>
          <w:highlight w:val="none"/>
        </w:rPr>
        <w:t>的法定代表人。</w:t>
      </w:r>
    </w:p>
    <w:p>
      <w:pPr>
        <w:keepNext w:val="0"/>
        <w:keepLines w:val="0"/>
        <w:pageBreakBefore w:val="0"/>
        <w:widowControl/>
        <w:kinsoku/>
        <w:wordWrap/>
        <w:overflowPunct/>
        <w:topLinePunct w:val="0"/>
        <w:autoSpaceDE/>
        <w:autoSpaceDN/>
        <w:bidi w:val="0"/>
        <w:adjustRightInd/>
        <w:snapToGrid/>
        <w:spacing w:before="0" w:after="0" w:afterAutospacing="0" w:line="720" w:lineRule="auto"/>
        <w:ind w:left="0" w:right="0" w:firstLine="0"/>
        <w:textAlignment w:val="auto"/>
        <w:rPr>
          <w:rFonts w:ascii="宋体" w:hAnsi="宋体"/>
          <w:color w:val="auto"/>
          <w:sz w:val="24"/>
          <w:szCs w:val="24"/>
          <w:highlight w:val="none"/>
        </w:rPr>
      </w:pPr>
      <w:r>
        <w:rPr>
          <w:rFonts w:ascii="宋体" w:hAnsi="宋体"/>
          <w:color w:val="auto"/>
          <w:sz w:val="24"/>
          <w:szCs w:val="24"/>
          <w:highlight w:val="none"/>
        </w:rPr>
        <w:t>特此证明。</w:t>
      </w:r>
    </w:p>
    <w:p>
      <w:pPr>
        <w:keepNext w:val="0"/>
        <w:keepLines w:val="0"/>
        <w:pageBreakBefore w:val="0"/>
        <w:widowControl/>
        <w:kinsoku/>
        <w:wordWrap/>
        <w:overflowPunct/>
        <w:topLinePunct w:val="0"/>
        <w:autoSpaceDE/>
        <w:autoSpaceDN/>
        <w:bidi w:val="0"/>
        <w:adjustRightInd/>
        <w:snapToGrid/>
        <w:spacing w:before="0" w:after="0" w:afterAutospacing="0" w:line="720" w:lineRule="auto"/>
        <w:ind w:left="0" w:right="0" w:firstLine="0"/>
        <w:textAlignment w:val="auto"/>
        <w:rPr>
          <w:rFonts w:ascii="宋体" w:hAnsi="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720" w:lineRule="auto"/>
        <w:ind w:left="0" w:right="0" w:firstLine="4800" w:firstLineChars="2000"/>
        <w:textAlignment w:val="auto"/>
        <w:rPr>
          <w:rFonts w:ascii="宋体" w:hAnsi="宋体"/>
          <w:color w:val="auto"/>
          <w:sz w:val="24"/>
          <w:szCs w:val="24"/>
          <w:highlight w:val="none"/>
          <w:u w:val="single"/>
        </w:rPr>
      </w:pPr>
      <w:r>
        <w:rPr>
          <w:rFonts w:ascii="宋体" w:hAnsi="宋体"/>
          <w:color w:val="auto"/>
          <w:sz w:val="24"/>
          <w:szCs w:val="24"/>
          <w:highlight w:val="none"/>
        </w:rPr>
        <w:t>比选申请人：（盖章）</w:t>
      </w:r>
    </w:p>
    <w:p>
      <w:pPr>
        <w:keepNext w:val="0"/>
        <w:keepLines w:val="0"/>
        <w:pageBreakBefore w:val="0"/>
        <w:widowControl/>
        <w:kinsoku/>
        <w:wordWrap/>
        <w:overflowPunct/>
        <w:topLinePunct w:val="0"/>
        <w:autoSpaceDE/>
        <w:autoSpaceDN/>
        <w:bidi w:val="0"/>
        <w:adjustRightInd/>
        <w:snapToGrid/>
        <w:spacing w:before="0" w:after="0" w:afterAutospacing="0" w:line="720" w:lineRule="auto"/>
        <w:ind w:left="869" w:leftChars="414" w:right="0" w:firstLine="3741" w:firstLineChars="1559"/>
        <w:textAlignment w:val="auto"/>
        <w:rPr>
          <w:rFonts w:ascii="宋体" w:hAnsi="宋体"/>
          <w:color w:val="auto"/>
          <w:sz w:val="24"/>
          <w:szCs w:val="24"/>
          <w:highlight w:val="none"/>
        </w:rPr>
      </w:pPr>
      <w:r>
        <w:rPr>
          <w:rFonts w:ascii="宋体" w:hAnsi="宋体"/>
          <w:color w:val="auto"/>
          <w:sz w:val="24"/>
          <w:szCs w:val="24"/>
          <w:highlight w:val="none"/>
        </w:rPr>
        <w:t>日期：年</w:t>
      </w:r>
      <w:r>
        <w:rPr>
          <w:rFonts w:hint="eastAsia" w:ascii="宋体" w:hAnsi="宋体"/>
          <w:color w:val="auto"/>
          <w:sz w:val="24"/>
          <w:szCs w:val="24"/>
          <w:highlight w:val="none"/>
          <w:lang w:val="en-US" w:eastAsia="zh-CN"/>
        </w:rPr>
        <w:t xml:space="preserve">  </w:t>
      </w:r>
      <w:r>
        <w:rPr>
          <w:rFonts w:ascii="宋体" w:hAnsi="宋体"/>
          <w:color w:val="auto"/>
          <w:sz w:val="24"/>
          <w:szCs w:val="24"/>
          <w:highlight w:val="none"/>
        </w:rPr>
        <w:t>月</w:t>
      </w:r>
      <w:r>
        <w:rPr>
          <w:rFonts w:hint="eastAsia" w:ascii="宋体" w:hAnsi="宋体"/>
          <w:color w:val="auto"/>
          <w:sz w:val="24"/>
          <w:szCs w:val="24"/>
          <w:highlight w:val="none"/>
          <w:lang w:val="en-US" w:eastAsia="zh-CN"/>
        </w:rPr>
        <w:t xml:space="preserve">  </w:t>
      </w:r>
      <w:r>
        <w:rPr>
          <w:rFonts w:ascii="宋体" w:hAnsi="宋体"/>
          <w:color w:val="auto"/>
          <w:sz w:val="24"/>
          <w:szCs w:val="24"/>
          <w:highlight w:val="none"/>
        </w:rPr>
        <w:t>日</w:t>
      </w:r>
    </w:p>
    <w:p>
      <w:pPr>
        <w:rPr>
          <w:rFonts w:hint="eastAsia" w:ascii="宋体" w:hAnsi="宋体"/>
          <w:b/>
          <w:color w:val="auto"/>
          <w:highlight w:val="none"/>
        </w:rPr>
      </w:pPr>
      <w:bookmarkStart w:id="1481"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rPr>
          <w:rFonts w:hint="eastAsia" w:ascii="宋体" w:hAnsi="宋体"/>
          <w:b/>
          <w:color w:val="auto"/>
          <w:highlight w:val="none"/>
        </w:rPr>
      </w:pPr>
      <w:r>
        <w:rPr>
          <w:rFonts w:hint="eastAsia" w:ascii="宋体" w:hAnsi="宋体"/>
          <w:b/>
          <w:color w:val="auto"/>
          <w:highlight w:val="none"/>
        </w:rPr>
        <w:br w:type="page"/>
      </w:r>
    </w:p>
    <w:p>
      <w:pPr>
        <w:keepNext w:val="0"/>
        <w:keepLines w:val="0"/>
        <w:pageBreakBefore/>
        <w:widowControl/>
        <w:kinsoku/>
        <w:wordWrap/>
        <w:overflowPunct/>
        <w:topLinePunct w:val="0"/>
        <w:autoSpaceDE/>
        <w:autoSpaceDN/>
        <w:bidi w:val="0"/>
        <w:adjustRightInd/>
        <w:snapToGrid w:val="0"/>
        <w:spacing w:before="0" w:after="0" w:afterAutospacing="0"/>
        <w:ind w:left="0" w:right="0" w:firstLine="0"/>
        <w:jc w:val="left"/>
        <w:textAlignment w:val="auto"/>
        <w:outlineLvl w:val="0"/>
        <w:rPr>
          <w:rFonts w:ascii="宋体" w:hAnsi="宋体"/>
          <w:b/>
          <w:color w:val="auto"/>
          <w:highlight w:val="none"/>
        </w:rPr>
      </w:pPr>
      <w:bookmarkStart w:id="1482" w:name="_Toc32062"/>
      <w:bookmarkStart w:id="1483" w:name="_Toc4894"/>
      <w:bookmarkStart w:id="1484" w:name="_Toc24848"/>
      <w:bookmarkStart w:id="1485" w:name="_Toc10105"/>
      <w:bookmarkStart w:id="1486" w:name="_Toc9085"/>
      <w:bookmarkStart w:id="1487" w:name="_Toc25816"/>
      <w:bookmarkStart w:id="1488" w:name="_Toc6033"/>
      <w:bookmarkStart w:id="1489" w:name="_Toc30953"/>
      <w:bookmarkStart w:id="1490" w:name="_Toc11425"/>
      <w:bookmarkStart w:id="1491" w:name="_Toc25780"/>
      <w:bookmarkStart w:id="1492" w:name="_Toc1932"/>
      <w:bookmarkStart w:id="1493" w:name="_Toc31792"/>
      <w:bookmarkStart w:id="1494" w:name="_Toc21307"/>
      <w:bookmarkStart w:id="1495" w:name="_Toc19721"/>
      <w:bookmarkStart w:id="1496" w:name="_Toc492478806"/>
      <w:bookmarkStart w:id="1497" w:name="_Toc26097"/>
      <w:bookmarkStart w:id="1498" w:name="_Toc15394"/>
      <w:bookmarkStart w:id="1499" w:name="_Toc3426"/>
      <w:bookmarkStart w:id="1500" w:name="_Toc375564353"/>
      <w:bookmarkStart w:id="1501" w:name="_Toc26907"/>
      <w:bookmarkStart w:id="1502" w:name="_Toc29246"/>
      <w:bookmarkStart w:id="1503" w:name="_Toc414290524"/>
      <w:bookmarkStart w:id="1504" w:name="_Toc16467"/>
      <w:bookmarkStart w:id="1505" w:name="_Toc15609"/>
      <w:bookmarkStart w:id="1506" w:name="_Toc17745"/>
      <w:bookmarkStart w:id="1507" w:name="_Toc7712"/>
      <w:bookmarkStart w:id="1508" w:name="_Toc31448"/>
      <w:bookmarkStart w:id="1509" w:name="_Toc25750677"/>
      <w:bookmarkStart w:id="1510" w:name="_Toc32201"/>
      <w:r>
        <w:rPr>
          <w:rFonts w:hint="eastAsia" w:ascii="宋体" w:hAnsi="宋体"/>
          <w:b/>
          <w:color w:val="auto"/>
          <w:highlight w:val="none"/>
          <w:lang w:val="en-US" w:eastAsia="zh-CN"/>
        </w:rPr>
        <w:t>3.</w:t>
      </w:r>
      <w:r>
        <w:rPr>
          <w:rFonts w:ascii="宋体" w:hAnsi="宋体"/>
          <w:b/>
          <w:color w:val="auto"/>
          <w:highlight w:val="none"/>
        </w:rPr>
        <w:t>承诺书格式</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keepNext w:val="0"/>
        <w:keepLines w:val="0"/>
        <w:pageBreakBefore w:val="0"/>
        <w:widowControl/>
        <w:kinsoku/>
        <w:wordWrap/>
        <w:overflowPunct/>
        <w:topLinePunct w:val="0"/>
        <w:autoSpaceDE/>
        <w:autoSpaceDN/>
        <w:bidi w:val="0"/>
        <w:adjustRightInd/>
        <w:snapToGrid/>
        <w:spacing w:before="240" w:after="0" w:afterAutospacing="0" w:line="360" w:lineRule="exact"/>
        <w:ind w:left="0" w:right="0" w:firstLine="0"/>
        <w:jc w:val="center"/>
        <w:textAlignment w:val="auto"/>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致：南宁轨道交通运营有限公司</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1、在认真研读</w:t>
      </w:r>
      <w:r>
        <w:rPr>
          <w:rFonts w:hint="eastAsia" w:ascii="宋体" w:hAnsi="宋体"/>
          <w:color w:val="auto"/>
          <w:highlight w:val="none"/>
          <w:lang w:eastAsia="zh-CN"/>
        </w:rPr>
        <w:t>运营公司档案委外整理及数字化加工服务采购项目（2024年—2026年）</w:t>
      </w:r>
      <w:r>
        <w:rPr>
          <w:rFonts w:hint="eastAsia" w:ascii="宋体" w:hAnsi="宋体" w:eastAsia="宋体" w:cs="宋体"/>
          <w:color w:val="auto"/>
          <w:highlight w:val="none"/>
        </w:rPr>
        <w:t>比选文件后，我方经慎重考虑，郑重承诺参加</w:t>
      </w:r>
      <w:r>
        <w:rPr>
          <w:rFonts w:hint="eastAsia" w:ascii="宋体" w:hAnsi="宋体"/>
          <w:color w:val="auto"/>
          <w:highlight w:val="none"/>
          <w:lang w:eastAsia="zh-CN"/>
        </w:rPr>
        <w:t>运营公司档案委外整理及数字化加工服务采购项目（2024年—2026年）</w:t>
      </w:r>
      <w:r>
        <w:rPr>
          <w:rFonts w:hint="eastAsia" w:ascii="宋体" w:hAnsi="宋体" w:eastAsia="宋体" w:cs="宋体"/>
          <w:color w:val="auto"/>
          <w:highlight w:val="none"/>
        </w:rPr>
        <w:t>的比选申请活动。</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2、我方按照贵方比选文件要求的内容与格式，已编制完成比选申请文件，现报上。</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我方承诺：在评审过程中，贵方可调查、审核我方提交的与本比选申请文件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hint="eastAsia"/>
          <w:color w:val="auto"/>
          <w:highlight w:val="none"/>
        </w:rPr>
      </w:pPr>
      <w:r>
        <w:rPr>
          <w:rFonts w:hint="eastAsia" w:ascii="宋体" w:hAnsi="宋体" w:eastAsia="宋体" w:cs="宋体"/>
          <w:color w:val="auto"/>
          <w:highlight w:val="none"/>
        </w:rPr>
        <w:t>4、我方郑重承诺：</w:t>
      </w:r>
      <w:r>
        <w:rPr>
          <w:rFonts w:hint="eastAsia" w:ascii="宋体" w:hAnsi="宋体" w:eastAsia="宋体" w:cs="宋体"/>
          <w:b/>
          <w:bCs/>
          <w:color w:val="auto"/>
          <w:highlight w:val="none"/>
        </w:rPr>
        <w:t>我方保证没有处于</w:t>
      </w:r>
      <w:r>
        <w:rPr>
          <w:rFonts w:hint="eastAsia" w:ascii="宋体" w:hAnsi="宋体" w:eastAsia="宋体" w:cs="宋体"/>
          <w:color w:val="auto"/>
          <w:highlight w:val="none"/>
        </w:rPr>
        <w:t>被广西行政主管部门或业主取消比选申请资格的处罚期内，且没有处于被责令停业，财产被接管、破产状态；比选申请截止时间前3年内没有骗取中选、严重违约或重大质量安全责任事故的情况；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b w:val="0"/>
          <w:bCs/>
          <w:color w:val="auto"/>
          <w:highlight w:val="none"/>
        </w:rPr>
        <w:t>5、如果我</w:t>
      </w:r>
      <w:r>
        <w:rPr>
          <w:rFonts w:hint="eastAsia" w:ascii="宋体" w:hAnsi="宋体" w:eastAsia="宋体" w:cs="宋体"/>
          <w:color w:val="auto"/>
          <w:highlight w:val="none"/>
        </w:rPr>
        <w:t>公司在该项目报名、比选申请过程中或者在中选后，</w:t>
      </w:r>
      <w:r>
        <w:rPr>
          <w:rFonts w:hint="eastAsia" w:ascii="宋体" w:hAnsi="宋体" w:cs="宋体"/>
          <w:color w:val="auto"/>
          <w:highlight w:val="none"/>
          <w:lang w:val="en-US" w:eastAsia="zh-CN"/>
        </w:rPr>
        <w:t>比选人</w:t>
      </w:r>
      <w:r>
        <w:rPr>
          <w:rFonts w:hint="eastAsia" w:ascii="宋体" w:hAnsi="宋体" w:eastAsia="宋体" w:cs="宋体"/>
          <w:color w:val="auto"/>
          <w:highlight w:val="none"/>
        </w:rPr>
        <w:t>或者有管辖权的行政监管机构发现并查实我公司在所填报的该项目比选申请文件中存在提供虚假或不真实的信息或者伪造数据、资料或证书等情况，视为我公司违约，我公司愿意接受</w:t>
      </w:r>
      <w:r>
        <w:rPr>
          <w:rFonts w:hint="eastAsia" w:ascii="宋体" w:hAnsi="宋体" w:cs="宋体"/>
          <w:color w:val="auto"/>
          <w:highlight w:val="none"/>
          <w:lang w:val="en-US" w:eastAsia="zh-CN"/>
        </w:rPr>
        <w:t>比选人</w:t>
      </w:r>
      <w:r>
        <w:rPr>
          <w:rFonts w:hint="eastAsia" w:ascii="宋体" w:hAnsi="宋体" w:eastAsia="宋体" w:cs="宋体"/>
          <w:color w:val="auto"/>
          <w:highlight w:val="none"/>
        </w:rPr>
        <w:t>或有管辖权的监管机构的处罚；由此造成的任何后果和损失均由我公司承担。本段承诺既是我公司比选申请文件的有效组成内容，也是我公司真实意思的表示，对我公司在与该项目有关的任何行为中始终具有优先的法律约束力。</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6、我方了解：无论是否中选，我方将自行承担与招比选申请活动所需的一切费用。</w:t>
      </w:r>
    </w:p>
    <w:p>
      <w:pPr>
        <w:spacing w:before="0" w:after="0" w:afterAutospacing="0"/>
        <w:ind w:left="0" w:right="0" w:firstLine="420" w:firstLineChars="200"/>
        <w:rPr>
          <w:rFonts w:hint="eastAsia" w:ascii="宋体" w:hAnsi="宋体" w:eastAsia="宋体" w:cs="宋体"/>
          <w:b/>
          <w:color w:val="auto"/>
          <w:highlight w:val="none"/>
        </w:rPr>
      </w:pPr>
      <w:r>
        <w:rPr>
          <w:rFonts w:hint="eastAsia" w:ascii="宋体" w:hAnsi="宋体" w:eastAsia="宋体" w:cs="宋体"/>
          <w:color w:val="auto"/>
          <w:highlight w:val="none"/>
        </w:rPr>
        <w:t>7、我方保证本次比选申请的维保服务拥有合法的原厂授权，在签订合同前提供H3C厂家针对本项目的授权函。并保证</w:t>
      </w:r>
      <w:r>
        <w:rPr>
          <w:rFonts w:hint="eastAsia" w:ascii="宋体" w:hAnsi="宋体" w:cs="宋体"/>
          <w:color w:val="auto"/>
          <w:highlight w:val="none"/>
          <w:lang w:eastAsia="zh-CN"/>
        </w:rPr>
        <w:t>甲方</w:t>
      </w:r>
      <w:r>
        <w:rPr>
          <w:rFonts w:hint="eastAsia" w:ascii="宋体" w:hAnsi="宋体" w:eastAsia="宋体" w:cs="宋体"/>
          <w:color w:val="auto"/>
          <w:highlight w:val="none"/>
        </w:rPr>
        <w:t>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我方声明，我们所填报的资料是完全真实和准确的，并愿为此承担任何相关的法律责任。</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比选申请人地址：</w:t>
      </w:r>
    </w:p>
    <w:p>
      <w:pPr>
        <w:spacing w:before="0" w:after="0" w:afterAutospacing="0" w:line="480" w:lineRule="auto"/>
        <w:ind w:left="0" w:right="0" w:firstLine="200"/>
        <w:rPr>
          <w:rFonts w:hint="eastAsia" w:ascii="宋体" w:hAnsi="宋体" w:eastAsia="宋体" w:cs="宋体"/>
          <w:color w:val="auto"/>
          <w:highlight w:val="none"/>
        </w:rPr>
      </w:pPr>
      <w:r>
        <w:rPr>
          <w:rFonts w:hint="eastAsia" w:ascii="宋体" w:hAnsi="宋体" w:eastAsia="宋体" w:cs="宋体"/>
          <w:color w:val="auto"/>
          <w:highlight w:val="none"/>
        </w:rPr>
        <w:t>比选申请人</w:t>
      </w:r>
      <w:r>
        <w:rPr>
          <w:rFonts w:hint="eastAsia" w:ascii="宋体" w:hAnsi="宋体" w:eastAsia="宋体" w:cs="宋体"/>
          <w:color w:val="auto"/>
          <w:highlight w:val="none"/>
          <w:u w:val="single"/>
        </w:rPr>
        <w:t xml:space="preserve">    (盖单位公章)</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邮政编码：</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w:t>
      </w:r>
      <w:r>
        <w:rPr>
          <w:rFonts w:hint="eastAsia" w:ascii="宋体" w:hAnsi="宋体" w:eastAsia="宋体" w:cs="宋体"/>
          <w:color w:val="auto"/>
          <w:highlight w:val="none"/>
          <w:u w:val="single"/>
        </w:rPr>
        <w:t>(签字或盖章)</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电话：</w:t>
      </w:r>
      <w:r>
        <w:rPr>
          <w:rFonts w:hint="eastAsia" w:ascii="宋体" w:hAnsi="宋体" w:eastAsia="宋体" w:cs="宋体"/>
          <w:color w:val="auto"/>
          <w:highlight w:val="none"/>
          <w:u w:val="single"/>
        </w:rPr>
        <w:t>　　</w:t>
      </w:r>
    </w:p>
    <w:p>
      <w:pPr>
        <w:spacing w:before="0" w:after="0" w:afterAutospacing="0" w:line="480" w:lineRule="auto"/>
        <w:ind w:left="0" w:right="0" w:firstLine="200"/>
        <w:rPr>
          <w:rFonts w:hint="eastAsia" w:ascii="宋体" w:hAnsi="宋体" w:eastAsia="宋体" w:cs="宋体"/>
          <w:color w:val="auto"/>
          <w:highlight w:val="none"/>
        </w:rPr>
      </w:pPr>
      <w:r>
        <w:rPr>
          <w:rFonts w:hint="eastAsia" w:ascii="宋体" w:hAnsi="宋体" w:eastAsia="宋体" w:cs="宋体"/>
          <w:color w:val="auto"/>
          <w:highlight w:val="none"/>
        </w:rPr>
        <w:t>传真：</w:t>
      </w:r>
    </w:p>
    <w:p>
      <w:pPr>
        <w:spacing w:before="0" w:after="0" w:afterAutospacing="0" w:line="480" w:lineRule="auto"/>
        <w:ind w:left="0" w:right="0" w:firstLine="200"/>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highlight w:val="none"/>
        </w:rPr>
        <w:t>日期：</w:t>
      </w:r>
      <w:r>
        <w:rPr>
          <w:rFonts w:hint="eastAsia" w:ascii="宋体" w:hAnsi="宋体" w:eastAsia="宋体" w:cs="宋体"/>
          <w:color w:val="auto"/>
          <w:highlight w:val="none"/>
          <w:u w:val="single"/>
        </w:rPr>
        <w:t xml:space="preserve"> XXXX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XX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XX  </w:t>
      </w:r>
      <w:r>
        <w:rPr>
          <w:rFonts w:hint="eastAsia" w:ascii="宋体" w:hAnsi="宋体" w:eastAsia="宋体" w:cs="宋体"/>
          <w:color w:val="auto"/>
          <w:highlight w:val="none"/>
        </w:rPr>
        <w:t>日</w:t>
      </w:r>
      <w:r>
        <w:rPr>
          <w:rFonts w:hint="eastAsia" w:ascii="宋体" w:hAnsi="宋体" w:eastAsia="宋体" w:cs="宋体"/>
          <w:color w:val="auto"/>
          <w:kern w:val="0"/>
          <w:sz w:val="21"/>
          <w:szCs w:val="21"/>
          <w:highlight w:val="none"/>
          <w:lang w:val="en-US" w:eastAsia="zh-CN" w:bidi="ar"/>
        </w:rPr>
        <w:br w:type="page"/>
      </w:r>
    </w:p>
    <w:p>
      <w:pPr>
        <w:pStyle w:val="41"/>
        <w:keepNext w:val="0"/>
        <w:keepLines w:val="0"/>
        <w:pageBreakBefore w:val="0"/>
        <w:widowControl/>
        <w:kinsoku/>
        <w:wordWrap/>
        <w:overflowPunct/>
        <w:topLinePunct w:val="0"/>
        <w:bidi w:val="0"/>
        <w:snapToGrid/>
        <w:spacing w:before="0" w:after="0" w:afterLines="0" w:afterAutospacing="0"/>
        <w:ind w:left="0" w:leftChars="0" w:right="0" w:rightChars="0" w:firstLine="0" w:firstLineChars="0"/>
        <w:textAlignment w:val="auto"/>
        <w:outlineLvl w:val="2"/>
        <w:rPr>
          <w:rFonts w:hint="default" w:eastAsia="宋体"/>
          <w:b/>
          <w:color w:val="auto"/>
          <w:sz w:val="24"/>
          <w:szCs w:val="21"/>
          <w:highlight w:val="none"/>
          <w:lang w:val="en-US" w:eastAsia="zh-CN"/>
        </w:rPr>
      </w:pPr>
      <w:r>
        <w:rPr>
          <w:rFonts w:hint="eastAsia"/>
          <w:b/>
          <w:color w:val="auto"/>
          <w:sz w:val="24"/>
          <w:szCs w:val="21"/>
          <w:highlight w:val="none"/>
          <w:lang w:val="en-US" w:eastAsia="zh-CN"/>
        </w:rPr>
        <w:t>4.类似项目业绩表</w:t>
      </w:r>
    </w:p>
    <w:p>
      <w:pPr>
        <w:pStyle w:val="41"/>
        <w:keepNext w:val="0"/>
        <w:keepLines w:val="0"/>
        <w:pageBreakBefore w:val="0"/>
        <w:widowControl/>
        <w:kinsoku/>
        <w:wordWrap/>
        <w:overflowPunct/>
        <w:topLinePunct w:val="0"/>
        <w:bidi w:val="0"/>
        <w:snapToGrid/>
        <w:spacing w:before="0" w:after="312" w:afterLines="100"/>
        <w:ind w:left="0" w:leftChars="0" w:right="0" w:rightChars="0" w:firstLine="0" w:firstLineChars="0"/>
        <w:jc w:val="center"/>
        <w:textAlignment w:val="auto"/>
        <w:outlineLvl w:val="2"/>
        <w:rPr>
          <w:rFonts w:hint="eastAsia" w:eastAsia="宋体"/>
          <w:b/>
          <w:color w:val="auto"/>
          <w:sz w:val="28"/>
          <w:highlight w:val="none"/>
          <w:lang w:val="en-US" w:eastAsia="zh-CN"/>
        </w:rPr>
      </w:pPr>
      <w:r>
        <w:rPr>
          <w:rFonts w:hint="eastAsia"/>
          <w:b/>
          <w:color w:val="auto"/>
          <w:sz w:val="28"/>
          <w:highlight w:val="none"/>
          <w:lang w:val="en-US" w:eastAsia="zh-CN"/>
        </w:rPr>
        <w:t>类似项目</w:t>
      </w:r>
      <w:r>
        <w:rPr>
          <w:rFonts w:hint="eastAsia"/>
          <w:b/>
          <w:color w:val="auto"/>
          <w:sz w:val="28"/>
          <w:highlight w:val="none"/>
        </w:rPr>
        <w:t>业绩</w:t>
      </w:r>
      <w:r>
        <w:rPr>
          <w:rFonts w:hint="eastAsia"/>
          <w:b/>
          <w:color w:val="auto"/>
          <w:sz w:val="28"/>
          <w:highlight w:val="none"/>
          <w:lang w:val="en-US" w:eastAsia="zh-CN"/>
        </w:rPr>
        <w:t>表</w:t>
      </w:r>
    </w:p>
    <w:tbl>
      <w:tblPr>
        <w:tblStyle w:val="33"/>
        <w:tblW w:w="9058" w:type="dxa"/>
        <w:jc w:val="center"/>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717"/>
        <w:gridCol w:w="1092"/>
        <w:gridCol w:w="1789"/>
        <w:gridCol w:w="992"/>
        <w:gridCol w:w="993"/>
        <w:gridCol w:w="1388"/>
        <w:gridCol w:w="1044"/>
        <w:gridCol w:w="1043"/>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PrEx>
        <w:trPr>
          <w:trHeight w:val="440" w:hRule="atLeast"/>
          <w:jc w:val="center"/>
        </w:trPr>
        <w:tc>
          <w:tcPr>
            <w:tcW w:w="717" w:type="dxa"/>
            <w:tcBorders>
              <w:top w:val="double" w:color="auto" w:sz="2"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序号</w:t>
            </w:r>
          </w:p>
        </w:tc>
        <w:tc>
          <w:tcPr>
            <w:tcW w:w="1092"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项目名称</w:t>
            </w:r>
          </w:p>
        </w:tc>
        <w:tc>
          <w:tcPr>
            <w:tcW w:w="1789"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合同内容（简述）</w:t>
            </w:r>
          </w:p>
        </w:tc>
        <w:tc>
          <w:tcPr>
            <w:tcW w:w="992"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合同</w:t>
            </w:r>
            <w:r>
              <w:rPr>
                <w:rFonts w:hint="eastAsia" w:ascii="宋体" w:hAnsi="宋体" w:eastAsia="宋体" w:cs="Times New Roman"/>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金额</w:t>
            </w:r>
          </w:p>
        </w:tc>
        <w:tc>
          <w:tcPr>
            <w:tcW w:w="993"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签订</w:t>
            </w:r>
            <w:r>
              <w:rPr>
                <w:rFonts w:hint="eastAsia" w:ascii="宋体" w:hAnsi="宋体" w:eastAsia="宋体" w:cs="Times New Roman"/>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时间</w:t>
            </w:r>
          </w:p>
        </w:tc>
        <w:tc>
          <w:tcPr>
            <w:tcW w:w="1388"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服务时间</w:t>
            </w:r>
          </w:p>
        </w:tc>
        <w:tc>
          <w:tcPr>
            <w:tcW w:w="1044"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业主单位</w:t>
            </w:r>
          </w:p>
        </w:tc>
        <w:tc>
          <w:tcPr>
            <w:tcW w:w="1043" w:type="dxa"/>
            <w:tcBorders>
              <w:top w:val="double" w:color="auto" w:sz="2"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联系电话</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4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717" w:type="dxa"/>
            <w:tcBorders>
              <w:top w:val="single" w:color="000000" w:sz="6" w:space="0"/>
              <w:left w:val="double" w:color="000000" w:sz="2"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double" w:color="000000" w:sz="2"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double" w:color="000000" w:sz="2"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bl>
    <w:p>
      <w:pPr>
        <w:pStyle w:val="41"/>
        <w:keepNext w:val="0"/>
        <w:keepLines w:val="0"/>
        <w:pageBreakBefore w:val="0"/>
        <w:widowControl/>
        <w:kinsoku/>
        <w:wordWrap/>
        <w:overflowPunct/>
        <w:topLinePunct w:val="0"/>
        <w:bidi w:val="0"/>
        <w:snapToGrid/>
        <w:spacing w:before="0" w:after="312" w:afterLines="100"/>
        <w:ind w:left="0" w:leftChars="0" w:right="0" w:rightChars="0" w:firstLine="0" w:firstLineChars="0"/>
        <w:jc w:val="left"/>
        <w:textAlignment w:val="auto"/>
        <w:rPr>
          <w:b/>
          <w:color w:val="auto"/>
          <w:sz w:val="28"/>
          <w:highlight w:val="none"/>
        </w:rPr>
      </w:pPr>
    </w:p>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leftChars="0" w:right="0" w:rightChars="0"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rPr>
        <w:t>注：</w:t>
      </w:r>
    </w:p>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leftChars="0" w:right="0" w:rightChars="0"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rPr>
        <w:t>1.类似项目业绩。</w:t>
      </w:r>
    </w:p>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leftChars="0" w:right="0" w:rightChars="0"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rPr>
        <w:t>2.项目按照时间顺序排列，时间以合同签订时间为准。</w:t>
      </w:r>
    </w:p>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leftChars="0" w:right="0" w:rightChars="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3.业绩证明文件：项目合同文件（复印件加盖比选申请人公章），证明文件中须体现出合同双方、合同签订时间、合同金额（单价或合价，能统计出相应合同总价的均认可。）、反映业绩特征的内容等，否则视为无效证明文件。</w:t>
      </w:r>
    </w:p>
    <w:p>
      <w:pPr>
        <w:pStyle w:val="2"/>
        <w:keepNext w:val="0"/>
        <w:keepLines w:val="0"/>
        <w:pageBreakBefore w:val="0"/>
        <w:widowControl/>
        <w:kinsoku/>
        <w:wordWrap/>
        <w:overflowPunct/>
        <w:topLinePunct w:val="0"/>
        <w:bidi w:val="0"/>
        <w:snapToGrid/>
        <w:spacing w:before="0"/>
        <w:ind w:left="0" w:leftChars="0" w:right="0" w:rightChars="0" w:firstLine="0" w:firstLineChars="0"/>
        <w:textAlignment w:val="auto"/>
        <w:rPr>
          <w:color w:val="auto"/>
          <w:highlight w:val="none"/>
        </w:rPr>
      </w:pPr>
    </w:p>
    <w:p>
      <w:pPr>
        <w:keepNext w:val="0"/>
        <w:keepLines w:val="0"/>
        <w:pageBreakBefore w:val="0"/>
        <w:widowControl/>
        <w:kinsoku/>
        <w:wordWrap/>
        <w:overflowPunct/>
        <w:topLinePunct w:val="0"/>
        <w:bidi w:val="0"/>
        <w:snapToGrid/>
        <w:spacing w:before="0" w:line="360" w:lineRule="auto"/>
        <w:ind w:left="0" w:leftChars="0" w:right="0" w:rightChars="0" w:firstLine="0" w:firstLineChars="0"/>
        <w:textAlignment w:val="auto"/>
        <w:rPr>
          <w:rFonts w:eastAsia="Times New Roman"/>
          <w:color w:val="auto"/>
          <w:kern w:val="0"/>
          <w:sz w:val="24"/>
          <w:highlight w:val="none"/>
        </w:rPr>
      </w:pPr>
      <w:r>
        <w:rPr>
          <w:rFonts w:hint="eastAsia" w:cs="宋体"/>
          <w:color w:val="auto"/>
          <w:highlight w:val="none"/>
          <w:lang w:bidi="ar"/>
        </w:rPr>
        <w:t>比选申请人：（公章）</w:t>
      </w:r>
      <w:r>
        <w:rPr>
          <w:color w:val="auto"/>
          <w:highlight w:val="none"/>
          <w:lang w:bidi="ar"/>
        </w:rPr>
        <w:t xml:space="preserve"> </w:t>
      </w:r>
    </w:p>
    <w:p>
      <w:pPr>
        <w:keepNext w:val="0"/>
        <w:keepLines w:val="0"/>
        <w:pageBreakBefore w:val="0"/>
        <w:widowControl/>
        <w:kinsoku/>
        <w:wordWrap/>
        <w:overflowPunct/>
        <w:topLinePunct w:val="0"/>
        <w:bidi w:val="0"/>
        <w:snapToGrid/>
        <w:spacing w:before="0" w:line="360" w:lineRule="auto"/>
        <w:ind w:left="0" w:leftChars="0" w:right="0" w:rightChars="0" w:firstLine="0" w:firstLineChars="0"/>
        <w:textAlignment w:val="auto"/>
        <w:rPr>
          <w:rFonts w:eastAsia="Times New Roman"/>
          <w:color w:val="auto"/>
          <w:kern w:val="0"/>
          <w:sz w:val="24"/>
          <w:highlight w:val="none"/>
        </w:rPr>
      </w:pPr>
      <w:r>
        <w:rPr>
          <w:rFonts w:hint="eastAsia" w:cs="宋体"/>
          <w:color w:val="auto"/>
          <w:highlight w:val="none"/>
          <w:lang w:bidi="ar"/>
        </w:rPr>
        <w:t>法定代表人或其委托代理人：（签字或盖章）</w:t>
      </w:r>
    </w:p>
    <w:p>
      <w:pPr>
        <w:spacing w:before="156" w:beforeLines="50" w:after="312" w:afterLines="100" w:line="560" w:lineRule="exact"/>
        <w:ind w:left="0" w:leftChars="0" w:firstLine="0" w:firstLineChars="0"/>
        <w:jc w:val="left"/>
        <w:outlineLvl w:val="2"/>
        <w:rPr>
          <w:rFonts w:hint="eastAsia" w:ascii="宋体" w:hAnsi="宋体" w:eastAsia="宋体" w:cs="宋体"/>
          <w:b/>
          <w:color w:val="auto"/>
          <w:sz w:val="21"/>
          <w:szCs w:val="21"/>
          <w:highlight w:val="none"/>
        </w:rPr>
      </w:pPr>
      <w:r>
        <w:rPr>
          <w:rFonts w:hint="eastAsia" w:cs="宋体"/>
          <w:color w:val="auto"/>
          <w:highlight w:val="none"/>
          <w:lang w:bidi="ar"/>
        </w:rPr>
        <w:t>日</w:t>
      </w:r>
      <w:r>
        <w:rPr>
          <w:color w:val="auto"/>
          <w:highlight w:val="none"/>
          <w:lang w:bidi="ar"/>
        </w:rPr>
        <w:t xml:space="preserve">    </w:t>
      </w:r>
      <w:r>
        <w:rPr>
          <w:rFonts w:hint="eastAsia" w:cs="宋体"/>
          <w:color w:val="auto"/>
          <w:highlight w:val="none"/>
          <w:lang w:bidi="ar"/>
        </w:rPr>
        <w:t>期：</w:t>
      </w:r>
      <w:r>
        <w:rPr>
          <w:rFonts w:hint="eastAsia"/>
          <w:color w:val="auto"/>
          <w:sz w:val="24"/>
          <w:szCs w:val="24"/>
          <w:highlight w:val="none"/>
        </w:rPr>
        <w:br w:type="page"/>
      </w:r>
      <w:r>
        <w:rPr>
          <w:rFonts w:hint="eastAsia" w:ascii="宋体" w:hAnsi="宋体" w:cs="宋体"/>
          <w:b/>
          <w:color w:val="auto"/>
          <w:sz w:val="21"/>
          <w:szCs w:val="21"/>
          <w:highlight w:val="none"/>
          <w:lang w:val="en-US" w:eastAsia="zh-CN"/>
        </w:rPr>
        <w:t>5</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比选申请人认为应提交的其他比选申请资料（如有）</w:t>
      </w:r>
    </w:p>
    <w:p>
      <w:pPr>
        <w:pStyle w:val="2"/>
        <w:rPr>
          <w:rFonts w:hint="eastAsia"/>
          <w:color w:val="auto"/>
          <w:highlight w:val="none"/>
        </w:rPr>
      </w:pPr>
    </w:p>
    <w:p>
      <w:pPr>
        <w:ind w:left="0" w:leftChars="0" w:firstLine="0" w:firstLineChars="0"/>
        <w:rPr>
          <w:rFonts w:hint="eastAsia"/>
          <w:color w:val="auto"/>
          <w:sz w:val="24"/>
          <w:szCs w:val="24"/>
          <w:highlight w:val="none"/>
        </w:rPr>
      </w:pPr>
      <w:bookmarkStart w:id="1511" w:name="_Toc9876"/>
      <w:bookmarkStart w:id="1512" w:name="_Toc2542"/>
      <w:bookmarkStart w:id="1513" w:name="_Toc30812"/>
      <w:bookmarkStart w:id="1514" w:name="_Toc2327"/>
      <w:bookmarkStart w:id="1515" w:name="_Toc32381"/>
      <w:bookmarkStart w:id="1516" w:name="_Toc22423"/>
      <w:bookmarkStart w:id="1517" w:name="_Toc23585"/>
      <w:bookmarkStart w:id="1518" w:name="_Toc19413"/>
      <w:bookmarkStart w:id="1519" w:name="_Toc3307"/>
      <w:bookmarkStart w:id="1520" w:name="_Toc31512"/>
      <w:bookmarkStart w:id="1521" w:name="_Toc8563"/>
      <w:bookmarkStart w:id="1522" w:name="_Toc17664"/>
      <w:bookmarkStart w:id="1523" w:name="_Toc15451"/>
      <w:bookmarkStart w:id="1524" w:name="_Toc6034"/>
      <w:bookmarkStart w:id="1525" w:name="_Toc14005"/>
      <w:bookmarkStart w:id="1526" w:name="_Toc27472"/>
      <w:bookmarkStart w:id="1527" w:name="_Toc25635"/>
      <w:bookmarkStart w:id="1528" w:name="_Toc19107"/>
      <w:bookmarkStart w:id="1529" w:name="_Toc29577"/>
      <w:bookmarkStart w:id="1530" w:name="_Toc11399"/>
      <w:bookmarkStart w:id="1531" w:name="_Toc414290562"/>
      <w:bookmarkStart w:id="1532" w:name="_Toc14091"/>
      <w:bookmarkStart w:id="1533" w:name="_Toc18387"/>
      <w:bookmarkStart w:id="1534" w:name="_Toc13870"/>
      <w:bookmarkStart w:id="1535" w:name="_Toc492478827"/>
      <w:bookmarkStart w:id="1536" w:name="_Toc25220"/>
      <w:r>
        <w:rPr>
          <w:rFonts w:hint="eastAsia"/>
          <w:color w:val="auto"/>
          <w:sz w:val="24"/>
          <w:szCs w:val="24"/>
          <w:highlight w:val="none"/>
        </w:rPr>
        <w:br w:type="page"/>
      </w:r>
    </w:p>
    <w:p>
      <w:pPr>
        <w:jc w:val="center"/>
        <w:rPr>
          <w:rFonts w:ascii="宋体" w:hAnsi="宋体"/>
          <w:color w:val="auto"/>
          <w:kern w:val="0"/>
          <w:sz w:val="48"/>
          <w:szCs w:val="48"/>
          <w:highlight w:val="none"/>
        </w:rPr>
      </w:pPr>
      <w:r>
        <w:rPr>
          <w:rFonts w:hint="eastAsia" w:ascii="宋体" w:hAnsi="宋体"/>
          <w:color w:val="auto"/>
          <w:kern w:val="0"/>
          <w:sz w:val="48"/>
          <w:szCs w:val="48"/>
          <w:highlight w:val="none"/>
        </w:rPr>
        <w:t>*</w:t>
      </w:r>
      <w:r>
        <w:rPr>
          <w:rFonts w:ascii="宋体" w:hAnsi="宋体"/>
          <w:color w:val="auto"/>
          <w:kern w:val="0"/>
          <w:sz w:val="48"/>
          <w:szCs w:val="48"/>
          <w:highlight w:val="none"/>
        </w:rPr>
        <w:t>*</w:t>
      </w:r>
      <w:r>
        <w:rPr>
          <w:rFonts w:hint="eastAsia" w:ascii="宋体" w:hAnsi="宋体"/>
          <w:color w:val="auto"/>
          <w:kern w:val="0"/>
          <w:sz w:val="48"/>
          <w:szCs w:val="48"/>
          <w:highlight w:val="none"/>
        </w:rPr>
        <w:t>项目比选申请文件</w:t>
      </w:r>
    </w:p>
    <w:p>
      <w:pPr>
        <w:widowControl/>
        <w:jc w:val="center"/>
        <w:outlineLvl w:val="1"/>
        <w:rPr>
          <w:rFonts w:ascii="宋体" w:hAnsi="宋体"/>
          <w:b/>
          <w:color w:val="auto"/>
          <w:sz w:val="48"/>
          <w:szCs w:val="48"/>
          <w:highlight w:val="none"/>
        </w:rPr>
      </w:pPr>
      <w:bookmarkStart w:id="1537" w:name="_Toc10933"/>
      <w:bookmarkStart w:id="1538" w:name="_Toc159931571"/>
      <w:r>
        <w:rPr>
          <w:rFonts w:hint="eastAsia" w:ascii="宋体" w:hAnsi="宋体"/>
          <w:b/>
          <w:color w:val="auto"/>
          <w:sz w:val="48"/>
          <w:szCs w:val="48"/>
          <w:highlight w:val="none"/>
        </w:rPr>
        <w:t>资信文件</w:t>
      </w:r>
      <w:bookmarkEnd w:id="1537"/>
      <w:bookmarkEnd w:id="1538"/>
    </w:p>
    <w:p>
      <w:pPr>
        <w:autoSpaceDE w:val="0"/>
        <w:autoSpaceDN w:val="0"/>
        <w:adjustRightInd w:val="0"/>
        <w:jc w:val="center"/>
        <w:rPr>
          <w:rFonts w:ascii="宋体" w:hAnsi="宋体"/>
          <w:color w:val="auto"/>
          <w:kern w:val="0"/>
          <w:sz w:val="44"/>
          <w:szCs w:val="44"/>
          <w:highlight w:val="none"/>
        </w:rPr>
      </w:pPr>
      <w:r>
        <w:rPr>
          <w:rFonts w:hint="eastAsia" w:ascii="宋体" w:hAnsi="宋体"/>
          <w:color w:val="auto"/>
          <w:kern w:val="0"/>
          <w:sz w:val="44"/>
          <w:szCs w:val="44"/>
          <w:highlight w:val="none"/>
        </w:rPr>
        <w:t>（＊本）</w:t>
      </w:r>
    </w:p>
    <w:p>
      <w:pPr>
        <w:autoSpaceDE w:val="0"/>
        <w:autoSpaceDN w:val="0"/>
        <w:adjustRightInd w:val="0"/>
        <w:ind w:left="0" w:leftChars="0" w:firstLine="0" w:firstLineChars="0"/>
        <w:jc w:val="left"/>
        <w:rPr>
          <w:rFonts w:ascii="楷体_GB2312" w:eastAsia="楷体_GB2312"/>
          <w:color w:val="auto"/>
          <w:kern w:val="0"/>
          <w:sz w:val="24"/>
          <w:highlight w:val="none"/>
        </w:rPr>
      </w:pPr>
    </w:p>
    <w:p>
      <w:pPr>
        <w:autoSpaceDE w:val="0"/>
        <w:autoSpaceDN w:val="0"/>
        <w:adjustRightInd w:val="0"/>
        <w:rPr>
          <w:rFonts w:ascii="楷体_GB2312" w:eastAsia="楷体_GB2312"/>
          <w:color w:val="auto"/>
          <w:kern w:val="0"/>
          <w:sz w:val="24"/>
          <w:highlight w:val="none"/>
        </w:rPr>
      </w:pPr>
    </w:p>
    <w:p>
      <w:pPr>
        <w:autoSpaceDE w:val="0"/>
        <w:autoSpaceDN w:val="0"/>
        <w:adjustRightInd w:val="0"/>
        <w:rPr>
          <w:rFonts w:ascii="楷体_GB2312" w:eastAsia="楷体_GB2312"/>
          <w:color w:val="auto"/>
          <w:kern w:val="0"/>
          <w:sz w:val="24"/>
          <w:highlight w:val="none"/>
        </w:rPr>
      </w:pPr>
    </w:p>
    <w:p>
      <w:pPr>
        <w:autoSpaceDE w:val="0"/>
        <w:autoSpaceDN w:val="0"/>
        <w:adjustRightInd w:val="0"/>
        <w:rPr>
          <w:rFonts w:ascii="宋体" w:hAnsi="宋体"/>
          <w:color w:val="auto"/>
          <w:kern w:val="0"/>
          <w:sz w:val="28"/>
          <w:szCs w:val="28"/>
          <w:highlight w:val="none"/>
        </w:rPr>
      </w:pPr>
      <w:r>
        <w:rPr>
          <w:rFonts w:hint="eastAsia" w:ascii="宋体" w:hAnsi="宋体"/>
          <w:color w:val="auto"/>
          <w:kern w:val="0"/>
          <w:sz w:val="28"/>
          <w:szCs w:val="28"/>
          <w:highlight w:val="none"/>
        </w:rPr>
        <w:t>比选申请人：（加盖单位公章）</w:t>
      </w:r>
    </w:p>
    <w:p>
      <w:pPr>
        <w:autoSpaceDE w:val="0"/>
        <w:autoSpaceDN w:val="0"/>
        <w:adjustRightInd w:val="0"/>
        <w:rPr>
          <w:rFonts w:ascii="宋体" w:hAnsi="宋体"/>
          <w:color w:val="auto"/>
          <w:kern w:val="0"/>
          <w:sz w:val="28"/>
          <w:szCs w:val="28"/>
          <w:highlight w:val="none"/>
        </w:rPr>
      </w:pPr>
      <w:r>
        <w:rPr>
          <w:rFonts w:hint="eastAsia" w:ascii="宋体" w:hAnsi="宋体"/>
          <w:color w:val="auto"/>
          <w:kern w:val="0"/>
          <w:sz w:val="28"/>
          <w:szCs w:val="28"/>
          <w:highlight w:val="none"/>
        </w:rPr>
        <w:t>法定代表人或授权委托代理人：（签字或盖章）</w:t>
      </w:r>
    </w:p>
    <w:p>
      <w:pPr>
        <w:autoSpaceDE w:val="0"/>
        <w:autoSpaceDN w:val="0"/>
        <w:adjustRightInd w:val="0"/>
        <w:rPr>
          <w:rFonts w:ascii="宋体" w:hAnsi="宋体"/>
          <w:color w:val="auto"/>
          <w:kern w:val="0"/>
          <w:sz w:val="28"/>
          <w:szCs w:val="28"/>
          <w:highlight w:val="none"/>
        </w:rPr>
      </w:pPr>
      <w:r>
        <w:rPr>
          <w:rFonts w:hint="eastAsia" w:ascii="宋体" w:hAnsi="宋体"/>
          <w:color w:val="auto"/>
          <w:kern w:val="0"/>
          <w:sz w:val="28"/>
          <w:szCs w:val="28"/>
          <w:highlight w:val="none"/>
        </w:rPr>
        <w:t>电话/传真：</w:t>
      </w:r>
    </w:p>
    <w:p>
      <w:pPr>
        <w:autoSpaceDE w:val="0"/>
        <w:autoSpaceDN w:val="0"/>
        <w:adjustRightInd w:val="0"/>
        <w:rPr>
          <w:rFonts w:ascii="楷体_GB2312" w:eastAsia="楷体_GB2312"/>
          <w:color w:val="auto"/>
          <w:kern w:val="0"/>
          <w:sz w:val="32"/>
          <w:highlight w:val="none"/>
        </w:rPr>
      </w:pPr>
      <w:r>
        <w:rPr>
          <w:rFonts w:hint="eastAsia" w:ascii="宋体" w:hAnsi="宋体"/>
          <w:color w:val="auto"/>
          <w:kern w:val="0"/>
          <w:sz w:val="28"/>
          <w:szCs w:val="28"/>
          <w:highlight w:val="none"/>
        </w:rPr>
        <w:t>地址：</w:t>
      </w:r>
    </w:p>
    <w:p>
      <w:pPr>
        <w:autoSpaceDE w:val="0"/>
        <w:autoSpaceDN w:val="0"/>
        <w:adjustRightInd w:val="0"/>
        <w:jc w:val="center"/>
        <w:rPr>
          <w:rFonts w:ascii="宋体" w:hAnsi="宋体"/>
          <w:color w:val="auto"/>
          <w:kern w:val="0"/>
          <w:sz w:val="28"/>
          <w:szCs w:val="28"/>
          <w:highlight w:val="none"/>
        </w:rPr>
      </w:pPr>
    </w:p>
    <w:p>
      <w:pPr>
        <w:autoSpaceDE w:val="0"/>
        <w:autoSpaceDN w:val="0"/>
        <w:adjustRightInd w:val="0"/>
        <w:jc w:val="center"/>
        <w:rPr>
          <w:rFonts w:ascii="宋体" w:hAnsi="宋体"/>
          <w:color w:val="auto"/>
          <w:kern w:val="0"/>
          <w:sz w:val="28"/>
          <w:szCs w:val="28"/>
          <w:highlight w:val="none"/>
        </w:rPr>
      </w:pPr>
      <w:r>
        <w:rPr>
          <w:rFonts w:hint="eastAsia" w:ascii="宋体" w:hAnsi="宋体"/>
          <w:color w:val="auto"/>
          <w:kern w:val="0"/>
          <w:sz w:val="28"/>
          <w:szCs w:val="28"/>
          <w:highlight w:val="none"/>
        </w:rPr>
        <w:t>年  月  日</w:t>
      </w:r>
    </w:p>
    <w:p>
      <w:pPr>
        <w:rPr>
          <w:rFonts w:hint="eastAsia"/>
          <w:color w:val="auto"/>
          <w:sz w:val="24"/>
          <w:szCs w:val="24"/>
          <w:highlight w:val="none"/>
        </w:rPr>
      </w:pPr>
      <w:r>
        <w:rPr>
          <w:rFonts w:hint="eastAsia"/>
          <w:color w:val="auto"/>
          <w:sz w:val="24"/>
          <w:szCs w:val="24"/>
          <w:highlight w:val="none"/>
        </w:rPr>
        <w:br w:type="page"/>
      </w:r>
    </w:p>
    <w:p>
      <w:pPr>
        <w:spacing w:before="156" w:beforeLines="50" w:after="312" w:afterLines="100"/>
        <w:jc w:val="center"/>
        <w:outlineLvl w:val="2"/>
        <w:rPr>
          <w:rFonts w:ascii="宋体" w:hAnsi="宋体"/>
          <w:color w:val="auto"/>
          <w:kern w:val="0"/>
          <w:sz w:val="28"/>
          <w:szCs w:val="28"/>
          <w:highlight w:val="none"/>
        </w:rPr>
      </w:pPr>
      <w:bookmarkStart w:id="1539" w:name="_Toc10803_WPSOffice_Level2"/>
      <w:bookmarkStart w:id="1540" w:name="_Toc465934663"/>
      <w:bookmarkStart w:id="1541" w:name="_Toc20773_WPSOffice_Level2"/>
      <w:r>
        <w:rPr>
          <w:rFonts w:hint="eastAsia"/>
          <w:b/>
          <w:color w:val="auto"/>
          <w:sz w:val="28"/>
          <w:szCs w:val="30"/>
          <w:highlight w:val="none"/>
        </w:rPr>
        <w:t>目  录</w:t>
      </w:r>
      <w:bookmarkEnd w:id="1539"/>
      <w:bookmarkEnd w:id="1540"/>
      <w:bookmarkEnd w:id="1541"/>
      <w:bookmarkStart w:id="1542" w:name="_Toc465934664"/>
    </w:p>
    <w:bookmarkEnd w:id="1542"/>
    <w:p>
      <w:pPr>
        <w:pStyle w:val="41"/>
        <w:keepNext w:val="0"/>
        <w:keepLines w:val="0"/>
        <w:pageBreakBefore w:val="0"/>
        <w:widowControl/>
        <w:numPr>
          <w:ilvl w:val="0"/>
          <w:numId w:val="9"/>
        </w:numPr>
        <w:kinsoku/>
        <w:wordWrap/>
        <w:overflowPunct/>
        <w:topLinePunct w:val="0"/>
        <w:autoSpaceDE w:val="0"/>
        <w:autoSpaceDN w:val="0"/>
        <w:bidi w:val="0"/>
        <w:adjustRightInd w:val="0"/>
        <w:snapToGrid/>
        <w:spacing w:before="0" w:after="0" w:afterAutospacing="0" w:line="560" w:lineRule="exact"/>
        <w:ind w:left="0" w:leftChars="0" w:right="0" w:rightChars="0" w:firstLine="480" w:firstLineChars="200"/>
        <w:textAlignment w:val="auto"/>
        <w:rPr>
          <w:rFonts w:ascii="宋体" w:hAnsi="宋体"/>
          <w:color w:val="auto"/>
          <w:kern w:val="0"/>
          <w:sz w:val="24"/>
          <w:szCs w:val="24"/>
          <w:highlight w:val="none"/>
        </w:rPr>
      </w:pPr>
      <w:bookmarkStart w:id="1543" w:name="_Toc9694_WPSOffice_Level2"/>
      <w:bookmarkStart w:id="1544" w:name="_Toc465934668"/>
      <w:r>
        <w:rPr>
          <w:rFonts w:hint="eastAsia" w:ascii="宋体" w:hAnsi="宋体"/>
          <w:color w:val="auto"/>
          <w:kern w:val="0"/>
          <w:sz w:val="24"/>
          <w:szCs w:val="24"/>
          <w:highlight w:val="none"/>
        </w:rPr>
        <w:t>类似项目业绩表；</w:t>
      </w:r>
    </w:p>
    <w:p>
      <w:pPr>
        <w:pStyle w:val="41"/>
        <w:keepNext w:val="0"/>
        <w:keepLines w:val="0"/>
        <w:pageBreakBefore w:val="0"/>
        <w:widowControl/>
        <w:numPr>
          <w:ilvl w:val="0"/>
          <w:numId w:val="9"/>
        </w:numPr>
        <w:kinsoku/>
        <w:wordWrap/>
        <w:overflowPunct/>
        <w:topLinePunct w:val="0"/>
        <w:autoSpaceDE w:val="0"/>
        <w:autoSpaceDN w:val="0"/>
        <w:bidi w:val="0"/>
        <w:adjustRightInd w:val="0"/>
        <w:snapToGrid/>
        <w:spacing w:before="0" w:after="0" w:afterAutospacing="0" w:line="560" w:lineRule="exact"/>
        <w:ind w:left="0" w:leftChars="0" w:right="0" w:rightChars="0" w:firstLine="480" w:firstLineChars="200"/>
        <w:textAlignment w:val="auto"/>
        <w:rPr>
          <w:rFonts w:hint="eastAsia" w:ascii="宋体" w:hAnsi="宋体"/>
          <w:color w:val="auto"/>
          <w:kern w:val="0"/>
          <w:sz w:val="24"/>
          <w:szCs w:val="24"/>
          <w:highlight w:val="none"/>
        </w:rPr>
      </w:pPr>
      <w:r>
        <w:rPr>
          <w:rFonts w:hint="eastAsia" w:ascii="宋体" w:hAnsi="宋体"/>
          <w:color w:val="auto"/>
          <w:kern w:val="0"/>
          <w:sz w:val="24"/>
          <w:szCs w:val="24"/>
          <w:highlight w:val="none"/>
          <w:lang w:val="en-US" w:eastAsia="zh-CN"/>
        </w:rPr>
        <w:t>比选申请人2022年度或2023年度审计报告；</w:t>
      </w:r>
      <w:bookmarkEnd w:id="1543"/>
    </w:p>
    <w:bookmarkEnd w:id="1544"/>
    <w:p>
      <w:pPr>
        <w:pStyle w:val="41"/>
        <w:keepNext w:val="0"/>
        <w:keepLines w:val="0"/>
        <w:pageBreakBefore w:val="0"/>
        <w:widowControl/>
        <w:numPr>
          <w:ilvl w:val="0"/>
          <w:numId w:val="9"/>
        </w:numPr>
        <w:kinsoku/>
        <w:wordWrap/>
        <w:overflowPunct/>
        <w:topLinePunct w:val="0"/>
        <w:autoSpaceDE w:val="0"/>
        <w:autoSpaceDN w:val="0"/>
        <w:bidi w:val="0"/>
        <w:adjustRightInd w:val="0"/>
        <w:snapToGrid/>
        <w:spacing w:before="0" w:after="0" w:afterAutospacing="0" w:line="560" w:lineRule="exact"/>
        <w:ind w:left="0" w:leftChars="0" w:right="0" w:rightChars="0" w:firstLine="480" w:firstLineChars="200"/>
        <w:textAlignment w:val="auto"/>
        <w:rPr>
          <w:rFonts w:hint="eastAsia" w:ascii="宋体" w:hAnsi="宋体" w:eastAsia="宋体"/>
          <w:color w:val="auto"/>
          <w:kern w:val="0"/>
          <w:sz w:val="24"/>
          <w:szCs w:val="24"/>
          <w:highlight w:val="none"/>
          <w:lang w:val="en-US" w:eastAsia="zh-CN"/>
        </w:rPr>
      </w:pPr>
      <w:bookmarkStart w:id="1545" w:name="_Toc5723_WPSOffice_Level2"/>
      <w:r>
        <w:rPr>
          <w:rFonts w:hint="eastAsia" w:ascii="宋体" w:hAnsi="宋体" w:eastAsia="宋体"/>
          <w:color w:val="auto"/>
          <w:kern w:val="0"/>
          <w:sz w:val="24"/>
          <w:szCs w:val="24"/>
          <w:highlight w:val="none"/>
          <w:lang w:val="en-US" w:eastAsia="zh-CN"/>
        </w:rPr>
        <w:t>拟投入人员一览表；</w:t>
      </w:r>
    </w:p>
    <w:p>
      <w:pPr>
        <w:pStyle w:val="41"/>
        <w:keepNext w:val="0"/>
        <w:keepLines w:val="0"/>
        <w:pageBreakBefore w:val="0"/>
        <w:widowControl/>
        <w:numPr>
          <w:ilvl w:val="0"/>
          <w:numId w:val="9"/>
        </w:numPr>
        <w:kinsoku/>
        <w:wordWrap/>
        <w:overflowPunct/>
        <w:topLinePunct w:val="0"/>
        <w:autoSpaceDE w:val="0"/>
        <w:autoSpaceDN w:val="0"/>
        <w:bidi w:val="0"/>
        <w:adjustRightInd w:val="0"/>
        <w:snapToGrid/>
        <w:spacing w:before="0" w:after="0" w:afterAutospacing="0" w:line="560" w:lineRule="exact"/>
        <w:ind w:left="0" w:leftChars="0" w:right="0" w:rightChars="0" w:firstLine="480" w:firstLineChars="200"/>
        <w:textAlignment w:val="auto"/>
        <w:rPr>
          <w:rFonts w:hint="eastAsia" w:ascii="宋体" w:hAnsi="宋体" w:eastAsia="宋体"/>
          <w:color w:val="auto"/>
          <w:kern w:val="0"/>
          <w:sz w:val="24"/>
          <w:szCs w:val="24"/>
          <w:highlight w:val="none"/>
          <w:lang w:val="en-US" w:eastAsia="zh-CN"/>
        </w:rPr>
      </w:pPr>
      <w:r>
        <w:rPr>
          <w:rFonts w:hint="eastAsia" w:ascii="宋体" w:hAnsi="宋体" w:eastAsia="宋体"/>
          <w:color w:val="auto"/>
          <w:kern w:val="0"/>
          <w:sz w:val="24"/>
          <w:szCs w:val="24"/>
          <w:highlight w:val="none"/>
          <w:lang w:val="en-US" w:eastAsia="zh-CN"/>
        </w:rPr>
        <w:t>企业证书。</w:t>
      </w:r>
    </w:p>
    <w:bookmarkEnd w:id="1545"/>
    <w:p>
      <w:pPr>
        <w:pStyle w:val="41"/>
        <w:keepNext w:val="0"/>
        <w:keepLines w:val="0"/>
        <w:pageBreakBefore w:val="0"/>
        <w:widowControl/>
        <w:kinsoku/>
        <w:wordWrap/>
        <w:overflowPunct/>
        <w:topLinePunct w:val="0"/>
        <w:autoSpaceDE w:val="0"/>
        <w:autoSpaceDN w:val="0"/>
        <w:bidi w:val="0"/>
        <w:adjustRightInd w:val="0"/>
        <w:snapToGrid/>
        <w:spacing w:before="0" w:after="0" w:afterAutospacing="0" w:line="560" w:lineRule="exact"/>
        <w:ind w:left="0" w:leftChars="0" w:right="0" w:firstLine="0" w:firstLineChars="0"/>
        <w:textAlignment w:val="auto"/>
        <w:rPr>
          <w:rFonts w:ascii="宋体" w:hAnsi="宋体"/>
          <w:color w:val="auto"/>
          <w:kern w:val="0"/>
          <w:sz w:val="24"/>
          <w:szCs w:val="24"/>
          <w:highlight w:val="none"/>
        </w:rPr>
      </w:pPr>
    </w:p>
    <w:p>
      <w:pPr>
        <w:keepNext w:val="0"/>
        <w:keepLines w:val="0"/>
        <w:pageBreakBefore w:val="0"/>
        <w:widowControl/>
        <w:kinsoku/>
        <w:wordWrap/>
        <w:overflowPunct/>
        <w:topLinePunct w:val="0"/>
        <w:bidi w:val="0"/>
        <w:snapToGrid/>
        <w:spacing w:before="0" w:after="0" w:afterAutospacing="0"/>
        <w:ind w:left="0" w:right="0" w:firstLine="480" w:firstLineChars="200"/>
        <w:jc w:val="left"/>
        <w:textAlignment w:val="auto"/>
        <w:rPr>
          <w:rFonts w:ascii="宋体" w:hAnsi="宋体"/>
          <w:color w:val="auto"/>
          <w:kern w:val="0"/>
          <w:sz w:val="24"/>
          <w:szCs w:val="24"/>
          <w:highlight w:val="none"/>
        </w:rPr>
      </w:pPr>
      <w:r>
        <w:rPr>
          <w:rFonts w:hint="eastAsia" w:ascii="宋体" w:hAnsi="宋体"/>
          <w:color w:val="auto"/>
          <w:kern w:val="0"/>
          <w:sz w:val="24"/>
          <w:szCs w:val="24"/>
          <w:highlight w:val="none"/>
        </w:rPr>
        <w:t>备注：以上材料</w:t>
      </w:r>
      <w:r>
        <w:rPr>
          <w:rFonts w:hint="eastAsia" w:ascii="宋体" w:hAnsi="宋体"/>
          <w:color w:val="auto"/>
          <w:kern w:val="0"/>
          <w:sz w:val="24"/>
          <w:szCs w:val="24"/>
          <w:highlight w:val="none"/>
          <w:lang w:val="en-US" w:eastAsia="zh-CN"/>
        </w:rPr>
        <w:t>要求详见资信文件评分表，</w:t>
      </w:r>
      <w:r>
        <w:rPr>
          <w:rFonts w:hint="eastAsia" w:ascii="宋体" w:hAnsi="宋体"/>
          <w:color w:val="auto"/>
          <w:kern w:val="0"/>
          <w:sz w:val="24"/>
          <w:szCs w:val="24"/>
          <w:highlight w:val="none"/>
        </w:rPr>
        <w:t>均需加盖单位公章，并按照目录顺序编排，标注页码。</w:t>
      </w:r>
    </w:p>
    <w:p>
      <w:pPr>
        <w:keepNext w:val="0"/>
        <w:keepLines w:val="0"/>
        <w:pageBreakBefore w:val="0"/>
        <w:widowControl/>
        <w:kinsoku/>
        <w:wordWrap/>
        <w:overflowPunct/>
        <w:topLinePunct w:val="0"/>
        <w:bidi w:val="0"/>
        <w:snapToGrid/>
        <w:spacing w:before="0" w:after="0" w:afterAutospacing="0"/>
        <w:ind w:left="0" w:right="0" w:firstLine="480" w:firstLineChars="200"/>
        <w:textAlignment w:val="auto"/>
        <w:rPr>
          <w:rFonts w:hint="eastAsia"/>
          <w:color w:val="auto"/>
          <w:sz w:val="24"/>
          <w:szCs w:val="24"/>
          <w:highlight w:val="none"/>
        </w:rPr>
      </w:pPr>
      <w:r>
        <w:rPr>
          <w:rFonts w:hint="eastAsia"/>
          <w:color w:val="auto"/>
          <w:sz w:val="24"/>
          <w:szCs w:val="24"/>
          <w:highlight w:val="none"/>
        </w:rPr>
        <w:br w:type="page"/>
      </w:r>
    </w:p>
    <w:p>
      <w:pPr>
        <w:pStyle w:val="41"/>
        <w:keepNext w:val="0"/>
        <w:keepLines w:val="0"/>
        <w:pageBreakBefore w:val="0"/>
        <w:widowControl/>
        <w:kinsoku/>
        <w:wordWrap/>
        <w:overflowPunct/>
        <w:topLinePunct w:val="0"/>
        <w:bidi w:val="0"/>
        <w:snapToGrid/>
        <w:spacing w:before="0" w:after="312" w:afterLines="100"/>
        <w:ind w:left="0" w:leftChars="0" w:right="0" w:rightChars="0" w:firstLine="0" w:firstLineChars="0"/>
        <w:textAlignment w:val="auto"/>
        <w:outlineLvl w:val="2"/>
        <w:rPr>
          <w:rFonts w:hint="default" w:eastAsia="宋体"/>
          <w:b/>
          <w:color w:val="auto"/>
          <w:sz w:val="28"/>
          <w:szCs w:val="22"/>
          <w:highlight w:val="none"/>
          <w:lang w:val="en-US" w:eastAsia="zh-CN"/>
        </w:rPr>
      </w:pPr>
      <w:bookmarkStart w:id="1546" w:name="_Toc25382"/>
      <w:bookmarkStart w:id="1547" w:name="_Toc6881"/>
      <w:bookmarkStart w:id="1548" w:name="_Toc9604"/>
      <w:bookmarkStart w:id="1549" w:name="_Toc10356"/>
      <w:bookmarkStart w:id="1550" w:name="_Toc32624"/>
      <w:bookmarkStart w:id="1551" w:name="_Toc7527"/>
      <w:bookmarkStart w:id="1552" w:name="_Toc19216"/>
      <w:bookmarkStart w:id="1553" w:name="_Toc24439"/>
      <w:r>
        <w:rPr>
          <w:rFonts w:hint="eastAsia"/>
          <w:b/>
          <w:color w:val="auto"/>
          <w:sz w:val="28"/>
          <w:szCs w:val="22"/>
          <w:highlight w:val="none"/>
        </w:rPr>
        <w:t>1.</w:t>
      </w:r>
      <w:bookmarkEnd w:id="1546"/>
      <w:bookmarkEnd w:id="1547"/>
      <w:bookmarkEnd w:id="1548"/>
      <w:bookmarkEnd w:id="1549"/>
      <w:bookmarkEnd w:id="1550"/>
      <w:bookmarkEnd w:id="1551"/>
      <w:bookmarkEnd w:id="1552"/>
      <w:bookmarkEnd w:id="1553"/>
      <w:r>
        <w:rPr>
          <w:rFonts w:hint="eastAsia"/>
          <w:b/>
          <w:color w:val="auto"/>
          <w:sz w:val="28"/>
          <w:szCs w:val="22"/>
          <w:highlight w:val="none"/>
          <w:lang w:val="en-US" w:eastAsia="zh-CN"/>
        </w:rPr>
        <w:t>类似项目业绩表</w:t>
      </w:r>
    </w:p>
    <w:p>
      <w:pPr>
        <w:pStyle w:val="41"/>
        <w:keepNext w:val="0"/>
        <w:keepLines w:val="0"/>
        <w:pageBreakBefore w:val="0"/>
        <w:widowControl/>
        <w:kinsoku/>
        <w:wordWrap/>
        <w:overflowPunct/>
        <w:topLinePunct w:val="0"/>
        <w:bidi w:val="0"/>
        <w:snapToGrid/>
        <w:spacing w:before="0" w:after="312" w:afterLines="100"/>
        <w:ind w:left="0" w:leftChars="0" w:right="0" w:rightChars="0" w:firstLine="0" w:firstLineChars="0"/>
        <w:jc w:val="center"/>
        <w:textAlignment w:val="auto"/>
        <w:outlineLvl w:val="2"/>
        <w:rPr>
          <w:rFonts w:hint="eastAsia" w:eastAsia="宋体"/>
          <w:b/>
          <w:color w:val="auto"/>
          <w:sz w:val="28"/>
          <w:highlight w:val="none"/>
          <w:lang w:val="en-US" w:eastAsia="zh-CN"/>
        </w:rPr>
      </w:pPr>
      <w:r>
        <w:rPr>
          <w:rFonts w:hint="eastAsia"/>
          <w:b/>
          <w:color w:val="auto"/>
          <w:sz w:val="28"/>
          <w:highlight w:val="none"/>
          <w:lang w:val="en-US" w:eastAsia="zh-CN"/>
        </w:rPr>
        <w:t>类似项目</w:t>
      </w:r>
      <w:r>
        <w:rPr>
          <w:rFonts w:hint="eastAsia"/>
          <w:b/>
          <w:color w:val="auto"/>
          <w:sz w:val="28"/>
          <w:highlight w:val="none"/>
        </w:rPr>
        <w:t>业绩</w:t>
      </w:r>
      <w:r>
        <w:rPr>
          <w:rFonts w:hint="eastAsia"/>
          <w:b/>
          <w:color w:val="auto"/>
          <w:sz w:val="28"/>
          <w:highlight w:val="none"/>
          <w:lang w:val="en-US" w:eastAsia="zh-CN"/>
        </w:rPr>
        <w:t>表</w:t>
      </w:r>
    </w:p>
    <w:tbl>
      <w:tblPr>
        <w:tblStyle w:val="33"/>
        <w:tblW w:w="9058" w:type="dxa"/>
        <w:jc w:val="center"/>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717"/>
        <w:gridCol w:w="1092"/>
        <w:gridCol w:w="1789"/>
        <w:gridCol w:w="992"/>
        <w:gridCol w:w="993"/>
        <w:gridCol w:w="1388"/>
        <w:gridCol w:w="1044"/>
        <w:gridCol w:w="1043"/>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40" w:hRule="atLeast"/>
          <w:jc w:val="center"/>
        </w:trPr>
        <w:tc>
          <w:tcPr>
            <w:tcW w:w="717" w:type="dxa"/>
            <w:tcBorders>
              <w:top w:val="double" w:color="auto" w:sz="2"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序号</w:t>
            </w:r>
          </w:p>
        </w:tc>
        <w:tc>
          <w:tcPr>
            <w:tcW w:w="1092"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项目名称</w:t>
            </w:r>
          </w:p>
        </w:tc>
        <w:tc>
          <w:tcPr>
            <w:tcW w:w="1789"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合同内容（简述）</w:t>
            </w:r>
          </w:p>
        </w:tc>
        <w:tc>
          <w:tcPr>
            <w:tcW w:w="992"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合同</w:t>
            </w:r>
            <w:r>
              <w:rPr>
                <w:rFonts w:hint="eastAsia" w:ascii="宋体" w:hAnsi="宋体" w:eastAsia="宋体" w:cs="Times New Roman"/>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金额</w:t>
            </w:r>
          </w:p>
        </w:tc>
        <w:tc>
          <w:tcPr>
            <w:tcW w:w="993"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签订</w:t>
            </w:r>
            <w:r>
              <w:rPr>
                <w:rFonts w:hint="eastAsia" w:ascii="宋体" w:hAnsi="宋体" w:eastAsia="宋体" w:cs="Times New Roman"/>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时间</w:t>
            </w:r>
          </w:p>
        </w:tc>
        <w:tc>
          <w:tcPr>
            <w:tcW w:w="1388"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服务时间</w:t>
            </w:r>
          </w:p>
        </w:tc>
        <w:tc>
          <w:tcPr>
            <w:tcW w:w="1044"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业主单位</w:t>
            </w:r>
          </w:p>
        </w:tc>
        <w:tc>
          <w:tcPr>
            <w:tcW w:w="1043" w:type="dxa"/>
            <w:tcBorders>
              <w:top w:val="double" w:color="auto" w:sz="2"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联系电话</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4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717"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82" w:hRule="atLeast"/>
          <w:jc w:val="center"/>
        </w:trPr>
        <w:tc>
          <w:tcPr>
            <w:tcW w:w="717" w:type="dxa"/>
            <w:tcBorders>
              <w:top w:val="single" w:color="000000" w:sz="6" w:space="0"/>
              <w:left w:val="double" w:color="000000" w:sz="2"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double" w:color="000000" w:sz="2"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double" w:color="000000" w:sz="2"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bl>
    <w:p>
      <w:pPr>
        <w:pStyle w:val="41"/>
        <w:keepNext w:val="0"/>
        <w:keepLines w:val="0"/>
        <w:pageBreakBefore w:val="0"/>
        <w:widowControl/>
        <w:kinsoku/>
        <w:wordWrap/>
        <w:overflowPunct/>
        <w:topLinePunct w:val="0"/>
        <w:bidi w:val="0"/>
        <w:snapToGrid/>
        <w:spacing w:before="0" w:after="312" w:afterLines="100"/>
        <w:ind w:left="0" w:leftChars="0" w:right="0" w:rightChars="0" w:firstLine="0" w:firstLineChars="0"/>
        <w:jc w:val="left"/>
        <w:textAlignment w:val="auto"/>
        <w:rPr>
          <w:b/>
          <w:color w:val="auto"/>
          <w:sz w:val="28"/>
          <w:highlight w:val="none"/>
        </w:rPr>
      </w:pPr>
    </w:p>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leftChars="0" w:right="0" w:rightChars="0"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rPr>
        <w:t>注：</w:t>
      </w:r>
    </w:p>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leftChars="0" w:right="0" w:rightChars="0"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rPr>
        <w:t>1.类似项目业绩。</w:t>
      </w:r>
    </w:p>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leftChars="0" w:right="0" w:rightChars="0"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rPr>
        <w:t>2.项目按照时间顺序排列，时间以合同签订时间为准。</w:t>
      </w:r>
    </w:p>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leftChars="0" w:right="0" w:rightChars="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3.业绩证明文件：项目合同文件（复印件加盖比选申请人公章），证明文件中须体现出合同双方、合同签订时间、合同金额（单价或合价，能统计出相应合同总价的均认可。）、反映业绩特征的内容等，否则视为无效证明文件。</w:t>
      </w:r>
    </w:p>
    <w:p>
      <w:pPr>
        <w:pStyle w:val="2"/>
        <w:keepNext w:val="0"/>
        <w:keepLines w:val="0"/>
        <w:pageBreakBefore w:val="0"/>
        <w:widowControl/>
        <w:kinsoku/>
        <w:wordWrap/>
        <w:overflowPunct/>
        <w:topLinePunct w:val="0"/>
        <w:bidi w:val="0"/>
        <w:snapToGrid/>
        <w:spacing w:before="0"/>
        <w:ind w:left="0" w:leftChars="0" w:right="0" w:rightChars="0" w:firstLine="0" w:firstLineChars="0"/>
        <w:textAlignment w:val="auto"/>
        <w:rPr>
          <w:color w:val="auto"/>
          <w:highlight w:val="none"/>
        </w:rPr>
      </w:pPr>
    </w:p>
    <w:p>
      <w:pPr>
        <w:keepNext w:val="0"/>
        <w:keepLines w:val="0"/>
        <w:pageBreakBefore w:val="0"/>
        <w:widowControl/>
        <w:kinsoku/>
        <w:wordWrap/>
        <w:overflowPunct/>
        <w:topLinePunct w:val="0"/>
        <w:bidi w:val="0"/>
        <w:snapToGrid/>
        <w:spacing w:before="0" w:line="360" w:lineRule="auto"/>
        <w:ind w:left="0" w:leftChars="0" w:right="0" w:rightChars="0" w:firstLine="0" w:firstLineChars="0"/>
        <w:textAlignment w:val="auto"/>
        <w:rPr>
          <w:rFonts w:eastAsia="Times New Roman"/>
          <w:color w:val="auto"/>
          <w:kern w:val="0"/>
          <w:sz w:val="24"/>
          <w:highlight w:val="none"/>
        </w:rPr>
      </w:pPr>
      <w:r>
        <w:rPr>
          <w:rFonts w:hint="eastAsia" w:cs="宋体"/>
          <w:color w:val="auto"/>
          <w:highlight w:val="none"/>
          <w:lang w:bidi="ar"/>
        </w:rPr>
        <w:t>比选申请人：（公章）</w:t>
      </w:r>
      <w:r>
        <w:rPr>
          <w:color w:val="auto"/>
          <w:highlight w:val="none"/>
          <w:lang w:bidi="ar"/>
        </w:rPr>
        <w:t xml:space="preserve"> </w:t>
      </w:r>
    </w:p>
    <w:p>
      <w:pPr>
        <w:keepNext w:val="0"/>
        <w:keepLines w:val="0"/>
        <w:pageBreakBefore w:val="0"/>
        <w:widowControl/>
        <w:kinsoku/>
        <w:wordWrap/>
        <w:overflowPunct/>
        <w:topLinePunct w:val="0"/>
        <w:bidi w:val="0"/>
        <w:snapToGrid/>
        <w:spacing w:before="0" w:line="360" w:lineRule="auto"/>
        <w:ind w:left="0" w:leftChars="0" w:right="0" w:rightChars="0" w:firstLine="0" w:firstLineChars="0"/>
        <w:textAlignment w:val="auto"/>
        <w:rPr>
          <w:rFonts w:eastAsia="Times New Roman"/>
          <w:color w:val="auto"/>
          <w:kern w:val="0"/>
          <w:sz w:val="24"/>
          <w:highlight w:val="none"/>
        </w:rPr>
      </w:pPr>
      <w:r>
        <w:rPr>
          <w:rFonts w:hint="eastAsia" w:cs="宋体"/>
          <w:color w:val="auto"/>
          <w:highlight w:val="none"/>
          <w:lang w:bidi="ar"/>
        </w:rPr>
        <w:t>法定代表人或其委托代理人：（签字或盖章）</w:t>
      </w:r>
    </w:p>
    <w:p>
      <w:pPr>
        <w:keepNext w:val="0"/>
        <w:keepLines w:val="0"/>
        <w:pageBreakBefore w:val="0"/>
        <w:widowControl/>
        <w:kinsoku/>
        <w:wordWrap/>
        <w:overflowPunct/>
        <w:topLinePunct w:val="0"/>
        <w:bidi w:val="0"/>
        <w:snapToGrid/>
        <w:spacing w:before="0"/>
        <w:ind w:left="0" w:leftChars="0" w:right="0" w:rightChars="0" w:firstLine="0" w:firstLineChars="0"/>
        <w:textAlignment w:val="auto"/>
        <w:rPr>
          <w:rFonts w:hint="eastAsia"/>
          <w:color w:val="auto"/>
          <w:sz w:val="24"/>
          <w:szCs w:val="24"/>
          <w:highlight w:val="none"/>
        </w:rPr>
      </w:pPr>
      <w:r>
        <w:rPr>
          <w:rFonts w:hint="eastAsia" w:cs="宋体"/>
          <w:color w:val="auto"/>
          <w:highlight w:val="none"/>
          <w:lang w:bidi="ar"/>
        </w:rPr>
        <w:t>日</w:t>
      </w:r>
      <w:r>
        <w:rPr>
          <w:color w:val="auto"/>
          <w:highlight w:val="none"/>
          <w:lang w:bidi="ar"/>
        </w:rPr>
        <w:t xml:space="preserve">    </w:t>
      </w:r>
      <w:r>
        <w:rPr>
          <w:rFonts w:hint="eastAsia" w:cs="宋体"/>
          <w:color w:val="auto"/>
          <w:highlight w:val="none"/>
          <w:lang w:bidi="ar"/>
        </w:rPr>
        <w:t>期：</w:t>
      </w:r>
      <w:r>
        <w:rPr>
          <w:rFonts w:hint="eastAsia"/>
          <w:color w:val="auto"/>
          <w:sz w:val="24"/>
          <w:szCs w:val="24"/>
          <w:highlight w:val="none"/>
        </w:rPr>
        <w:br w:type="page"/>
      </w:r>
    </w:p>
    <w:p>
      <w:pPr>
        <w:pStyle w:val="41"/>
        <w:keepNext w:val="0"/>
        <w:keepLines w:val="0"/>
        <w:pageBreakBefore w:val="0"/>
        <w:widowControl/>
        <w:kinsoku/>
        <w:wordWrap/>
        <w:overflowPunct/>
        <w:topLinePunct w:val="0"/>
        <w:bidi w:val="0"/>
        <w:snapToGrid/>
        <w:spacing w:before="0" w:after="312" w:afterLines="100"/>
        <w:ind w:left="0" w:leftChars="0" w:right="0" w:rightChars="0" w:firstLine="0" w:firstLineChars="0"/>
        <w:textAlignment w:val="auto"/>
        <w:outlineLvl w:val="2"/>
        <w:rPr>
          <w:rFonts w:hint="eastAsia"/>
          <w:b/>
          <w:bCs/>
          <w:color w:val="auto"/>
          <w:sz w:val="28"/>
          <w:szCs w:val="22"/>
          <w:highlight w:val="none"/>
          <w:lang w:val="en-US" w:eastAsia="zh-CN"/>
        </w:rPr>
      </w:pPr>
      <w:r>
        <w:rPr>
          <w:rFonts w:hint="eastAsia"/>
          <w:b/>
          <w:bCs/>
          <w:color w:val="auto"/>
          <w:sz w:val="28"/>
          <w:szCs w:val="28"/>
          <w:highlight w:val="none"/>
          <w:lang w:val="en-US" w:eastAsia="zh-CN"/>
        </w:rPr>
        <w:t>2.</w:t>
      </w:r>
      <w:r>
        <w:rPr>
          <w:rFonts w:hint="eastAsia"/>
          <w:b/>
          <w:bCs/>
          <w:color w:val="auto"/>
          <w:sz w:val="28"/>
          <w:szCs w:val="22"/>
          <w:highlight w:val="none"/>
          <w:lang w:val="en-US" w:eastAsia="zh-CN"/>
        </w:rPr>
        <w:t>比选申请人2022年度或2023年度审计报告</w:t>
      </w:r>
    </w:p>
    <w:p>
      <w:pPr>
        <w:rPr>
          <w:rFonts w:hint="eastAsia"/>
          <w:b/>
          <w:bCs/>
          <w:color w:val="auto"/>
          <w:sz w:val="28"/>
          <w:szCs w:val="22"/>
          <w:highlight w:val="none"/>
          <w:lang w:val="en-US" w:eastAsia="zh-CN"/>
        </w:rPr>
      </w:pPr>
      <w:r>
        <w:rPr>
          <w:rFonts w:hint="eastAsia"/>
          <w:b/>
          <w:bCs/>
          <w:color w:val="auto"/>
          <w:sz w:val="28"/>
          <w:szCs w:val="22"/>
          <w:highlight w:val="none"/>
          <w:lang w:val="en-US" w:eastAsia="zh-CN"/>
        </w:rPr>
        <w:br w:type="page"/>
      </w:r>
    </w:p>
    <w:p>
      <w:pPr>
        <w:pStyle w:val="41"/>
        <w:keepNext w:val="0"/>
        <w:keepLines w:val="0"/>
        <w:pageBreakBefore w:val="0"/>
        <w:widowControl/>
        <w:numPr>
          <w:ilvl w:val="0"/>
          <w:numId w:val="0"/>
        </w:numPr>
        <w:kinsoku/>
        <w:wordWrap/>
        <w:overflowPunct/>
        <w:topLinePunct w:val="0"/>
        <w:bidi w:val="0"/>
        <w:snapToGrid/>
        <w:spacing w:before="0" w:after="312" w:afterLines="100"/>
        <w:ind w:leftChars="0" w:right="0" w:rightChars="0"/>
        <w:textAlignment w:val="auto"/>
        <w:outlineLvl w:val="2"/>
        <w:rPr>
          <w:rFonts w:hint="eastAsia"/>
          <w:b/>
          <w:bCs/>
          <w:color w:val="auto"/>
          <w:sz w:val="28"/>
          <w:szCs w:val="22"/>
          <w:highlight w:val="none"/>
          <w:lang w:val="en-US" w:eastAsia="zh-CN"/>
        </w:rPr>
      </w:pPr>
      <w:r>
        <w:rPr>
          <w:rFonts w:hint="eastAsia"/>
          <w:b/>
          <w:bCs/>
          <w:color w:val="auto"/>
          <w:sz w:val="28"/>
          <w:szCs w:val="22"/>
          <w:highlight w:val="none"/>
          <w:lang w:val="en-US" w:eastAsia="zh-CN"/>
        </w:rPr>
        <w:t>3.拟投入人员一览表</w:t>
      </w:r>
    </w:p>
    <w:p>
      <w:pPr>
        <w:pStyle w:val="41"/>
        <w:numPr>
          <w:ilvl w:val="0"/>
          <w:numId w:val="0"/>
        </w:numPr>
        <w:spacing w:before="156" w:beforeLines="50" w:after="312" w:afterLines="100"/>
        <w:ind w:left="3360" w:leftChars="0" w:right="-27" w:rightChars="0"/>
        <w:jc w:val="both"/>
        <w:outlineLvl w:val="2"/>
        <w:rPr>
          <w:b/>
          <w:color w:val="auto"/>
          <w:sz w:val="28"/>
          <w:highlight w:val="none"/>
        </w:rPr>
      </w:pPr>
      <w:bookmarkStart w:id="1554" w:name="_Toc30796"/>
      <w:bookmarkStart w:id="1555" w:name="_Toc5471"/>
      <w:bookmarkStart w:id="1556" w:name="_Toc28309"/>
      <w:bookmarkStart w:id="1557" w:name="_Toc14814_WPSOffice_Level2"/>
      <w:bookmarkStart w:id="1558" w:name="_Toc15793_WPSOffice_Level2"/>
      <w:bookmarkStart w:id="1559" w:name="_Toc21426"/>
      <w:bookmarkStart w:id="1560" w:name="_Toc24135"/>
      <w:bookmarkStart w:id="1561" w:name="_Toc27864"/>
      <w:bookmarkStart w:id="1562" w:name="_Toc14359"/>
      <w:r>
        <w:rPr>
          <w:rFonts w:hint="eastAsia"/>
          <w:b/>
          <w:color w:val="auto"/>
          <w:sz w:val="28"/>
          <w:highlight w:val="none"/>
        </w:rPr>
        <w:t>拟投入人员一览表</w:t>
      </w:r>
      <w:bookmarkEnd w:id="1554"/>
      <w:bookmarkEnd w:id="1555"/>
      <w:bookmarkEnd w:id="1556"/>
      <w:bookmarkEnd w:id="1557"/>
      <w:bookmarkEnd w:id="1558"/>
      <w:bookmarkEnd w:id="1559"/>
      <w:bookmarkEnd w:id="1560"/>
      <w:bookmarkEnd w:id="1561"/>
      <w:bookmarkEnd w:id="1562"/>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1054"/>
        <w:gridCol w:w="1033"/>
        <w:gridCol w:w="879"/>
        <w:gridCol w:w="1033"/>
        <w:gridCol w:w="1028"/>
        <w:gridCol w:w="1070"/>
        <w:gridCol w:w="1489"/>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Arial" w:hAnsi="Arial"/>
                <w:color w:val="auto"/>
                <w:szCs w:val="21"/>
                <w:highlight w:val="none"/>
              </w:rPr>
            </w:pPr>
            <w:r>
              <w:rPr>
                <w:rFonts w:hint="eastAsia" w:ascii="Arial" w:hAnsi="Arial"/>
                <w:color w:val="auto"/>
                <w:szCs w:val="21"/>
                <w:highlight w:val="none"/>
              </w:rPr>
              <w:t>序号</w:t>
            </w:r>
          </w:p>
        </w:tc>
        <w:tc>
          <w:tcPr>
            <w:tcW w:w="567"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Arial" w:hAnsi="Arial"/>
                <w:color w:val="auto"/>
                <w:szCs w:val="21"/>
                <w:highlight w:val="none"/>
              </w:rPr>
            </w:pPr>
            <w:r>
              <w:rPr>
                <w:rFonts w:hint="eastAsia" w:ascii="Arial" w:hAnsi="Arial"/>
                <w:color w:val="auto"/>
                <w:szCs w:val="21"/>
                <w:highlight w:val="none"/>
              </w:rPr>
              <w:t>姓名</w:t>
            </w:r>
          </w:p>
        </w:tc>
        <w:tc>
          <w:tcPr>
            <w:tcW w:w="556"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Arial" w:hAnsi="Arial"/>
                <w:color w:val="auto"/>
                <w:szCs w:val="21"/>
                <w:highlight w:val="none"/>
              </w:rPr>
            </w:pPr>
            <w:r>
              <w:rPr>
                <w:rFonts w:hint="eastAsia" w:ascii="Arial" w:hAnsi="Arial"/>
                <w:color w:val="auto"/>
                <w:szCs w:val="21"/>
                <w:highlight w:val="none"/>
              </w:rPr>
              <w:t>性别</w:t>
            </w:r>
          </w:p>
        </w:tc>
        <w:tc>
          <w:tcPr>
            <w:tcW w:w="473"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Arial" w:hAnsi="Arial"/>
                <w:color w:val="auto"/>
                <w:szCs w:val="21"/>
                <w:highlight w:val="none"/>
              </w:rPr>
            </w:pPr>
            <w:r>
              <w:rPr>
                <w:rFonts w:hint="eastAsia" w:ascii="Arial" w:hAnsi="Arial"/>
                <w:color w:val="auto"/>
                <w:szCs w:val="21"/>
                <w:highlight w:val="none"/>
              </w:rPr>
              <w:t>学历</w:t>
            </w:r>
          </w:p>
        </w:tc>
        <w:tc>
          <w:tcPr>
            <w:tcW w:w="556"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Arial" w:hAnsi="Arial"/>
                <w:color w:val="auto"/>
                <w:szCs w:val="21"/>
                <w:highlight w:val="none"/>
              </w:rPr>
            </w:pPr>
            <w:r>
              <w:rPr>
                <w:rFonts w:hint="eastAsia" w:ascii="Arial" w:hAnsi="Arial"/>
                <w:color w:val="auto"/>
                <w:szCs w:val="21"/>
                <w:highlight w:val="none"/>
              </w:rPr>
              <w:t>参加工作时间</w:t>
            </w:r>
          </w:p>
        </w:tc>
        <w:tc>
          <w:tcPr>
            <w:tcW w:w="553"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Arial" w:hAnsi="Arial"/>
                <w:color w:val="auto"/>
                <w:szCs w:val="21"/>
                <w:highlight w:val="none"/>
              </w:rPr>
            </w:pPr>
            <w:r>
              <w:rPr>
                <w:rFonts w:hint="eastAsia" w:ascii="Arial" w:hAnsi="Arial"/>
                <w:bCs/>
                <w:color w:val="auto"/>
                <w:szCs w:val="21"/>
                <w:highlight w:val="none"/>
              </w:rPr>
              <w:t>工种/专业</w:t>
            </w:r>
          </w:p>
        </w:tc>
        <w:tc>
          <w:tcPr>
            <w:tcW w:w="576"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Arial" w:hAnsi="Arial"/>
                <w:color w:val="auto"/>
                <w:szCs w:val="21"/>
                <w:highlight w:val="none"/>
              </w:rPr>
            </w:pPr>
            <w:r>
              <w:rPr>
                <w:rFonts w:hint="eastAsia" w:ascii="Arial" w:hAnsi="Arial"/>
                <w:color w:val="auto"/>
                <w:szCs w:val="21"/>
                <w:highlight w:val="none"/>
              </w:rPr>
              <w:t>技术等级</w:t>
            </w:r>
          </w:p>
        </w:tc>
        <w:tc>
          <w:tcPr>
            <w:tcW w:w="801"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Arial" w:hAnsi="Arial"/>
                <w:color w:val="auto"/>
                <w:szCs w:val="21"/>
                <w:highlight w:val="none"/>
              </w:rPr>
            </w:pPr>
            <w:r>
              <w:rPr>
                <w:rFonts w:hint="eastAsia" w:ascii="Arial" w:hAnsi="Arial"/>
                <w:color w:val="auto"/>
                <w:szCs w:val="21"/>
                <w:highlight w:val="none"/>
              </w:rPr>
              <w:t>相关资质证书</w:t>
            </w:r>
          </w:p>
        </w:tc>
        <w:tc>
          <w:tcPr>
            <w:tcW w:w="410"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Arial" w:hAnsi="Arial" w:eastAsia="宋体"/>
                <w:color w:val="auto"/>
                <w:szCs w:val="21"/>
                <w:highlight w:val="none"/>
                <w:lang w:eastAsia="zh-CN"/>
              </w:rPr>
            </w:pPr>
            <w:r>
              <w:rPr>
                <w:rFonts w:hint="eastAsia" w:ascii="Arial" w:hAnsi="Arial"/>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67"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7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7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801"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10" w:type="pct"/>
          </w:tcPr>
          <w:p>
            <w:pPr>
              <w:keepNext w:val="0"/>
              <w:keepLines w:val="0"/>
              <w:widowControl/>
              <w:suppressLineNumbers w:val="0"/>
              <w:spacing w:beforeAutospacing="0" w:line="360" w:lineRule="auto"/>
              <w:rPr>
                <w:rFonts w:hint="default" w:ascii="Arial" w:hAnsi="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67"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7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7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801"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10" w:type="pct"/>
          </w:tcPr>
          <w:p>
            <w:pPr>
              <w:keepNext w:val="0"/>
              <w:keepLines w:val="0"/>
              <w:widowControl/>
              <w:suppressLineNumbers w:val="0"/>
              <w:spacing w:beforeAutospacing="0" w:line="360" w:lineRule="auto"/>
              <w:rPr>
                <w:rFonts w:hint="default" w:ascii="Arial" w:hAnsi="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67"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7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7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801"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10" w:type="pct"/>
          </w:tcPr>
          <w:p>
            <w:pPr>
              <w:keepNext w:val="0"/>
              <w:keepLines w:val="0"/>
              <w:widowControl/>
              <w:suppressLineNumbers w:val="0"/>
              <w:spacing w:beforeAutospacing="0" w:line="360" w:lineRule="auto"/>
              <w:rPr>
                <w:rFonts w:hint="default" w:ascii="Arial" w:hAnsi="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67"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7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7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801"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10" w:type="pct"/>
          </w:tcPr>
          <w:p>
            <w:pPr>
              <w:keepNext w:val="0"/>
              <w:keepLines w:val="0"/>
              <w:widowControl/>
              <w:suppressLineNumbers w:val="0"/>
              <w:spacing w:beforeAutospacing="0" w:line="360" w:lineRule="auto"/>
              <w:rPr>
                <w:rFonts w:hint="default" w:ascii="Arial" w:hAnsi="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67"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7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7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801"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10" w:type="pct"/>
          </w:tcPr>
          <w:p>
            <w:pPr>
              <w:keepNext w:val="0"/>
              <w:keepLines w:val="0"/>
              <w:widowControl/>
              <w:suppressLineNumbers w:val="0"/>
              <w:spacing w:beforeAutospacing="0" w:line="360" w:lineRule="auto"/>
              <w:rPr>
                <w:rFonts w:hint="default" w:ascii="Arial" w:hAnsi="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67"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7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53"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576"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801" w:type="pct"/>
          </w:tcPr>
          <w:p>
            <w:pPr>
              <w:keepNext w:val="0"/>
              <w:keepLines w:val="0"/>
              <w:widowControl/>
              <w:suppressLineNumbers w:val="0"/>
              <w:spacing w:beforeAutospacing="0" w:line="360" w:lineRule="auto"/>
              <w:rPr>
                <w:rFonts w:hint="default" w:ascii="Arial" w:hAnsi="Arial"/>
                <w:color w:val="auto"/>
                <w:szCs w:val="21"/>
                <w:highlight w:val="none"/>
              </w:rPr>
            </w:pPr>
          </w:p>
        </w:tc>
        <w:tc>
          <w:tcPr>
            <w:tcW w:w="410" w:type="pct"/>
          </w:tcPr>
          <w:p>
            <w:pPr>
              <w:keepNext w:val="0"/>
              <w:keepLines w:val="0"/>
              <w:widowControl/>
              <w:suppressLineNumbers w:val="0"/>
              <w:spacing w:beforeAutospacing="0" w:line="360" w:lineRule="auto"/>
              <w:rPr>
                <w:rFonts w:hint="default" w:ascii="Arial" w:hAnsi="Arial"/>
                <w:color w:val="auto"/>
                <w:szCs w:val="21"/>
                <w:highlight w:val="none"/>
              </w:rPr>
            </w:pPr>
          </w:p>
        </w:tc>
      </w:tr>
    </w:tbl>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20" w:firstLineChars="200"/>
        <w:textAlignment w:val="auto"/>
        <w:rPr>
          <w:rFonts w:hint="eastAsia" w:hAnsi="宋体"/>
          <w:color w:val="auto"/>
          <w:szCs w:val="21"/>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20" w:firstLineChars="200"/>
        <w:textAlignment w:val="auto"/>
        <w:rPr>
          <w:rFonts w:hAnsi="宋体"/>
          <w:color w:val="auto"/>
          <w:szCs w:val="21"/>
          <w:highlight w:val="none"/>
        </w:rPr>
      </w:pPr>
      <w:r>
        <w:rPr>
          <w:rFonts w:hint="eastAsia" w:hAnsi="宋体"/>
          <w:color w:val="auto"/>
          <w:szCs w:val="21"/>
          <w:highlight w:val="none"/>
        </w:rPr>
        <w:t>注：</w:t>
      </w:r>
    </w:p>
    <w:p>
      <w:pPr>
        <w:keepNext w:val="0"/>
        <w:keepLines w:val="0"/>
        <w:pageBreakBefore w:val="0"/>
        <w:widowControl/>
        <w:numPr>
          <w:ilvl w:val="0"/>
          <w:numId w:val="10"/>
        </w:numPr>
        <w:kinsoku/>
        <w:wordWrap/>
        <w:overflowPunct/>
        <w:topLinePunct w:val="0"/>
        <w:autoSpaceDE/>
        <w:autoSpaceDN/>
        <w:bidi w:val="0"/>
        <w:adjustRightInd/>
        <w:snapToGrid/>
        <w:spacing w:before="0" w:after="0" w:afterAutospacing="0" w:line="480" w:lineRule="auto"/>
        <w:ind w:left="0" w:right="0" w:firstLine="630" w:firstLineChars="300"/>
        <w:textAlignment w:val="auto"/>
        <w:rPr>
          <w:rFonts w:hAnsi="宋体"/>
          <w:color w:val="auto"/>
          <w:szCs w:val="21"/>
          <w:highlight w:val="none"/>
        </w:rPr>
      </w:pPr>
      <w:r>
        <w:rPr>
          <w:rFonts w:hAnsi="宋体"/>
          <w:color w:val="auto"/>
          <w:szCs w:val="21"/>
          <w:highlight w:val="none"/>
        </w:rPr>
        <w:t>本表格需要填写</w:t>
      </w:r>
      <w:r>
        <w:rPr>
          <w:rFonts w:hint="eastAsia" w:hAnsi="宋体"/>
          <w:color w:val="auto"/>
          <w:szCs w:val="21"/>
          <w:highlight w:val="none"/>
        </w:rPr>
        <w:t>比选申请</w:t>
      </w:r>
      <w:r>
        <w:rPr>
          <w:rFonts w:hAnsi="宋体"/>
          <w:color w:val="auto"/>
          <w:szCs w:val="21"/>
          <w:highlight w:val="none"/>
        </w:rPr>
        <w:t>人拟投入合同的项目负责人</w:t>
      </w:r>
      <w:r>
        <w:rPr>
          <w:rFonts w:hint="eastAsia" w:hAnsi="宋体"/>
          <w:color w:val="auto"/>
          <w:szCs w:val="21"/>
          <w:highlight w:val="none"/>
          <w:lang w:val="en-US" w:eastAsia="zh-CN"/>
        </w:rPr>
        <w:t>及现场工作人员</w:t>
      </w:r>
      <w:r>
        <w:rPr>
          <w:rFonts w:hAnsi="宋体"/>
          <w:color w:val="auto"/>
          <w:szCs w:val="21"/>
          <w:highlight w:val="none"/>
        </w:rPr>
        <w:t>的相关信息</w:t>
      </w:r>
      <w:r>
        <w:rPr>
          <w:rFonts w:hint="eastAsia" w:hAnsi="宋体"/>
          <w:color w:val="auto"/>
          <w:szCs w:val="21"/>
          <w:highlight w:val="none"/>
        </w:rPr>
        <w:t>。</w:t>
      </w:r>
    </w:p>
    <w:p>
      <w:pPr>
        <w:keepNext w:val="0"/>
        <w:keepLines w:val="0"/>
        <w:pageBreakBefore w:val="0"/>
        <w:widowControl/>
        <w:numPr>
          <w:ilvl w:val="0"/>
          <w:numId w:val="10"/>
        </w:numPr>
        <w:kinsoku/>
        <w:wordWrap/>
        <w:overflowPunct/>
        <w:topLinePunct w:val="0"/>
        <w:autoSpaceDE/>
        <w:autoSpaceDN/>
        <w:bidi w:val="0"/>
        <w:adjustRightInd/>
        <w:snapToGrid/>
        <w:spacing w:before="0" w:after="0" w:afterAutospacing="0" w:line="480" w:lineRule="auto"/>
        <w:ind w:left="0" w:right="0" w:firstLine="630" w:firstLineChars="300"/>
        <w:textAlignment w:val="auto"/>
        <w:rPr>
          <w:rFonts w:hAnsi="宋体"/>
          <w:color w:val="auto"/>
          <w:szCs w:val="21"/>
          <w:highlight w:val="none"/>
        </w:rPr>
      </w:pPr>
      <w:r>
        <w:rPr>
          <w:rFonts w:hint="eastAsia" w:hAnsi="宋体"/>
          <w:color w:val="auto"/>
          <w:szCs w:val="21"/>
          <w:highlight w:val="none"/>
        </w:rPr>
        <w:t>项目负责人不得兼任其他项目的项目负责人职务。</w:t>
      </w:r>
    </w:p>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80" w:firstLineChars="200"/>
        <w:textAlignment w:val="auto"/>
        <w:rPr>
          <w:rFonts w:hAnsi="宋体"/>
          <w:color w:val="auto"/>
          <w:sz w:val="24"/>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80" w:firstLineChars="200"/>
        <w:textAlignment w:val="auto"/>
        <w:rPr>
          <w:color w:val="auto"/>
          <w:sz w:val="24"/>
          <w:highlight w:val="none"/>
        </w:rPr>
      </w:pPr>
      <w:r>
        <w:rPr>
          <w:rFonts w:hint="eastAsia" w:ascii="宋体" w:hAnsi="宋体"/>
          <w:color w:val="auto"/>
          <w:kern w:val="0"/>
          <w:sz w:val="24"/>
          <w:highlight w:val="none"/>
        </w:rPr>
        <w:t>比选申请人</w:t>
      </w:r>
      <w:r>
        <w:rPr>
          <w:rFonts w:hAnsi="宋体"/>
          <w:color w:val="auto"/>
          <w:sz w:val="24"/>
          <w:highlight w:val="none"/>
        </w:rPr>
        <w:t>：</w:t>
      </w:r>
      <w:r>
        <w:rPr>
          <w:color w:val="auto"/>
          <w:sz w:val="24"/>
          <w:highlight w:val="none"/>
          <w:u w:val="single"/>
        </w:rPr>
        <w:t xml:space="preserve">       </w:t>
      </w:r>
      <w:r>
        <w:rPr>
          <w:rFonts w:hAnsi="宋体"/>
          <w:color w:val="auto"/>
          <w:sz w:val="24"/>
          <w:highlight w:val="none"/>
          <w:u w:val="single"/>
        </w:rPr>
        <w:t>（盖章）</w:t>
      </w:r>
      <w:r>
        <w:rPr>
          <w:color w:val="auto"/>
          <w:sz w:val="24"/>
          <w:highlight w:val="none"/>
          <w:u w:val="single"/>
        </w:rPr>
        <w:t xml:space="preserve"> </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80" w:firstLineChars="200"/>
        <w:textAlignment w:val="auto"/>
        <w:rPr>
          <w:color w:val="auto"/>
          <w:sz w:val="24"/>
          <w:highlight w:val="none"/>
        </w:rPr>
      </w:pPr>
      <w:r>
        <w:rPr>
          <w:rFonts w:hAnsi="宋体"/>
          <w:color w:val="auto"/>
          <w:sz w:val="24"/>
          <w:highlight w:val="none"/>
        </w:rPr>
        <w:t>法定代表人或授权代理人：</w:t>
      </w:r>
      <w:r>
        <w:rPr>
          <w:color w:val="auto"/>
          <w:sz w:val="24"/>
          <w:highlight w:val="none"/>
          <w:u w:val="single"/>
        </w:rPr>
        <w:t xml:space="preserve">         </w:t>
      </w:r>
      <w:r>
        <w:rPr>
          <w:rFonts w:hAnsi="宋体"/>
          <w:color w:val="auto"/>
          <w:sz w:val="24"/>
          <w:highlight w:val="none"/>
          <w:u w:val="single"/>
        </w:rPr>
        <w:t>（签章）</w:t>
      </w:r>
    </w:p>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80" w:firstLineChars="200"/>
        <w:textAlignment w:val="auto"/>
        <w:rPr>
          <w:color w:val="auto"/>
          <w:sz w:val="24"/>
          <w:highlight w:val="none"/>
        </w:rPr>
      </w:pPr>
      <w:r>
        <w:rPr>
          <w:rFonts w:hAnsi="宋体"/>
          <w:color w:val="auto"/>
          <w:sz w:val="24"/>
          <w:highlight w:val="none"/>
        </w:rPr>
        <w:t>日期：</w:t>
      </w:r>
      <w:r>
        <w:rPr>
          <w:color w:val="auto"/>
          <w:sz w:val="24"/>
          <w:highlight w:val="none"/>
          <w:u w:val="single"/>
        </w:rPr>
        <w:t xml:space="preserve">      </w:t>
      </w:r>
      <w:r>
        <w:rPr>
          <w:rFonts w:hAnsi="宋体"/>
          <w:color w:val="auto"/>
          <w:sz w:val="24"/>
          <w:highlight w:val="none"/>
        </w:rPr>
        <w:t>年</w:t>
      </w:r>
      <w:r>
        <w:rPr>
          <w:color w:val="auto"/>
          <w:sz w:val="24"/>
          <w:highlight w:val="none"/>
          <w:u w:val="single"/>
        </w:rPr>
        <w:t xml:space="preserve">    </w:t>
      </w:r>
      <w:r>
        <w:rPr>
          <w:rFonts w:hAnsi="宋体"/>
          <w:color w:val="auto"/>
          <w:sz w:val="24"/>
          <w:highlight w:val="none"/>
        </w:rPr>
        <w:t>月</w:t>
      </w:r>
      <w:r>
        <w:rPr>
          <w:color w:val="auto"/>
          <w:sz w:val="24"/>
          <w:highlight w:val="none"/>
          <w:u w:val="single"/>
        </w:rPr>
        <w:t xml:space="preserve">     </w:t>
      </w:r>
      <w:r>
        <w:rPr>
          <w:rFonts w:hAnsi="宋体"/>
          <w:color w:val="auto"/>
          <w:sz w:val="24"/>
          <w:highlight w:val="none"/>
        </w:rPr>
        <w:t>日</w:t>
      </w:r>
    </w:p>
    <w:p>
      <w:pPr>
        <w:pStyle w:val="32"/>
        <w:ind w:firstLine="549"/>
        <w:rPr>
          <w:color w:val="auto"/>
          <w:highlight w:val="none"/>
        </w:rPr>
      </w:pPr>
    </w:p>
    <w:p>
      <w:pPr>
        <w:ind w:left="0" w:leftChars="0" w:firstLine="0" w:firstLineChars="0"/>
        <w:rPr>
          <w:rFonts w:hint="eastAsia"/>
          <w:color w:val="auto"/>
          <w:sz w:val="24"/>
          <w:szCs w:val="24"/>
          <w:highlight w:val="none"/>
        </w:rPr>
      </w:pPr>
      <w:r>
        <w:rPr>
          <w:rFonts w:hint="eastAsia"/>
          <w:color w:val="auto"/>
          <w:sz w:val="24"/>
          <w:szCs w:val="24"/>
          <w:highlight w:val="none"/>
        </w:rPr>
        <w:br w:type="page"/>
      </w:r>
    </w:p>
    <w:p>
      <w:pPr>
        <w:pStyle w:val="41"/>
        <w:keepNext w:val="0"/>
        <w:keepLines w:val="0"/>
        <w:pageBreakBefore w:val="0"/>
        <w:widowControl/>
        <w:numPr>
          <w:ilvl w:val="0"/>
          <w:numId w:val="0"/>
        </w:numPr>
        <w:kinsoku/>
        <w:wordWrap/>
        <w:overflowPunct/>
        <w:topLinePunct w:val="0"/>
        <w:bidi w:val="0"/>
        <w:snapToGrid/>
        <w:spacing w:before="0" w:after="312" w:afterLines="100"/>
        <w:ind w:leftChars="0" w:right="0" w:rightChars="0"/>
        <w:textAlignment w:val="auto"/>
        <w:outlineLvl w:val="2"/>
        <w:rPr>
          <w:rFonts w:hint="default"/>
          <w:b/>
          <w:bCs/>
          <w:color w:val="auto"/>
          <w:sz w:val="28"/>
          <w:szCs w:val="22"/>
          <w:highlight w:val="none"/>
          <w:lang w:val="en-US" w:eastAsia="zh-CN"/>
        </w:rPr>
      </w:pPr>
      <w:r>
        <w:rPr>
          <w:rFonts w:hint="eastAsia"/>
          <w:b/>
          <w:bCs/>
          <w:color w:val="auto"/>
          <w:sz w:val="28"/>
          <w:szCs w:val="22"/>
          <w:highlight w:val="none"/>
          <w:lang w:val="en-US" w:eastAsia="zh-CN"/>
        </w:rPr>
        <w:t>4.企业证书</w:t>
      </w:r>
    </w:p>
    <w:p>
      <w:pPr>
        <w:rPr>
          <w:rFonts w:hint="eastAsia"/>
          <w:color w:val="auto"/>
          <w:sz w:val="24"/>
          <w:szCs w:val="24"/>
          <w:highlight w:val="none"/>
        </w:rPr>
      </w:pPr>
      <w:r>
        <w:rPr>
          <w:rFonts w:hint="eastAsia"/>
          <w:color w:val="auto"/>
          <w:sz w:val="24"/>
          <w:szCs w:val="24"/>
          <w:highlight w:val="none"/>
        </w:rPr>
        <w:br w:type="page"/>
      </w:r>
    </w:p>
    <w:p>
      <w:pPr>
        <w:jc w:val="center"/>
        <w:rPr>
          <w:rFonts w:ascii="宋体" w:hAnsi="宋体"/>
          <w:color w:val="auto"/>
          <w:kern w:val="0"/>
          <w:sz w:val="48"/>
          <w:szCs w:val="48"/>
          <w:highlight w:val="none"/>
        </w:rPr>
      </w:pPr>
      <w:r>
        <w:rPr>
          <w:rFonts w:hint="eastAsia" w:ascii="宋体" w:hAnsi="宋体"/>
          <w:color w:val="auto"/>
          <w:kern w:val="0"/>
          <w:sz w:val="48"/>
          <w:szCs w:val="48"/>
          <w:highlight w:val="none"/>
        </w:rPr>
        <w:t>*</w:t>
      </w:r>
      <w:r>
        <w:rPr>
          <w:rFonts w:ascii="宋体" w:hAnsi="宋体"/>
          <w:color w:val="auto"/>
          <w:kern w:val="0"/>
          <w:sz w:val="48"/>
          <w:szCs w:val="48"/>
          <w:highlight w:val="none"/>
        </w:rPr>
        <w:t>*</w:t>
      </w:r>
      <w:r>
        <w:rPr>
          <w:rFonts w:hint="eastAsia" w:ascii="宋体" w:hAnsi="宋体"/>
          <w:color w:val="auto"/>
          <w:kern w:val="0"/>
          <w:sz w:val="48"/>
          <w:szCs w:val="48"/>
          <w:highlight w:val="none"/>
        </w:rPr>
        <w:t>项目比选申请文件</w:t>
      </w:r>
    </w:p>
    <w:p>
      <w:pPr>
        <w:widowControl/>
        <w:jc w:val="center"/>
        <w:outlineLvl w:val="1"/>
        <w:rPr>
          <w:rFonts w:ascii="宋体" w:hAnsi="宋体"/>
          <w:b/>
          <w:color w:val="auto"/>
          <w:sz w:val="48"/>
          <w:szCs w:val="48"/>
          <w:highlight w:val="none"/>
        </w:rPr>
      </w:pPr>
      <w:bookmarkStart w:id="1563" w:name="_Toc22430"/>
      <w:bookmarkStart w:id="1564" w:name="_Toc26689"/>
      <w:bookmarkStart w:id="1565" w:name="_Toc159931572"/>
      <w:r>
        <w:rPr>
          <w:rFonts w:hint="eastAsia" w:ascii="宋体" w:hAnsi="宋体"/>
          <w:b/>
          <w:color w:val="auto"/>
          <w:sz w:val="48"/>
          <w:szCs w:val="48"/>
          <w:highlight w:val="none"/>
        </w:rPr>
        <w:t>技术文件</w:t>
      </w:r>
      <w:bookmarkEnd w:id="1563"/>
      <w:bookmarkEnd w:id="1564"/>
      <w:bookmarkEnd w:id="1565"/>
    </w:p>
    <w:p>
      <w:pPr>
        <w:autoSpaceDE w:val="0"/>
        <w:autoSpaceDN w:val="0"/>
        <w:adjustRightInd w:val="0"/>
        <w:jc w:val="center"/>
        <w:rPr>
          <w:rFonts w:ascii="宋体" w:hAnsi="宋体"/>
          <w:color w:val="auto"/>
          <w:kern w:val="0"/>
          <w:sz w:val="44"/>
          <w:szCs w:val="44"/>
          <w:highlight w:val="none"/>
        </w:rPr>
      </w:pPr>
      <w:r>
        <w:rPr>
          <w:rFonts w:hint="eastAsia" w:ascii="宋体" w:hAnsi="宋体"/>
          <w:color w:val="auto"/>
          <w:kern w:val="0"/>
          <w:sz w:val="44"/>
          <w:szCs w:val="44"/>
          <w:highlight w:val="none"/>
        </w:rPr>
        <w:t>（＊本）</w:t>
      </w:r>
    </w:p>
    <w:p>
      <w:pPr>
        <w:autoSpaceDE w:val="0"/>
        <w:autoSpaceDN w:val="0"/>
        <w:adjustRightInd w:val="0"/>
        <w:jc w:val="left"/>
        <w:rPr>
          <w:rFonts w:ascii="楷体_GB2312" w:eastAsia="楷体_GB2312"/>
          <w:color w:val="auto"/>
          <w:kern w:val="0"/>
          <w:sz w:val="24"/>
          <w:highlight w:val="none"/>
        </w:rPr>
      </w:pPr>
    </w:p>
    <w:p>
      <w:pPr>
        <w:autoSpaceDE w:val="0"/>
        <w:autoSpaceDN w:val="0"/>
        <w:adjustRightInd w:val="0"/>
        <w:ind w:left="0" w:leftChars="0" w:firstLine="0" w:firstLineChars="0"/>
        <w:jc w:val="left"/>
        <w:rPr>
          <w:rFonts w:ascii="楷体_GB2312" w:eastAsia="楷体_GB2312"/>
          <w:color w:val="auto"/>
          <w:kern w:val="0"/>
          <w:sz w:val="24"/>
          <w:highlight w:val="none"/>
        </w:rPr>
      </w:pPr>
    </w:p>
    <w:p>
      <w:pPr>
        <w:autoSpaceDE w:val="0"/>
        <w:autoSpaceDN w:val="0"/>
        <w:adjustRightInd w:val="0"/>
        <w:rPr>
          <w:rFonts w:ascii="楷体_GB2312" w:eastAsia="楷体_GB2312"/>
          <w:color w:val="auto"/>
          <w:kern w:val="0"/>
          <w:sz w:val="24"/>
          <w:highlight w:val="none"/>
        </w:rPr>
      </w:pPr>
    </w:p>
    <w:p>
      <w:pPr>
        <w:autoSpaceDE w:val="0"/>
        <w:autoSpaceDN w:val="0"/>
        <w:adjustRightInd w:val="0"/>
        <w:rPr>
          <w:rFonts w:ascii="楷体_GB2312" w:eastAsia="楷体_GB2312"/>
          <w:color w:val="auto"/>
          <w:kern w:val="0"/>
          <w:sz w:val="24"/>
          <w:highlight w:val="none"/>
        </w:rPr>
      </w:pPr>
    </w:p>
    <w:p>
      <w:pPr>
        <w:autoSpaceDE w:val="0"/>
        <w:autoSpaceDN w:val="0"/>
        <w:adjustRightInd w:val="0"/>
        <w:rPr>
          <w:rFonts w:ascii="宋体" w:hAnsi="宋体"/>
          <w:color w:val="auto"/>
          <w:kern w:val="0"/>
          <w:sz w:val="28"/>
          <w:szCs w:val="28"/>
          <w:highlight w:val="none"/>
        </w:rPr>
      </w:pPr>
      <w:r>
        <w:rPr>
          <w:rFonts w:hint="eastAsia" w:ascii="宋体" w:hAnsi="宋体"/>
          <w:color w:val="auto"/>
          <w:kern w:val="0"/>
          <w:sz w:val="28"/>
          <w:szCs w:val="28"/>
          <w:highlight w:val="none"/>
        </w:rPr>
        <w:t>比选申请人：（ 加盖单位公章）</w:t>
      </w:r>
    </w:p>
    <w:p>
      <w:pPr>
        <w:autoSpaceDE w:val="0"/>
        <w:autoSpaceDN w:val="0"/>
        <w:adjustRightInd w:val="0"/>
        <w:rPr>
          <w:rFonts w:ascii="宋体" w:hAnsi="宋体"/>
          <w:color w:val="auto"/>
          <w:kern w:val="0"/>
          <w:sz w:val="28"/>
          <w:szCs w:val="28"/>
          <w:highlight w:val="none"/>
        </w:rPr>
      </w:pPr>
      <w:r>
        <w:rPr>
          <w:rFonts w:hint="eastAsia" w:ascii="宋体" w:hAnsi="宋体"/>
          <w:color w:val="auto"/>
          <w:kern w:val="0"/>
          <w:sz w:val="28"/>
          <w:szCs w:val="28"/>
          <w:highlight w:val="none"/>
        </w:rPr>
        <w:t>法定代表人或授权委托代理人：（签字或盖章）</w:t>
      </w:r>
    </w:p>
    <w:p>
      <w:pPr>
        <w:autoSpaceDE w:val="0"/>
        <w:autoSpaceDN w:val="0"/>
        <w:adjustRightInd w:val="0"/>
        <w:rPr>
          <w:rFonts w:ascii="宋体" w:hAnsi="宋体"/>
          <w:color w:val="auto"/>
          <w:kern w:val="0"/>
          <w:sz w:val="28"/>
          <w:szCs w:val="28"/>
          <w:highlight w:val="none"/>
        </w:rPr>
      </w:pPr>
      <w:r>
        <w:rPr>
          <w:rFonts w:hint="eastAsia" w:ascii="宋体" w:hAnsi="宋体"/>
          <w:color w:val="auto"/>
          <w:kern w:val="0"/>
          <w:sz w:val="28"/>
          <w:szCs w:val="28"/>
          <w:highlight w:val="none"/>
        </w:rPr>
        <w:t>电话/传真：</w:t>
      </w:r>
    </w:p>
    <w:p>
      <w:pPr>
        <w:autoSpaceDE w:val="0"/>
        <w:autoSpaceDN w:val="0"/>
        <w:adjustRightInd w:val="0"/>
        <w:rPr>
          <w:rFonts w:ascii="楷体_GB2312" w:eastAsia="楷体_GB2312"/>
          <w:color w:val="auto"/>
          <w:kern w:val="0"/>
          <w:sz w:val="32"/>
          <w:highlight w:val="none"/>
        </w:rPr>
      </w:pPr>
      <w:r>
        <w:rPr>
          <w:rFonts w:hint="eastAsia" w:ascii="宋体" w:hAnsi="宋体"/>
          <w:color w:val="auto"/>
          <w:kern w:val="0"/>
          <w:sz w:val="28"/>
          <w:szCs w:val="28"/>
          <w:highlight w:val="none"/>
        </w:rPr>
        <w:t>地址：</w:t>
      </w:r>
    </w:p>
    <w:p>
      <w:pPr>
        <w:autoSpaceDE w:val="0"/>
        <w:autoSpaceDN w:val="0"/>
        <w:adjustRightInd w:val="0"/>
        <w:jc w:val="center"/>
        <w:rPr>
          <w:rFonts w:ascii="宋体" w:hAnsi="宋体"/>
          <w:color w:val="auto"/>
          <w:kern w:val="0"/>
          <w:sz w:val="28"/>
          <w:szCs w:val="28"/>
          <w:highlight w:val="none"/>
        </w:rPr>
      </w:pPr>
    </w:p>
    <w:p>
      <w:pPr>
        <w:autoSpaceDE w:val="0"/>
        <w:autoSpaceDN w:val="0"/>
        <w:adjustRightInd w:val="0"/>
        <w:jc w:val="center"/>
        <w:rPr>
          <w:rFonts w:ascii="宋体" w:hAnsi="宋体"/>
          <w:color w:val="auto"/>
          <w:kern w:val="0"/>
          <w:sz w:val="28"/>
          <w:szCs w:val="28"/>
          <w:highlight w:val="none"/>
        </w:rPr>
      </w:pPr>
      <w:r>
        <w:rPr>
          <w:rFonts w:hint="eastAsia" w:ascii="宋体" w:hAnsi="宋体"/>
          <w:color w:val="auto"/>
          <w:kern w:val="0"/>
          <w:sz w:val="28"/>
          <w:szCs w:val="28"/>
          <w:highlight w:val="none"/>
        </w:rPr>
        <w:t>年  月  日</w:t>
      </w:r>
    </w:p>
    <w:p>
      <w:pPr>
        <w:autoSpaceDE w:val="0"/>
        <w:autoSpaceDN w:val="0"/>
        <w:adjustRightInd w:val="0"/>
        <w:jc w:val="left"/>
        <w:rPr>
          <w:rFonts w:ascii="宋体" w:hAnsi="宋体"/>
          <w:color w:val="auto"/>
          <w:kern w:val="0"/>
          <w:sz w:val="28"/>
          <w:szCs w:val="28"/>
          <w:highlight w:val="none"/>
        </w:rPr>
      </w:pPr>
    </w:p>
    <w:p>
      <w:pPr>
        <w:autoSpaceDE w:val="0"/>
        <w:autoSpaceDN w:val="0"/>
        <w:adjustRightInd w:val="0"/>
        <w:jc w:val="left"/>
        <w:rPr>
          <w:rFonts w:ascii="宋体" w:hAnsi="宋体"/>
          <w:color w:val="auto"/>
          <w:kern w:val="0"/>
          <w:sz w:val="28"/>
          <w:szCs w:val="28"/>
          <w:highlight w:val="none"/>
        </w:rPr>
      </w:pPr>
    </w:p>
    <w:p>
      <w:pPr>
        <w:rPr>
          <w:rFonts w:hint="eastAsia"/>
          <w:color w:val="auto"/>
          <w:sz w:val="24"/>
          <w:szCs w:val="24"/>
          <w:highlight w:val="none"/>
        </w:rPr>
      </w:pPr>
      <w:r>
        <w:rPr>
          <w:rFonts w:hint="eastAsia"/>
          <w:color w:val="auto"/>
          <w:sz w:val="24"/>
          <w:szCs w:val="24"/>
          <w:highlight w:val="none"/>
        </w:rPr>
        <w:br w:type="page"/>
      </w:r>
    </w:p>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Pr>
        <w:spacing w:before="156" w:beforeLines="50" w:after="312" w:afterLines="100"/>
        <w:jc w:val="center"/>
        <w:outlineLvl w:val="2"/>
        <w:rPr>
          <w:b/>
          <w:color w:val="auto"/>
          <w:sz w:val="36"/>
          <w:szCs w:val="36"/>
          <w:highlight w:val="none"/>
        </w:rPr>
      </w:pPr>
      <w:bookmarkStart w:id="1566" w:name="_Toc6649_WPSOffice_Level2"/>
      <w:bookmarkStart w:id="1567" w:name="_Toc10244_WPSOffice_Level2"/>
      <w:bookmarkStart w:id="1568" w:name="_Toc224010320"/>
      <w:bookmarkStart w:id="1569" w:name="_Toc74938308"/>
      <w:bookmarkStart w:id="1570" w:name="_Toc17887241"/>
      <w:bookmarkStart w:id="1571" w:name="_Toc99697927"/>
      <w:bookmarkStart w:id="1572" w:name="_Toc18770050"/>
      <w:r>
        <w:rPr>
          <w:rFonts w:hint="eastAsia"/>
          <w:b/>
          <w:color w:val="auto"/>
          <w:sz w:val="36"/>
          <w:szCs w:val="36"/>
          <w:highlight w:val="none"/>
        </w:rPr>
        <w:t>目  录</w:t>
      </w:r>
      <w:bookmarkEnd w:id="1566"/>
      <w:bookmarkEnd w:id="1567"/>
    </w:p>
    <w:bookmarkEnd w:id="1568"/>
    <w:bookmarkEnd w:id="1569"/>
    <w:bookmarkEnd w:id="1570"/>
    <w:bookmarkEnd w:id="1571"/>
    <w:bookmarkEnd w:id="1572"/>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（1）商务响应表；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（2）技术响应表；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（3）项目执行方案（包括但不限于整体方案、档案管理、录入扫描、安全保密、项目管理、质量保障以及售后服务，格式自拟）；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（4）比选申请人认为应提交的其他比选申请资料（如有）。</w:t>
      </w:r>
    </w:p>
    <w:p>
      <w:pPr>
        <w:pStyle w:val="28"/>
        <w:keepNext w:val="0"/>
        <w:keepLines w:val="0"/>
        <w:pageBreakBefore w:val="0"/>
        <w:kinsoku/>
        <w:wordWrap/>
        <w:overflowPunct/>
        <w:topLinePunct w:val="0"/>
        <w:autoSpaceDE/>
        <w:autoSpaceDN/>
        <w:bidi w:val="0"/>
        <w:adjustRightInd/>
        <w:snapToGrid/>
        <w:spacing w:beforeAutospacing="0" w:line="480" w:lineRule="auto"/>
        <w:textAlignment w:val="auto"/>
        <w:rPr>
          <w:rFonts w:hint="eastAsia" w:ascii="宋体" w:hAnsi="宋体" w:eastAsia="宋体" w:cs="宋体"/>
          <w:color w:val="auto"/>
          <w:sz w:val="24"/>
          <w:szCs w:val="24"/>
          <w:highlight w:val="none"/>
        </w:rPr>
        <w:sectPr>
          <w:headerReference r:id="rId10" w:type="first"/>
          <w:headerReference r:id="rId9"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before="120" w:after="0" w:line="360" w:lineRule="auto"/>
        <w:ind w:right="-57"/>
        <w:jc w:val="left"/>
        <w:rPr>
          <w:rFonts w:ascii="宋体" w:hAnsi="宋体" w:eastAsia="宋体"/>
          <w:color w:val="auto"/>
          <w:sz w:val="22"/>
          <w:szCs w:val="22"/>
          <w:highlight w:val="none"/>
        </w:rPr>
      </w:pPr>
      <w:bookmarkStart w:id="1573" w:name="_Toc7637"/>
      <w:bookmarkStart w:id="1574" w:name="_Toc25750687"/>
      <w:bookmarkStart w:id="1575" w:name="_Toc23991"/>
      <w:bookmarkStart w:id="1576" w:name="_Toc12767"/>
      <w:bookmarkStart w:id="1577" w:name="_Toc85"/>
      <w:bookmarkStart w:id="1578" w:name="_Toc22132"/>
      <w:bookmarkStart w:id="1579" w:name="_Toc17109"/>
      <w:bookmarkStart w:id="1580" w:name="_Toc29189"/>
      <w:bookmarkStart w:id="1581" w:name="_Toc25750684"/>
      <w:bookmarkStart w:id="1582" w:name="_Toc13678"/>
      <w:bookmarkStart w:id="1583" w:name="_Toc5436"/>
      <w:bookmarkStart w:id="1584" w:name="_Toc11808"/>
      <w:bookmarkStart w:id="1585" w:name="_Toc22447"/>
      <w:bookmarkStart w:id="1586" w:name="_Toc24533"/>
      <w:r>
        <w:rPr>
          <w:rFonts w:hint="eastAsia" w:ascii="宋体" w:hAnsi="宋体" w:eastAsia="宋体"/>
          <w:color w:val="auto"/>
          <w:sz w:val="22"/>
          <w:szCs w:val="22"/>
          <w:highlight w:val="none"/>
          <w:lang w:val="en-US" w:eastAsia="zh-CN"/>
        </w:rPr>
        <w:t>1.</w:t>
      </w:r>
      <w:r>
        <w:rPr>
          <w:rFonts w:hint="eastAsia" w:ascii="宋体" w:hAnsi="宋体" w:eastAsia="宋体"/>
          <w:color w:val="auto"/>
          <w:sz w:val="22"/>
          <w:szCs w:val="22"/>
          <w:highlight w:val="none"/>
        </w:rPr>
        <w:t>商务响应表</w:t>
      </w:r>
      <w:r>
        <w:rPr>
          <w:rFonts w:ascii="宋体" w:hAnsi="宋体" w:eastAsia="宋体"/>
          <w:color w:val="auto"/>
          <w:sz w:val="22"/>
          <w:szCs w:val="22"/>
          <w:highlight w:val="none"/>
        </w:rPr>
        <w:t>格式</w:t>
      </w:r>
      <w:bookmarkEnd w:id="1573"/>
      <w:bookmarkEnd w:id="1574"/>
      <w:bookmarkEnd w:id="1575"/>
      <w:bookmarkEnd w:id="1576"/>
      <w:bookmarkEnd w:id="1577"/>
      <w:bookmarkEnd w:id="1578"/>
      <w:bookmarkEnd w:id="1579"/>
    </w:p>
    <w:p>
      <w:pPr>
        <w:ind w:right="-57" w:firstLine="0"/>
        <w:jc w:val="center"/>
        <w:rPr>
          <w:rFonts w:ascii="宋体" w:hAnsi="宋体"/>
          <w:b/>
          <w:color w:val="auto"/>
          <w:highlight w:val="none"/>
        </w:rPr>
      </w:pPr>
      <w:bookmarkStart w:id="1587" w:name="_Toc2924"/>
      <w:r>
        <w:rPr>
          <w:rFonts w:hint="eastAsia" w:ascii="宋体" w:hAnsi="宋体"/>
          <w:b/>
          <w:color w:val="auto"/>
          <w:highlight w:val="none"/>
        </w:rPr>
        <w:t>商务响应表</w:t>
      </w:r>
      <w:bookmarkEnd w:id="1587"/>
    </w:p>
    <w:p>
      <w:pPr>
        <w:widowControl w:val="0"/>
        <w:snapToGrid w:val="0"/>
        <w:spacing w:before="0" w:after="0" w:afterAutospacing="0"/>
        <w:ind w:left="0" w:right="-57" w:rightChars="-27" w:firstLine="0"/>
        <w:rPr>
          <w:rFonts w:hint="eastAsia" w:ascii="宋体" w:hAnsi="宋体" w:eastAsia="宋体"/>
          <w:color w:val="auto"/>
          <w:kern w:val="2"/>
          <w:highlight w:val="none"/>
          <w:u w:val="single"/>
          <w:lang w:eastAsia="zh-CN"/>
        </w:rPr>
      </w:pPr>
      <w:r>
        <w:rPr>
          <w:rFonts w:hint="eastAsia" w:ascii="宋体" w:hAnsi="宋体"/>
          <w:color w:val="auto"/>
          <w:highlight w:val="none"/>
        </w:rPr>
        <w:t>项目名称：</w:t>
      </w:r>
      <w:r>
        <w:rPr>
          <w:rFonts w:hint="eastAsia" w:ascii="宋体" w:hAnsi="宋体"/>
          <w:color w:val="auto"/>
          <w:kern w:val="2"/>
          <w:highlight w:val="none"/>
          <w:lang w:eastAsia="zh-CN"/>
        </w:rPr>
        <w:t>运营公司档案委外整理及数字化加工服务采购项目（2024年—2026年）</w:t>
      </w:r>
    </w:p>
    <w:p>
      <w:pPr>
        <w:spacing w:before="0" w:after="0" w:afterAutospacing="0"/>
        <w:ind w:right="-57" w:firstLine="0"/>
        <w:jc w:val="left"/>
        <w:rPr>
          <w:rFonts w:ascii="宋体" w:hAnsi="宋体"/>
          <w:color w:val="auto"/>
          <w:highlight w:val="none"/>
          <w:u w:val="single"/>
        </w:rPr>
      </w:pPr>
    </w:p>
    <w:tbl>
      <w:tblPr>
        <w:tblStyle w:val="33"/>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第二章</w:t>
            </w:r>
            <w:r>
              <w:rPr>
                <w:rFonts w:hint="default"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第三章</w:t>
            </w:r>
            <w:r>
              <w:rPr>
                <w:rFonts w:hint="default"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bl>
    <w:p>
      <w:pPr>
        <w:snapToGrid w:val="0"/>
        <w:spacing w:after="50"/>
        <w:ind w:right="-57" w:firstLine="0"/>
        <w:rPr>
          <w:rFonts w:ascii="宋体" w:hAnsi="宋体"/>
          <w:color w:val="auto"/>
          <w:spacing w:val="20"/>
          <w:sz w:val="21"/>
          <w:szCs w:val="21"/>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1"/>
          <w:szCs w:val="21"/>
          <w:highlight w:val="none"/>
        </w:rPr>
      </w:pPr>
    </w:p>
    <w:p>
      <w:pPr>
        <w:snapToGrid w:val="0"/>
        <w:spacing w:after="50" w:line="280" w:lineRule="exact"/>
        <w:ind w:left="953" w:right="-817" w:firstLine="1443"/>
        <w:rPr>
          <w:rFonts w:ascii="宋体" w:hAnsi="宋体"/>
          <w:color w:val="auto"/>
          <w:sz w:val="21"/>
          <w:szCs w:val="21"/>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rPr>
          <w:rFonts w:hint="eastAsia" w:ascii="宋体" w:hAnsi="宋体" w:eastAsia="宋体"/>
          <w:color w:val="auto"/>
          <w:sz w:val="21"/>
          <w:szCs w:val="21"/>
          <w:highlight w:val="none"/>
        </w:rPr>
        <w:sectPr>
          <w:headerReference r:id="rId12" w:type="first"/>
          <w:headerReference r:id="rId11" w:type="default"/>
          <w:pgSz w:w="11905" w:h="16838"/>
          <w:pgMar w:top="1418" w:right="1418" w:bottom="1304" w:left="1418" w:header="454" w:footer="567" w:gutter="0"/>
          <w:pgNumType w:fmt="decimal"/>
          <w:cols w:space="720" w:num="1"/>
          <w:docGrid w:linePitch="312" w:charSpace="0"/>
        </w:sectPr>
      </w:pPr>
      <w:r>
        <w:rPr>
          <w:rFonts w:hint="eastAsia" w:ascii="宋体" w:hAnsi="宋体" w:eastAsia="宋体"/>
          <w:color w:val="auto"/>
          <w:sz w:val="21"/>
          <w:szCs w:val="21"/>
          <w:highlight w:val="none"/>
        </w:rPr>
        <w:br w:type="page"/>
      </w:r>
    </w:p>
    <w:p>
      <w:pPr>
        <w:pStyle w:val="5"/>
        <w:tabs>
          <w:tab w:val="left" w:pos="567"/>
          <w:tab w:val="left" w:pos="720"/>
        </w:tabs>
        <w:snapToGrid w:val="0"/>
        <w:spacing w:after="100" w:line="360" w:lineRule="auto"/>
        <w:ind w:right="-57"/>
        <w:jc w:val="left"/>
        <w:rPr>
          <w:rFonts w:ascii="宋体" w:hAnsi="宋体" w:eastAsia="宋体"/>
          <w:color w:val="auto"/>
          <w:sz w:val="22"/>
          <w:szCs w:val="22"/>
          <w:highlight w:val="none"/>
        </w:rPr>
      </w:pPr>
      <w:r>
        <w:rPr>
          <w:rFonts w:hint="eastAsia" w:ascii="宋体" w:hAnsi="宋体" w:eastAsia="宋体"/>
          <w:color w:val="auto"/>
          <w:sz w:val="22"/>
          <w:szCs w:val="22"/>
          <w:highlight w:val="none"/>
          <w:lang w:val="en-US" w:eastAsia="zh-CN"/>
        </w:rPr>
        <w:t>2.</w:t>
      </w:r>
      <w:r>
        <w:rPr>
          <w:rFonts w:ascii="宋体" w:hAnsi="宋体" w:eastAsia="宋体"/>
          <w:color w:val="auto"/>
          <w:sz w:val="22"/>
          <w:szCs w:val="22"/>
          <w:highlight w:val="none"/>
        </w:rPr>
        <w:t>技术响应表</w:t>
      </w:r>
      <w:r>
        <w:rPr>
          <w:rFonts w:hint="eastAsia" w:ascii="宋体" w:hAnsi="宋体" w:eastAsia="宋体"/>
          <w:color w:val="auto"/>
          <w:sz w:val="22"/>
          <w:szCs w:val="22"/>
          <w:highlight w:val="none"/>
        </w:rPr>
        <w:t>格式</w:t>
      </w:r>
      <w:bookmarkEnd w:id="1580"/>
      <w:bookmarkEnd w:id="1581"/>
      <w:bookmarkEnd w:id="1582"/>
      <w:bookmarkEnd w:id="1583"/>
      <w:bookmarkEnd w:id="1584"/>
      <w:bookmarkEnd w:id="1585"/>
      <w:bookmarkEnd w:id="1586"/>
    </w:p>
    <w:p>
      <w:pPr>
        <w:spacing w:before="0"/>
        <w:ind w:right="-57" w:firstLine="0"/>
        <w:jc w:val="center"/>
        <w:rPr>
          <w:rFonts w:ascii="宋体" w:hAnsi="宋体"/>
          <w:b/>
          <w:color w:val="auto"/>
          <w:sz w:val="28"/>
          <w:szCs w:val="28"/>
          <w:highlight w:val="none"/>
        </w:rPr>
      </w:pPr>
      <w:bookmarkStart w:id="1588" w:name="_Toc22433"/>
      <w:r>
        <w:rPr>
          <w:rFonts w:hint="eastAsia" w:ascii="宋体" w:hAnsi="宋体"/>
          <w:b/>
          <w:color w:val="auto"/>
          <w:highlight w:val="none"/>
        </w:rPr>
        <w:t>技术响应表</w:t>
      </w:r>
      <w:bookmarkEnd w:id="1588"/>
    </w:p>
    <w:p>
      <w:pPr>
        <w:spacing w:before="0" w:after="0" w:afterAutospacing="0"/>
        <w:ind w:right="0"/>
        <w:rPr>
          <w:rFonts w:ascii="宋体" w:hAnsi="宋体"/>
          <w:color w:val="auto"/>
          <w:highlight w:val="none"/>
          <w:u w:val="single"/>
        </w:rPr>
      </w:pPr>
      <w:r>
        <w:rPr>
          <w:rFonts w:ascii="宋体" w:hAnsi="宋体"/>
          <w:color w:val="auto"/>
          <w:highlight w:val="none"/>
        </w:rPr>
        <w:t>比选申请人名称：</w:t>
      </w:r>
    </w:p>
    <w:p>
      <w:pPr>
        <w:snapToGrid w:val="0"/>
        <w:spacing w:after="50" w:line="280" w:lineRule="exact"/>
        <w:ind w:left="0" w:right="-817" w:firstLine="0"/>
        <w:rPr>
          <w:rFonts w:ascii="宋体" w:hAnsi="宋体"/>
          <w:color w:val="auto"/>
          <w:highlight w:val="none"/>
        </w:rPr>
      </w:pPr>
    </w:p>
    <w:tbl>
      <w:tblPr>
        <w:tblStyle w:val="33"/>
        <w:tblW w:w="142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8"/>
        <w:gridCol w:w="1875"/>
        <w:gridCol w:w="9247"/>
        <w:gridCol w:w="1230"/>
        <w:gridCol w:w="109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818" w:type="dxa"/>
            <w:tcBorders>
              <w:top w:val="double" w:color="auto" w:sz="4" w:space="0"/>
              <w:bottom w:val="single" w:color="auto" w:sz="6"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875" w:type="dxa"/>
            <w:tcBorders>
              <w:top w:val="double" w:color="auto" w:sz="4" w:space="0"/>
              <w:bottom w:val="single" w:color="auto" w:sz="6" w:space="0"/>
              <w:right w:val="single" w:color="auto" w:sz="4"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服务项目</w:t>
            </w:r>
          </w:p>
        </w:tc>
        <w:tc>
          <w:tcPr>
            <w:tcW w:w="9247" w:type="dxa"/>
            <w:tcBorders>
              <w:top w:val="double" w:color="auto" w:sz="4" w:space="0"/>
              <w:bottom w:val="single" w:color="auto" w:sz="6" w:space="0"/>
              <w:right w:val="single" w:color="auto" w:sz="4" w:space="0"/>
            </w:tcBorders>
            <w:shd w:val="clear" w:color="auto" w:fill="FFFFFF"/>
            <w:vAlign w:val="center"/>
          </w:tcPr>
          <w:p>
            <w:pPr>
              <w:keepNext w:val="0"/>
              <w:keepLines w:val="0"/>
              <w:widowControl/>
              <w:suppressLineNumbers w:val="0"/>
              <w:spacing w:beforeAutospacing="0" w:line="240" w:lineRule="auto"/>
              <w:ind w:left="0" w:right="0" w:firstLine="0"/>
              <w:jc w:val="center"/>
              <w:rPr>
                <w:rFonts w:hint="default" w:ascii="宋体" w:hAnsi="宋体" w:cs="宋体"/>
                <w:b/>
                <w:bCs/>
                <w:color w:val="auto"/>
                <w:sz w:val="20"/>
                <w:szCs w:val="20"/>
                <w:highlight w:val="none"/>
              </w:rPr>
            </w:pPr>
            <w:r>
              <w:rPr>
                <w:rFonts w:hint="eastAsia" w:ascii="宋体" w:hAnsi="宋体"/>
                <w:b/>
                <w:color w:val="auto"/>
                <w:kern w:val="2"/>
                <w:sz w:val="20"/>
                <w:szCs w:val="20"/>
                <w:highlight w:val="none"/>
              </w:rPr>
              <w:t>服务要求</w:t>
            </w:r>
          </w:p>
        </w:tc>
        <w:tc>
          <w:tcPr>
            <w:tcW w:w="1230" w:type="dxa"/>
            <w:tcBorders>
              <w:top w:val="double" w:color="auto" w:sz="4" w:space="0"/>
              <w:left w:val="single" w:color="auto" w:sz="4" w:space="0"/>
              <w:bottom w:val="single" w:color="auto" w:sz="6"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偏离情况</w:t>
            </w:r>
          </w:p>
        </w:tc>
        <w:tc>
          <w:tcPr>
            <w:tcW w:w="1099" w:type="dxa"/>
            <w:tcBorders>
              <w:top w:val="double" w:color="auto" w:sz="4" w:space="0"/>
              <w:bottom w:val="single" w:color="auto" w:sz="6"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7" w:hRule="atLeast"/>
          <w:jc w:val="center"/>
        </w:trPr>
        <w:tc>
          <w:tcPr>
            <w:tcW w:w="81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1</w:t>
            </w:r>
          </w:p>
        </w:tc>
        <w:tc>
          <w:tcPr>
            <w:tcW w:w="187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jc w:val="center"/>
              <w:rPr>
                <w:rFonts w:hint="default" w:ascii="宋体" w:hAnsi="宋体" w:eastAsia="宋体" w:cs="宋体"/>
                <w:color w:val="auto"/>
                <w:highlight w:val="none"/>
                <w:lang w:val="en-US" w:eastAsia="zh-CN"/>
              </w:rPr>
            </w:pPr>
            <w:r>
              <w:rPr>
                <w:rFonts w:hint="eastAsia"/>
                <w:color w:val="auto"/>
                <w:highlight w:val="none"/>
                <w:lang w:val="en-US" w:eastAsia="zh-CN"/>
              </w:rPr>
              <w:t>文书档案整理</w:t>
            </w:r>
          </w:p>
        </w:tc>
        <w:tc>
          <w:tcPr>
            <w:tcW w:w="9247" w:type="dxa"/>
            <w:tcBorders>
              <w:top w:val="single" w:color="auto" w:sz="6" w:space="0"/>
              <w:bottom w:val="single" w:color="auto" w:sz="6" w:space="0"/>
              <w:right w:val="single" w:color="auto" w:sz="4" w:space="0"/>
            </w:tcBorders>
            <w:shd w:val="clear" w:color="auto" w:fill="FFFFFF"/>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line="300" w:lineRule="exact"/>
              <w:ind w:firstLine="40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参照标准：《企业宁轨道交通运营有限公司档案管理办法》《南宁轨道交通运营有限公司档案分类方案、文件材料归档范围和档案保管期限规定》（国家档案局第10号令）、《归档文件整理规则》（DA/T22-2015）、《南文件材料归档范围和档案保管期限表三合一制度》等有关文件精神。</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2.组件：按照以上标准要求对文件进行整理组件。</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3.分类：归档文件应进行科学分类，分类方案应保持一致性和稳定性。依据《南宁轨道交通运营有限公司文件材料归档范围与保管期限表》对归档文件按照年度、保管期限等分类项进行分类。</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4.排序：在分类方案的最低一级类目内，按时间结合事由排列；同一事由的文件，按文件形成先后顺序排列；会议文件、统计报表等成套性文件可集中排列。归档文件顺序，保持文件之间的有机联系。</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编号：依分类方案和排列顺序编写归档文件的档号。档号编制应遵循唯一性、合理性、稳定性、扩充性、简单性原则。详细根据《南宁轨道交通运营有限公司档案分类方案、文件材料归档范围和档案保管期限表三合一管理规定》，文书档案档号结构为：全宗号－档案门类代码</w:t>
            </w:r>
            <w:r>
              <w:rPr>
                <w:rFonts w:hint="eastAsia" w:ascii="Times New Roman" w:hAnsi="Times New Roman" w:eastAsia="宋体" w:cs="Times New Roman"/>
                <w:color w:val="auto"/>
                <w:highlight w:val="none"/>
                <w:lang w:val="en-US" w:eastAsia="en-US"/>
              </w:rPr>
              <w:t>•</w:t>
            </w:r>
            <w:r>
              <w:rPr>
                <w:rFonts w:hint="eastAsia" w:ascii="Times New Roman" w:hAnsi="Times New Roman" w:eastAsia="宋体" w:cs="Times New Roman"/>
                <w:color w:val="auto"/>
                <w:highlight w:val="none"/>
                <w:lang w:val="en-US" w:eastAsia="zh-CN"/>
              </w:rPr>
              <w:t>年度</w:t>
            </w:r>
            <w:r>
              <w:rPr>
                <w:rFonts w:hint="eastAsia" w:ascii="Times New Roman" w:hAnsi="Times New Roman" w:eastAsia="宋体" w:cs="Times New Roman"/>
                <w:color w:val="auto"/>
                <w:highlight w:val="none"/>
                <w:lang w:val="en-US" w:eastAsia="en-US"/>
              </w:rPr>
              <w:t>•</w:t>
            </w:r>
            <w:r>
              <w:rPr>
                <w:rFonts w:hint="eastAsia" w:ascii="Times New Roman" w:hAnsi="Times New Roman" w:eastAsia="宋体" w:cs="Times New Roman"/>
                <w:color w:val="auto"/>
                <w:highlight w:val="none"/>
                <w:lang w:val="en-US" w:eastAsia="zh-CN"/>
              </w:rPr>
              <w:t xml:space="preserve">保管期限代码一件号，上、下位代码之间用短横线（短横）连接，同一级代码之间用间隔号“ </w:t>
            </w:r>
            <w:r>
              <w:rPr>
                <w:rFonts w:hint="eastAsia" w:ascii="Times New Roman" w:hAnsi="Times New Roman" w:eastAsia="宋体" w:cs="Times New Roman"/>
                <w:color w:val="auto"/>
                <w:highlight w:val="none"/>
                <w:lang w:val="en-US" w:eastAsia="en-US"/>
              </w:rPr>
              <w:t xml:space="preserve">• </w:t>
            </w:r>
            <w:r>
              <w:rPr>
                <w:rFonts w:hint="eastAsia" w:ascii="Times New Roman" w:hAnsi="Times New Roman" w:eastAsia="宋体" w:cs="Times New Roman"/>
                <w:color w:val="auto"/>
                <w:highlight w:val="none"/>
                <w:lang w:val="en-US" w:eastAsia="zh-CN"/>
              </w:rPr>
              <w:t>” （小圆点）隔开。如</w:t>
            </w:r>
            <w:r>
              <w:rPr>
                <w:rFonts w:hint="eastAsia" w:ascii="Times New Roman" w:hAnsi="Times New Roman" w:eastAsia="宋体" w:cs="Times New Roman"/>
                <w:color w:val="auto"/>
                <w:highlight w:val="none"/>
                <w:lang w:val="en-US" w:eastAsia="en-US"/>
              </w:rPr>
              <w:t>“</w:t>
            </w:r>
            <w:r>
              <w:rPr>
                <w:rFonts w:hint="eastAsia" w:ascii="Times New Roman" w:hAnsi="Times New Roman" w:eastAsia="宋体" w:cs="Times New Roman"/>
                <w:color w:val="auto"/>
                <w:highlight w:val="none"/>
                <w:lang w:val="en-US" w:eastAsia="zh-CN"/>
              </w:rPr>
              <w:t>0000</w:t>
            </w:r>
            <w:r>
              <w:rPr>
                <w:rFonts w:hint="eastAsia" w:ascii="Times New Roman" w:hAnsi="Times New Roman" w:eastAsia="宋体" w:cs="Times New Roman"/>
                <w:color w:val="auto"/>
                <w:highlight w:val="none"/>
                <w:lang w:val="en-US" w:eastAsia="en-US"/>
              </w:rPr>
              <w:t>-WS • 2023-Y-0001”</w:t>
            </w:r>
            <w:r>
              <w:rPr>
                <w:rFonts w:hint="eastAsia" w:ascii="Times New Roman" w:hAnsi="Times New Roman" w:eastAsia="宋体" w:cs="Times New Roman"/>
                <w:color w:val="auto"/>
                <w:highlight w:val="none"/>
                <w:lang w:val="en-US" w:eastAsia="zh-CN"/>
              </w:rPr>
              <w:t>。</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6.修整：归档文件扫描、装订前，应对不符合要求的文件材料进行修整。归档文件已破损的，应按照《档案修裱技术规范》</w:t>
            </w:r>
            <w:r>
              <w:rPr>
                <w:rFonts w:hint="eastAsia" w:ascii="Times New Roman" w:hAnsi="Times New Roman" w:eastAsia="宋体" w:cs="Times New Roman"/>
                <w:color w:val="auto"/>
                <w:highlight w:val="none"/>
                <w:lang w:val="en-US" w:eastAsia="en-US"/>
              </w:rPr>
              <w:t>XDA/T25-2022）</w:t>
            </w:r>
            <w:r>
              <w:rPr>
                <w:rFonts w:hint="eastAsia" w:ascii="Times New Roman" w:hAnsi="Times New Roman" w:eastAsia="宋体" w:cs="Times New Roman"/>
                <w:color w:val="auto"/>
                <w:highlight w:val="none"/>
                <w:lang w:val="en-US" w:eastAsia="zh-CN"/>
              </w:rPr>
              <w:t>予以修复；字迹模糊或易退变的，应予复制；归档文件应去除易锈蚀、易氧化的金属或塑料装订用品；对于幅面过大的文件，应在不影响其日后使用效果的前提下折叠成A4幅面。幅面小于A4规格的须用空白A4纸张进行裱托。</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7.编页：以件为单位编制页码，页码应逐页编制，宜用号码机标注在文件正面右下角或背面左</w:t>
            </w:r>
            <w:r>
              <w:rPr>
                <w:rFonts w:hint="eastAsia"/>
                <w:color w:val="auto"/>
                <w:highlight w:val="none"/>
                <w:lang w:val="en-US" w:eastAsia="zh-CN"/>
              </w:rPr>
              <w:t>下角</w:t>
            </w:r>
            <w:r>
              <w:rPr>
                <w:rFonts w:hint="eastAsia" w:ascii="Times New Roman" w:hAnsi="Times New Roman" w:eastAsia="宋体" w:cs="Times New Roman"/>
                <w:color w:val="auto"/>
                <w:highlight w:val="none"/>
                <w:lang w:val="en-US" w:eastAsia="zh-CN"/>
              </w:rPr>
              <w:t>的空白位置。文件材料已印制成册并编有页码的，拟编制页码与文件原有页码相同的，可以保持原有页码不变。</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8.数字化扫描：归档文件应进行数字化全文扫描。扫描分辨率不小于300dpi，采用彩色扫描模式，保存为JPEG和双层PDF两种格式文件。扫描图像要清晰、完整、无色差、无变形、视觉上基本无偏斜，不影响档案利用。</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9.装订：以件为单位，采用“三孔一线”棉线装订。页面靠左靠下对齐，采用装订针或打孔机在装订边打孔，孔距页面左边线为1cm，距上下边线为3cm，用棉线穿孔并拉紧实，在背面中孔打死结，装订好的归档文件不得出现松垮现象。归档文件装订应牢固、安全、简便，做到文件不损页、不倒页、不压字，装订后文件平整，尽量减少对归档文件本身影响，原装订方式符合要求的，应维持不变。</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en-US"/>
              </w:rPr>
            </w:pPr>
            <w:r>
              <w:rPr>
                <w:rFonts w:hint="eastAsia" w:ascii="Times New Roman" w:hAnsi="Times New Roman" w:eastAsia="宋体" w:cs="Times New Roman"/>
                <w:color w:val="auto"/>
                <w:highlight w:val="none"/>
                <w:lang w:val="en-US" w:eastAsia="zh-CN"/>
              </w:rPr>
              <w:t>10.</w:t>
            </w:r>
            <w:r>
              <w:rPr>
                <w:rFonts w:hint="eastAsia" w:ascii="Times New Roman" w:hAnsi="Times New Roman" w:eastAsia="宋体" w:cs="Times New Roman"/>
                <w:color w:val="auto"/>
                <w:highlight w:val="none"/>
                <w:lang w:val="en-US" w:eastAsia="en-US"/>
              </w:rPr>
              <w:t>编目</w:t>
            </w:r>
            <w:r>
              <w:rPr>
                <w:rFonts w:hint="eastAsia" w:ascii="Times New Roman" w:hAnsi="Times New Roman" w:eastAsia="宋体" w:cs="Times New Roman"/>
                <w:color w:val="auto"/>
                <w:highlight w:val="none"/>
                <w:lang w:val="en-US" w:eastAsia="zh-CN"/>
              </w:rPr>
              <w:t>与扫描文件挂接</w:t>
            </w:r>
            <w:r>
              <w:rPr>
                <w:rFonts w:hint="eastAsia" w:ascii="Times New Roman" w:hAnsi="Times New Roman" w:eastAsia="宋体" w:cs="Times New Roman"/>
                <w:color w:val="auto"/>
                <w:highlight w:val="none"/>
                <w:lang w:val="en-US" w:eastAsia="en-US"/>
              </w:rPr>
              <w:t>：在</w:t>
            </w:r>
            <w:r>
              <w:rPr>
                <w:rFonts w:hint="eastAsia" w:ascii="Times New Roman" w:hAnsi="Times New Roman" w:eastAsia="宋体" w:cs="Times New Roman"/>
                <w:color w:val="auto"/>
                <w:highlight w:val="none"/>
                <w:lang w:val="en-US" w:eastAsia="zh-CN"/>
              </w:rPr>
              <w:t>比选人</w:t>
            </w:r>
            <w:r>
              <w:rPr>
                <w:rFonts w:hint="eastAsia" w:ascii="Times New Roman" w:hAnsi="Times New Roman" w:eastAsia="宋体" w:cs="Times New Roman"/>
                <w:color w:val="auto"/>
                <w:highlight w:val="none"/>
                <w:lang w:val="en-US" w:eastAsia="en-US"/>
              </w:rPr>
              <w:t>已有的档案信息化管理系统中依据档号顺序逐件编制归档文件目录。</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en-US"/>
              </w:rPr>
            </w:pPr>
            <w:r>
              <w:rPr>
                <w:rFonts w:hint="eastAsia" w:ascii="Times New Roman" w:hAnsi="Times New Roman" w:eastAsia="宋体" w:cs="Times New Roman"/>
                <w:color w:val="auto"/>
                <w:highlight w:val="none"/>
                <w:lang w:val="en-US" w:eastAsia="zh-CN"/>
              </w:rPr>
              <w:t>11.</w:t>
            </w:r>
            <w:r>
              <w:rPr>
                <w:rFonts w:hint="eastAsia" w:ascii="Times New Roman" w:hAnsi="Times New Roman" w:eastAsia="宋体" w:cs="Times New Roman"/>
                <w:color w:val="auto"/>
                <w:highlight w:val="none"/>
                <w:lang w:val="en-US" w:eastAsia="en-US"/>
              </w:rPr>
              <w:t>装盒：将归档文件按顺序装入档案盒，并编制档案盒盒脊及备考表</w:t>
            </w:r>
            <w:r>
              <w:rPr>
                <w:rFonts w:hint="eastAsia"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en-US"/>
              </w:rPr>
              <w:t>不同年度、保管期限的归档文件不能装入同一个档案盒。档案盒封面应标明全宗全称</w:t>
            </w:r>
            <w:r>
              <w:rPr>
                <w:rFonts w:hint="eastAsia"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en-US"/>
              </w:rPr>
              <w:t>归档文件装盒厚度一般不超过30mm，装订成册的资料或图纸根据实际选择合适厚度的档案盒装盒。归档文件前面放置本盒归档文件目录，归档文件后面放置本盒备考表。</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12.排架：归档文件整理完毕装盒后，按年度、保管期限依次上架，便于实体管理。排架方法应避免频繁倒架。</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color w:val="auto"/>
                <w:highlight w:val="none"/>
                <w:lang w:val="en-US" w:eastAsia="zh-CN"/>
              </w:rPr>
            </w:pPr>
            <w:r>
              <w:rPr>
                <w:rFonts w:hint="eastAsia" w:ascii="Times New Roman" w:hAnsi="Times New Roman" w:eastAsia="宋体" w:cs="Times New Roman"/>
                <w:color w:val="auto"/>
                <w:highlight w:val="none"/>
                <w:lang w:val="en-US" w:eastAsia="zh-CN"/>
              </w:rPr>
              <w:t>13.详见用户需求书。</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ascii="宋体" w:hAnsi="宋体" w:cs="宋体"/>
                <w:color w:val="auto"/>
                <w:kern w:val="2"/>
                <w:highlight w:val="none"/>
              </w:rPr>
            </w:pPr>
          </w:p>
        </w:tc>
        <w:tc>
          <w:tcPr>
            <w:tcW w:w="1099" w:type="dxa"/>
            <w:tcBorders>
              <w:top w:val="single" w:color="auto" w:sz="6"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color w:val="auto"/>
                <w:kern w:val="2"/>
                <w:sz w:val="20"/>
                <w:szCs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2" w:hRule="atLeast"/>
          <w:jc w:val="center"/>
        </w:trPr>
        <w:tc>
          <w:tcPr>
            <w:tcW w:w="81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2</w:t>
            </w:r>
          </w:p>
        </w:tc>
        <w:tc>
          <w:tcPr>
            <w:tcW w:w="187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jc w:val="center"/>
              <w:rPr>
                <w:rFonts w:hint="eastAsia"/>
                <w:color w:val="auto"/>
                <w:szCs w:val="20"/>
                <w:highlight w:val="none"/>
                <w:lang w:val="en-US" w:eastAsia="zh-CN"/>
              </w:rPr>
            </w:pPr>
            <w:r>
              <w:rPr>
                <w:rFonts w:hint="eastAsia"/>
                <w:color w:val="auto"/>
                <w:szCs w:val="20"/>
                <w:highlight w:val="none"/>
                <w:lang w:val="en-US" w:eastAsia="zh-CN"/>
              </w:rPr>
              <w:t>科技档案整理</w:t>
            </w:r>
          </w:p>
          <w:p>
            <w:pPr>
              <w:pStyle w:val="28"/>
              <w:keepNext w:val="0"/>
              <w:keepLines w:val="0"/>
              <w:suppressLineNumbers w:val="0"/>
              <w:jc w:val="center"/>
              <w:rPr>
                <w:rFonts w:hint="default" w:ascii="宋体" w:hAnsi="宋体" w:eastAsia="宋体" w:cs="宋体"/>
                <w:color w:val="auto"/>
                <w:highlight w:val="none"/>
                <w:lang w:val="en-US" w:eastAsia="zh-CN"/>
              </w:rPr>
            </w:pPr>
            <w:r>
              <w:rPr>
                <w:rFonts w:hint="eastAsia"/>
                <w:color w:val="auto"/>
                <w:szCs w:val="20"/>
                <w:highlight w:val="none"/>
                <w:lang w:val="en-US" w:eastAsia="zh-CN"/>
              </w:rPr>
              <w:t>（含图纸整理）</w:t>
            </w:r>
          </w:p>
        </w:tc>
        <w:tc>
          <w:tcPr>
            <w:tcW w:w="9247" w:type="dxa"/>
            <w:tcBorders>
              <w:top w:val="single" w:color="auto" w:sz="6" w:space="0"/>
              <w:bottom w:val="single" w:color="auto" w:sz="6" w:space="0"/>
              <w:right w:val="single" w:color="auto" w:sz="4" w:space="0"/>
            </w:tcBorders>
            <w:shd w:val="clear" w:color="auto" w:fill="FFFFFF"/>
            <w:vAlign w:val="center"/>
          </w:tcPr>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eastAsia" w:ascii="宋体" w:hAnsi="宋体" w:cs="宋体"/>
                <w:color w:val="auto"/>
                <w:kern w:val="2"/>
                <w:highlight w:val="none"/>
              </w:rPr>
            </w:pPr>
            <w:r>
              <w:rPr>
                <w:rFonts w:hint="eastAsia" w:ascii="宋体" w:hAnsi="宋体" w:cs="宋体"/>
                <w:color w:val="auto"/>
                <w:kern w:val="2"/>
                <w:highlight w:val="none"/>
              </w:rPr>
              <w:t>参照标准：《国家重大建设项目文件归档要求与档案整理规范》（DA/T 28 -2002）、《建设工程文件归档规范》（GBT 50328-2014）、《城市轨道交通工程档案整理标准》（CJJ/T 180-2012），《南宁轨道交通集团有限责任公司城市轨道交通工程档案管理实施细则》以及南宁市城建档案馆的整理要求（由比选申请人与档案馆对接落实具体要求）。</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组卷及分类：科技档案按“卷”进行归档整理，科技档案二级类目分为科研（KJ·KY）、基建（KJ·JJ）、设备仪器（KJ·SB）共3类。科研课题、建设项目、设备仪器方面的科技文件，应按其项目、结构、阶段或台（套）等分别组卷。立项文件、征地拆迁文件、招投标文件、合同协议按建设程序、专业、时间顺序进行组卷；勘察测量文件按单位工程进行组卷；初步设计、施工图设计按单位工程、分专业进行组卷。科研档案。</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eastAsia" w:ascii="宋体" w:hAnsi="宋体" w:cs="宋体"/>
                <w:color w:val="auto"/>
                <w:kern w:val="2"/>
                <w:highlight w:val="none"/>
                <w:lang w:val="en-US" w:eastAsia="zh-CN"/>
              </w:rPr>
              <w:t>排序：（1）科研类案卷宜按课题可行性研究立项、方案论证、研究实验、总结鉴定、成果和知识产权申报、推广应用等阶段排列。（2）建设项目类案卷宜按项目前期、项目设计、项目施工、项目监理、项目竣工、项目验收及项目后评估等阶段排列。（3）设备仪器类案卷宜按设备仪器立项审批、外购设备仪器开箱验收（自制设备仪器的设计、制造、验收）、设备仪器安装调试、随机文件材料、设备仪器运行、设备仪器维护等阶段或工作程序排列。</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编页：以“卷”为单位，有书写内容的页面均要用阿拉伯数字从“1”起，依次编写页码。单面书写的文件在右下角；双面书写的文件，正面在右下角，背面在左下角。案卷封面、卷内目录、卷内备考表不编写页号。页码统一使用自动号码机以及不易褪色的黑色印油编制。</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编号：依分类方案和排列顺序编写案卷的档号。档号编制应遵循唯一性、合理性的原则。设计图卷应以“张”为单位逐张图纸加盖档号章，档号章应加盖在折叠后的图纸正面右上角。招投标、合同等资料以“份”为单位加盖档号章。档号章的加盖必须清晰、整洁和端正。</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数字化扫描：所有纸质工程文件均应逐份进行数字化扫描，形成电子文件。扫描图像要清晰、完整、无色差、无变形，视觉上基本无偏斜，不影响档案利用。数字化扫描应在文件材料完成编目工作后进行。</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eastAsia" w:ascii="宋体" w:hAnsi="宋体" w:cs="宋体"/>
                <w:color w:val="auto"/>
                <w:kern w:val="2"/>
                <w:highlight w:val="none"/>
                <w:lang w:val="en-US" w:eastAsia="zh-CN"/>
              </w:rPr>
              <w:t>编目：（1）编制卷内目录：在比选人已有的档案信息化管理系统中以单份文件为著录对象，按文件在卷内的排列顺序录入档案信息，目录样式宜符合比选人的要求。（2）填写卷内备考表：应注明本案卷的文件材料的总页数，以及文字材料页数、图样材料页数、照片的张数。卷内备考表采用120g的无酸牛皮纸打印，样式宜符合比选人的要求。（3）编制案卷内封面：案卷应用120g的无酸牛皮纸编制案卷内封面，封面要求机打制作。封面样式宜符合比选人要求。（4）编制案卷目录：在比选人已有的档案信息化管理系统中按案卷的排列顺序逐项著录案卷信息，样式宜符合比选人的要求。（5）档案盒脊背：打印并粘贴档案盒脊背贴条，填写档案盒封面，样式符合比选人的要求。</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图纸折叠：设计图纸应逐张按A4幅面，采用“手风琴”式内折法，先上下，后左右的方式进行折叠，图标外翻。</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装订：以“卷”或“件”为单位对档案资料进行装订。装订时必须去除文件材料上的金属、塑料等不符合归档要求的材料，靠左靠下对齐页面，在距左边线1厘米，距上下边线距3厘米处等分三孔，用棉线装订，在背面中孔打死结，装订好的文件资料不得出现松垮现象。</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装盒：每个档案盒内只装一卷档案，文件材料卷的厚度不宜超过30mm，图纸卷不宜超过50mm。</w:t>
            </w:r>
          </w:p>
          <w:p>
            <w:pPr>
              <w:pStyle w:val="28"/>
              <w:keepNext w:val="0"/>
              <w:keepLines w:val="0"/>
              <w:pageBreakBefore w:val="0"/>
              <w:widowControl w:val="0"/>
              <w:numPr>
                <w:ilvl w:val="0"/>
                <w:numId w:val="11"/>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eastAsia" w:ascii="宋体" w:hAnsi="宋体" w:cs="宋体"/>
                <w:color w:val="auto"/>
                <w:kern w:val="2"/>
                <w:highlight w:val="none"/>
                <w:lang w:val="en-US" w:eastAsia="zh-CN"/>
              </w:rPr>
              <w:t>详见用户需求书。</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ascii="宋体" w:hAnsi="宋体" w:cs="宋体"/>
                <w:color w:val="auto"/>
                <w:kern w:val="2"/>
                <w:highlight w:val="none"/>
              </w:rPr>
            </w:pPr>
          </w:p>
        </w:tc>
        <w:tc>
          <w:tcPr>
            <w:tcW w:w="1099" w:type="dxa"/>
            <w:tcBorders>
              <w:top w:val="single" w:color="auto" w:sz="6"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81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3</w:t>
            </w:r>
          </w:p>
        </w:tc>
        <w:tc>
          <w:tcPr>
            <w:tcW w:w="187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jc w:val="center"/>
              <w:rPr>
                <w:rFonts w:hint="default" w:ascii="宋体" w:hAnsi="宋体" w:eastAsia="宋体" w:cs="宋体"/>
                <w:color w:val="auto"/>
                <w:highlight w:val="none"/>
                <w:lang w:val="en-US" w:eastAsia="zh-CN"/>
              </w:rPr>
            </w:pPr>
            <w:r>
              <w:rPr>
                <w:rFonts w:hint="eastAsia"/>
                <w:color w:val="auto"/>
                <w:szCs w:val="20"/>
                <w:highlight w:val="none"/>
                <w:lang w:val="en-US" w:eastAsia="zh-CN"/>
              </w:rPr>
              <w:t>会计档案整理</w:t>
            </w:r>
          </w:p>
        </w:tc>
        <w:tc>
          <w:tcPr>
            <w:tcW w:w="9247" w:type="dxa"/>
            <w:tcBorders>
              <w:top w:val="single" w:color="auto" w:sz="6" w:space="0"/>
              <w:bottom w:val="single" w:color="auto" w:sz="6" w:space="0"/>
              <w:right w:val="single" w:color="auto" w:sz="4" w:space="0"/>
            </w:tcBorders>
            <w:shd w:val="clear" w:color="auto" w:fill="FFFFFF"/>
            <w:vAlign w:val="center"/>
          </w:tcPr>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eastAsia" w:ascii="宋体" w:hAnsi="宋体" w:cs="宋体"/>
                <w:color w:val="auto"/>
                <w:kern w:val="2"/>
                <w:highlight w:val="none"/>
                <w:lang w:val="en-US" w:eastAsia="zh-CN"/>
              </w:rPr>
              <w:t>参照标准：《会计档案管理办法》（财政部、国家档案局令第79号）。</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default" w:ascii="宋体" w:hAnsi="宋体" w:cs="宋体"/>
                <w:color w:val="auto"/>
                <w:kern w:val="2"/>
                <w:highlight w:val="none"/>
                <w:lang w:val="en-US" w:eastAsia="zh-CN"/>
              </w:rPr>
              <w:t>组卷及分类：会计档案按照类别、机构、年度、保管期限等分类项进行分类，按“卷”进行归档整理。会计档案二级类目分为凭证（KU·01）、账簿（KU·02）、财务报告（KU·03）、其他会计资料（KU·04）共4类。会计凭证按照记账的先后顺序组卷。</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default" w:ascii="宋体" w:hAnsi="宋体" w:cs="宋体"/>
                <w:color w:val="auto"/>
                <w:kern w:val="2"/>
                <w:highlight w:val="none"/>
                <w:lang w:val="en-US" w:eastAsia="zh-CN"/>
              </w:rPr>
              <w:t>编页码：会计报表、工资表卷内文件材料均按有书写内容的页面编写页码。每卷单独编页，页号从“1”开始。</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default" w:ascii="宋体" w:hAnsi="宋体" w:cs="宋体"/>
                <w:color w:val="auto"/>
                <w:kern w:val="2"/>
                <w:highlight w:val="none"/>
                <w:lang w:val="en-US" w:eastAsia="zh-CN"/>
              </w:rPr>
              <w:t>鉴定保管期限：按要求将会计档案的保管期限分为永久和定期两类，定期保管期限分为10年和30年。</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default" w:ascii="宋体" w:hAnsi="宋体" w:cs="宋体"/>
                <w:color w:val="auto"/>
                <w:kern w:val="2"/>
                <w:highlight w:val="none"/>
                <w:lang w:val="en-US" w:eastAsia="zh-CN"/>
              </w:rPr>
              <w:t>编号：同一类别下的案卷按形成时间先后顺序编制一个顺序号。档号结构为：全宗号－档案门类代码·会计档案类别代码·年度－保管期限代码-案卷号。</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default" w:ascii="宋体" w:hAnsi="宋体" w:cs="宋体"/>
                <w:color w:val="auto"/>
                <w:kern w:val="2"/>
                <w:highlight w:val="none"/>
                <w:lang w:val="en-US" w:eastAsia="zh-CN"/>
              </w:rPr>
              <w:t>编制案卷目录：以单卷文件为著录对象著录案卷信息，目录样式宜符合比选人的要求。</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default" w:ascii="宋体" w:hAnsi="宋体" w:cs="宋体"/>
                <w:color w:val="auto"/>
                <w:kern w:val="2"/>
                <w:highlight w:val="none"/>
                <w:lang w:val="en-US" w:eastAsia="zh-CN"/>
              </w:rPr>
              <w:t>编制案卷封面和备考表：按照比选人要求的格式编制案卷封面和备考表。会计凭证使用国家统一标准的“会计档案凭证软封面”，封面按项目填写。</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default" w:ascii="宋体" w:hAnsi="宋体" w:cs="宋体"/>
                <w:color w:val="auto"/>
                <w:kern w:val="2"/>
                <w:highlight w:val="none"/>
                <w:lang w:val="en-US" w:eastAsia="zh-CN"/>
              </w:rPr>
              <w:t>数据导入：在比选人已有的档案信息化管理系统中导入卷内文件目录、案卷目录。</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default" w:ascii="宋体" w:hAnsi="宋体" w:cs="宋体"/>
                <w:color w:val="auto"/>
                <w:kern w:val="2"/>
                <w:highlight w:val="none"/>
                <w:lang w:val="en-US" w:eastAsia="zh-CN"/>
              </w:rPr>
              <w:t>装订：以“册”为单位，取适当厚度并按照案卷封面－卷内文件材料－备考表的排列整齐后，采用三孔一线方法，齐下齐左，在案卷的左侧装订，装订好的文件资料不得出现松垮、压字等现象。</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default" w:ascii="宋体" w:hAnsi="宋体" w:cs="宋体"/>
                <w:color w:val="auto"/>
                <w:kern w:val="2"/>
                <w:highlight w:val="none"/>
                <w:lang w:val="en-US" w:eastAsia="zh-CN"/>
              </w:rPr>
              <w:t>装盒：按案卷号顺序每个档案盒装一册会计资料，不同类的档案不能混装一盒。以盖章方式填写档案盒封面信息。</w:t>
            </w:r>
          </w:p>
          <w:p>
            <w:pPr>
              <w:pStyle w:val="28"/>
              <w:keepNext w:val="0"/>
              <w:keepLines w:val="0"/>
              <w:pageBreakBefore w:val="0"/>
              <w:widowControl w:val="0"/>
              <w:numPr>
                <w:ilvl w:val="0"/>
                <w:numId w:val="12"/>
              </w:numPr>
              <w:suppressLineNumbers w:val="0"/>
              <w:tabs>
                <w:tab w:val="clear" w:pos="312"/>
              </w:tabs>
              <w:kinsoku/>
              <w:wordWrap/>
              <w:overflowPunct/>
              <w:topLinePunct w:val="0"/>
              <w:autoSpaceDE/>
              <w:autoSpaceDN/>
              <w:bidi w:val="0"/>
              <w:adjustRightInd/>
              <w:snapToGrid/>
              <w:spacing w:before="0" w:beforeAutospacing="0" w:line="300" w:lineRule="exact"/>
              <w:ind w:leftChars="0" w:right="0" w:rightChars="0" w:firstLine="400" w:firstLineChars="200"/>
              <w:textAlignment w:val="auto"/>
              <w:rPr>
                <w:rFonts w:hint="default" w:ascii="宋体" w:hAnsi="宋体" w:cs="宋体"/>
                <w:color w:val="auto"/>
                <w:kern w:val="2"/>
                <w:highlight w:val="none"/>
                <w:lang w:val="en-US" w:eastAsia="zh-CN"/>
              </w:rPr>
            </w:pPr>
            <w:r>
              <w:rPr>
                <w:rFonts w:hint="eastAsia" w:ascii="宋体" w:hAnsi="宋体" w:cs="宋体"/>
                <w:color w:val="auto"/>
                <w:kern w:val="2"/>
                <w:highlight w:val="none"/>
                <w:lang w:val="en-US" w:eastAsia="zh-CN"/>
              </w:rPr>
              <w:t>详见用户需求书。</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ascii="宋体" w:hAnsi="宋体" w:cs="宋体"/>
                <w:color w:val="auto"/>
                <w:kern w:val="2"/>
                <w:highlight w:val="none"/>
              </w:rPr>
            </w:pPr>
          </w:p>
        </w:tc>
        <w:tc>
          <w:tcPr>
            <w:tcW w:w="1099" w:type="dxa"/>
            <w:tcBorders>
              <w:top w:val="single" w:color="auto" w:sz="6"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1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4</w:t>
            </w:r>
          </w:p>
        </w:tc>
        <w:tc>
          <w:tcPr>
            <w:tcW w:w="187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jc w:val="center"/>
              <w:rPr>
                <w:rFonts w:hint="default" w:ascii="宋体" w:hAnsi="宋体" w:eastAsia="宋体" w:cs="宋体"/>
                <w:color w:val="auto"/>
                <w:highlight w:val="none"/>
                <w:lang w:val="en-US" w:eastAsia="zh-CN"/>
              </w:rPr>
            </w:pPr>
            <w:r>
              <w:rPr>
                <w:rFonts w:hint="eastAsia"/>
                <w:color w:val="auto"/>
                <w:szCs w:val="20"/>
                <w:highlight w:val="none"/>
                <w:lang w:val="en-US" w:eastAsia="zh-CN"/>
              </w:rPr>
              <w:t>照片档案整理</w:t>
            </w:r>
          </w:p>
        </w:tc>
        <w:tc>
          <w:tcPr>
            <w:tcW w:w="9247" w:type="dxa"/>
            <w:tcBorders>
              <w:top w:val="single" w:color="auto" w:sz="6" w:space="0"/>
              <w:bottom w:val="single" w:color="auto" w:sz="6" w:space="0"/>
              <w:right w:val="single" w:color="auto" w:sz="4" w:space="0"/>
            </w:tcBorders>
            <w:shd w:val="clear" w:color="auto" w:fill="FFFFFF"/>
            <w:vAlign w:val="center"/>
          </w:tcPr>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宋体" w:eastAsia="宋体" w:cs="Times New Roman"/>
                <w:color w:val="auto"/>
                <w:sz w:val="20"/>
                <w:szCs w:val="20"/>
                <w:highlight w:val="none"/>
                <w:lang w:val="en-US" w:eastAsia="zh-CN" w:bidi="ar"/>
              </w:rPr>
            </w:pPr>
            <w:r>
              <w:rPr>
                <w:rFonts w:hint="eastAsia" w:ascii="Times New Roman" w:hAnsi="宋体" w:eastAsia="宋体" w:cs="Times New Roman"/>
                <w:color w:val="auto"/>
                <w:sz w:val="20"/>
                <w:szCs w:val="20"/>
                <w:highlight w:val="none"/>
                <w:lang w:val="en-US" w:eastAsia="zh-CN" w:bidi="ar"/>
              </w:rPr>
              <w:t>参考标准：《档案著录规则》（GB/T 18）、《照片档案管理规范》（GB/T 11821）。</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宋体" w:eastAsia="宋体" w:cs="Times New Roman"/>
                <w:color w:val="auto"/>
                <w:sz w:val="20"/>
                <w:szCs w:val="20"/>
                <w:highlight w:val="none"/>
                <w:lang w:val="en-US" w:eastAsia="zh-CN" w:bidi="ar"/>
              </w:rPr>
            </w:pPr>
            <w:r>
              <w:rPr>
                <w:rFonts w:hint="eastAsia" w:ascii="Times New Roman" w:hAnsi="宋体" w:eastAsia="宋体" w:cs="Times New Roman"/>
                <w:color w:val="auto"/>
                <w:sz w:val="20"/>
                <w:szCs w:val="20"/>
                <w:highlight w:val="none"/>
                <w:lang w:val="en-US" w:eastAsia="zh-CN" w:bidi="ar"/>
              </w:rPr>
              <w:t>组卷：照片档案的整理应遵循照片档案的有机联系、便于保管和利用。照片档案的底片、照片应存放在照片盒内，数字照片的光盘，移动硬盘应单独存放。</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宋体" w:eastAsia="宋体" w:cs="Times New Roman"/>
                <w:color w:val="auto"/>
                <w:sz w:val="20"/>
                <w:szCs w:val="20"/>
                <w:highlight w:val="none"/>
                <w:lang w:val="en-US" w:eastAsia="zh-CN" w:bidi="ar"/>
              </w:rPr>
            </w:pPr>
            <w:r>
              <w:rPr>
                <w:rFonts w:hint="eastAsia" w:ascii="Times New Roman" w:hAnsi="宋体" w:eastAsia="宋体" w:cs="Times New Roman"/>
                <w:color w:val="auto"/>
                <w:sz w:val="20"/>
                <w:szCs w:val="20"/>
                <w:highlight w:val="none"/>
                <w:lang w:val="en-US" w:eastAsia="zh-CN" w:bidi="ar"/>
              </w:rPr>
              <w:t>分类：照片档案按形成年度、保管期限等分类项进行分类，按“件”进行归档整理。基建档案的工程照片随基建档案一同编排，不按此规则编制。照片的保管期限是按照片的价值划定的存留年限，分为永久、30年、10年三种。</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宋体" w:eastAsia="宋体" w:cs="Times New Roman"/>
                <w:color w:val="auto"/>
                <w:sz w:val="20"/>
                <w:szCs w:val="20"/>
                <w:highlight w:val="none"/>
                <w:lang w:val="en-US" w:eastAsia="zh-CN" w:bidi="ar"/>
              </w:rPr>
            </w:pPr>
            <w:r>
              <w:rPr>
                <w:rFonts w:hint="eastAsia" w:ascii="Times New Roman" w:hAnsi="宋体" w:eastAsia="宋体" w:cs="Times New Roman"/>
                <w:color w:val="auto"/>
                <w:sz w:val="20"/>
                <w:szCs w:val="20"/>
                <w:highlight w:val="none"/>
                <w:lang w:val="en-US" w:eastAsia="zh-CN" w:bidi="ar"/>
              </w:rPr>
              <w:t>排列：应在分类方案的最低一级类目内，照片在全宗、年度、类别内按时间、重要程度等进行排列。为便于提供利用，照片排列及入册时应同时考虑不同保密等级照片的定位。</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eastAsia" w:ascii="Times New Roman" w:hAnsi="宋体" w:eastAsia="宋体" w:cs="Times New Roman"/>
                <w:color w:val="auto"/>
                <w:sz w:val="20"/>
                <w:szCs w:val="20"/>
                <w:highlight w:val="none"/>
                <w:lang w:val="en-US" w:eastAsia="zh-CN" w:bidi="ar"/>
              </w:rPr>
              <w:t>编号：在照片背面按照片排列顺序逐张编号。照片号是固定和反映每张照片在全宗内分类与排列顺序的一组字符代码。</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照片的入册：应按照分类、排列顺序即照片号顺序将照片固定在芯页上，组成照片册。</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照片册的封面：照片册的封面应印制“照片档案”字样。</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照片册的册脊：照片册册脊项目包括：全宗号、保管期限、类别、册号、起止账号。</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照片册的排列：照片册按照全宗号、保管期限、册号的顺序排列，上架保存。</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目录编制：册内目录设置照片号、题名、摄影者、拍摄时间、参见号、备注等项目。册内目录的条目应按照片号排序。册内目录位于册内最前面。</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default" w:ascii="宋体" w:hAnsi="宋体" w:cs="宋体"/>
                <w:color w:val="auto"/>
                <w:kern w:val="2"/>
                <w:highlight w:val="none"/>
              </w:rPr>
              <w:t>册内备考表：包括本册情况说明、立册人、检查人、立册时间。册内备考表应放在册内最后位置。</w:t>
            </w:r>
          </w:p>
          <w:p>
            <w:pPr>
              <w:pStyle w:val="28"/>
              <w:keepNext w:val="0"/>
              <w:keepLines w:val="0"/>
              <w:pageBreakBefore w:val="0"/>
              <w:widowControl w:val="0"/>
              <w:numPr>
                <w:ilvl w:val="0"/>
                <w:numId w:val="13"/>
              </w:numPr>
              <w:suppressLineNumbers w:val="0"/>
              <w:tabs>
                <w:tab w:val="clear" w:pos="312"/>
              </w:tabs>
              <w:kinsoku/>
              <w:wordWrap/>
              <w:overflowPunct/>
              <w:topLinePunct w:val="0"/>
              <w:autoSpaceDE/>
              <w:autoSpaceDN/>
              <w:bidi w:val="0"/>
              <w:adjustRightInd/>
              <w:snapToGrid/>
              <w:spacing w:before="0" w:beforeAutospacing="0" w:line="300" w:lineRule="exact"/>
              <w:ind w:firstLine="400" w:firstLineChars="200"/>
              <w:textAlignment w:val="auto"/>
              <w:rPr>
                <w:rFonts w:hint="default" w:ascii="宋体" w:hAnsi="宋体" w:cs="宋体"/>
                <w:color w:val="auto"/>
                <w:kern w:val="2"/>
                <w:highlight w:val="none"/>
              </w:rPr>
            </w:pPr>
            <w:r>
              <w:rPr>
                <w:rFonts w:hint="eastAsia" w:ascii="宋体" w:hAnsi="宋体" w:cs="宋体"/>
                <w:color w:val="auto"/>
                <w:kern w:val="2"/>
                <w:highlight w:val="none"/>
                <w:lang w:val="en-US" w:eastAsia="zh-CN"/>
              </w:rPr>
              <w:t>详见用户需求书。</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ascii="宋体" w:hAnsi="宋体" w:cs="宋体"/>
                <w:color w:val="auto"/>
                <w:kern w:val="2"/>
                <w:highlight w:val="none"/>
              </w:rPr>
            </w:pPr>
          </w:p>
        </w:tc>
        <w:tc>
          <w:tcPr>
            <w:tcW w:w="1099" w:type="dxa"/>
            <w:tcBorders>
              <w:top w:val="single" w:color="auto" w:sz="6"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64" w:hRule="atLeast"/>
          <w:jc w:val="center"/>
        </w:trPr>
        <w:tc>
          <w:tcPr>
            <w:tcW w:w="81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5</w:t>
            </w:r>
          </w:p>
        </w:tc>
        <w:tc>
          <w:tcPr>
            <w:tcW w:w="187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jc w:val="center"/>
              <w:rPr>
                <w:rFonts w:hint="default" w:ascii="宋体" w:hAnsi="宋体" w:eastAsia="宋体" w:cs="宋体"/>
                <w:color w:val="auto"/>
                <w:highlight w:val="none"/>
                <w:lang w:val="en-US" w:eastAsia="zh-CN"/>
              </w:rPr>
            </w:pPr>
            <w:r>
              <w:rPr>
                <w:rFonts w:hint="eastAsia"/>
                <w:color w:val="auto"/>
                <w:highlight w:val="none"/>
                <w:lang w:val="en-US" w:eastAsia="zh-CN"/>
              </w:rPr>
              <w:t>录音录像档案</w:t>
            </w:r>
          </w:p>
        </w:tc>
        <w:tc>
          <w:tcPr>
            <w:tcW w:w="9247" w:type="dxa"/>
            <w:tcBorders>
              <w:top w:val="single" w:color="auto" w:sz="6" w:space="0"/>
              <w:bottom w:val="single" w:color="auto" w:sz="6" w:space="0"/>
              <w:right w:val="single" w:color="auto" w:sz="4" w:space="0"/>
            </w:tcBorders>
            <w:shd w:val="clear" w:color="auto" w:fill="FFFFFF"/>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参考标准：《档案著录规则》（GB/T 18）、《录音录像档案管理规范》（DA/T 78—2019）。</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color w:val="auto"/>
                <w:highlight w:val="none"/>
              </w:rPr>
            </w:pPr>
            <w:r>
              <w:rPr>
                <w:rFonts w:hint="eastAsia"/>
                <w:color w:val="auto"/>
                <w:highlight w:val="none"/>
              </w:rPr>
              <w:t>2</w:t>
            </w:r>
            <w:r>
              <w:rPr>
                <w:rFonts w:hint="eastAsia"/>
                <w:color w:val="auto"/>
                <w:highlight w:val="none"/>
                <w:lang w:val="en-US" w:eastAsia="zh-CN"/>
              </w:rPr>
              <w:t>.</w:t>
            </w:r>
            <w:r>
              <w:rPr>
                <w:rFonts w:hint="eastAsia"/>
                <w:color w:val="auto"/>
                <w:highlight w:val="none"/>
              </w:rPr>
              <w:t>组卷：录音、录像的整理应遵循保持录音、录像的有机联系、便于保管和利用的原则。</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color w:val="auto"/>
                <w:highlight w:val="none"/>
              </w:rPr>
            </w:pPr>
            <w:r>
              <w:rPr>
                <w:rFonts w:hint="eastAsia"/>
                <w:color w:val="auto"/>
                <w:highlight w:val="none"/>
              </w:rPr>
              <w:t>3</w:t>
            </w:r>
            <w:r>
              <w:rPr>
                <w:rFonts w:hint="eastAsia"/>
                <w:color w:val="auto"/>
                <w:highlight w:val="none"/>
                <w:lang w:val="en-US" w:eastAsia="zh-CN"/>
              </w:rPr>
              <w:t>.</w:t>
            </w:r>
            <w:r>
              <w:rPr>
                <w:rFonts w:hint="eastAsia"/>
                <w:color w:val="auto"/>
                <w:highlight w:val="none"/>
              </w:rPr>
              <w:t>排列：根据分类方案，每件归档录音、录像在最低一级类目内按时间先后顺序排列。</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color w:val="auto"/>
                <w:highlight w:val="none"/>
              </w:rPr>
            </w:pPr>
            <w:r>
              <w:rPr>
                <w:rFonts w:hint="eastAsia"/>
                <w:color w:val="auto"/>
                <w:highlight w:val="none"/>
                <w:lang w:val="en-US" w:eastAsia="zh-CN"/>
              </w:rPr>
              <w:t>4.</w:t>
            </w:r>
            <w:r>
              <w:rPr>
                <w:rFonts w:hint="eastAsia"/>
                <w:color w:val="auto"/>
                <w:highlight w:val="none"/>
              </w:rPr>
              <w:t>编号：录音、录像档案按照年度、保管期限等分类项进行分类，按“件”进行归档整理。基建档案的工程录像资料随基建档案一同编排，不按此规则编制。（1）录音档号结构为：全宗号－档案门类代码·年度－保管期限代码－件号。（2）录像档号结构为：全宗号－档案门类代码·年度－保管期限代码－件号。</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color w:val="auto"/>
                <w:highlight w:val="none"/>
              </w:rPr>
            </w:pPr>
            <w:r>
              <w:rPr>
                <w:rFonts w:hint="eastAsia"/>
                <w:color w:val="auto"/>
                <w:highlight w:val="none"/>
                <w:lang w:val="en-US" w:eastAsia="zh-CN"/>
              </w:rPr>
              <w:t>5.</w:t>
            </w:r>
            <w:r>
              <w:rPr>
                <w:rFonts w:hint="default"/>
                <w:color w:val="auto"/>
                <w:highlight w:val="none"/>
              </w:rPr>
              <w:t>著录：每件录音、录像都应按分类方案，在相关的管理软件上著录各项目要素，并打印出归档目录。录音、录像档案目录包括档号、责任者、题名、时间长度（分、秒）、起始标志、结束标志、现存载体编号、原存载体编号、参见号、备注。录音、录像档案目录用纸幅面尺寸采用国际标准A4型（长×宽=279mm×210mm）横排</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color w:val="auto"/>
                <w:highlight w:val="none"/>
              </w:rPr>
            </w:pPr>
            <w:r>
              <w:rPr>
                <w:rFonts w:hint="eastAsia"/>
                <w:color w:val="auto"/>
                <w:highlight w:val="none"/>
                <w:lang w:val="en-US" w:eastAsia="zh-CN"/>
              </w:rPr>
              <w:t>6.</w:t>
            </w:r>
            <w:r>
              <w:rPr>
                <w:rFonts w:hint="default"/>
                <w:color w:val="auto"/>
                <w:highlight w:val="none"/>
              </w:rPr>
              <w:t>编目：录音、录像档案目录应编制目录封面。封面可以视需要设置全宗名称、录音（录像）档案、年度、类别。</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color w:val="auto"/>
                <w:highlight w:val="none"/>
              </w:rPr>
            </w:pPr>
            <w:r>
              <w:rPr>
                <w:rFonts w:hint="eastAsia"/>
                <w:color w:val="auto"/>
                <w:highlight w:val="none"/>
                <w:lang w:val="en-US" w:eastAsia="zh-CN"/>
              </w:rPr>
              <w:t>7.</w:t>
            </w:r>
            <w:r>
              <w:rPr>
                <w:rFonts w:hint="default"/>
                <w:color w:val="auto"/>
                <w:highlight w:val="none"/>
              </w:rPr>
              <w:t>上架：迁移后的归档录音、录像存贮载体应按分类方案排列顺序编号、上架。原录音、录像存贮载体的各种光盘、U盘等自行分类、编号、上架。</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eastAsia="宋体"/>
                <w:color w:val="auto"/>
                <w:highlight w:val="none"/>
                <w:lang w:val="en-US" w:eastAsia="zh-CN"/>
              </w:rPr>
            </w:pPr>
            <w:r>
              <w:rPr>
                <w:rFonts w:hint="eastAsia"/>
                <w:color w:val="auto"/>
                <w:highlight w:val="none"/>
                <w:lang w:val="en-US" w:eastAsia="zh-CN"/>
              </w:rPr>
              <w:t>8.详见用户需求书。</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ascii="宋体" w:hAnsi="宋体" w:cs="宋体"/>
                <w:color w:val="auto"/>
                <w:kern w:val="2"/>
                <w:highlight w:val="none"/>
              </w:rPr>
            </w:pPr>
          </w:p>
        </w:tc>
        <w:tc>
          <w:tcPr>
            <w:tcW w:w="1099" w:type="dxa"/>
            <w:tcBorders>
              <w:top w:val="single" w:color="auto" w:sz="6"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54" w:hRule="atLeast"/>
          <w:jc w:val="center"/>
        </w:trPr>
        <w:tc>
          <w:tcPr>
            <w:tcW w:w="81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6</w:t>
            </w:r>
          </w:p>
        </w:tc>
        <w:tc>
          <w:tcPr>
            <w:tcW w:w="187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jc w:val="center"/>
              <w:rPr>
                <w:rFonts w:hint="default" w:ascii="宋体" w:hAnsi="宋体" w:eastAsia="宋体" w:cs="宋体"/>
                <w:color w:val="auto"/>
                <w:highlight w:val="none"/>
                <w:lang w:val="en-US" w:eastAsia="zh-CN"/>
              </w:rPr>
            </w:pPr>
            <w:r>
              <w:rPr>
                <w:rFonts w:hint="eastAsia"/>
                <w:color w:val="auto"/>
                <w:highlight w:val="none"/>
                <w:lang w:val="en-US" w:eastAsia="zh-CN"/>
              </w:rPr>
              <w:t>实物档案整理</w:t>
            </w:r>
          </w:p>
        </w:tc>
        <w:tc>
          <w:tcPr>
            <w:tcW w:w="9247" w:type="dxa"/>
            <w:tcBorders>
              <w:top w:val="single" w:color="auto" w:sz="6" w:space="0"/>
              <w:bottom w:val="single" w:color="auto" w:sz="6" w:space="0"/>
              <w:right w:val="single" w:color="auto" w:sz="4" w:space="0"/>
            </w:tcBorders>
            <w:shd w:val="clear" w:color="auto" w:fill="FFFFFF"/>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cs="Times New Roman"/>
                <w:color w:val="auto"/>
                <w:sz w:val="20"/>
                <w:szCs w:val="21"/>
                <w:highlight w:val="none"/>
              </w:rPr>
            </w:pPr>
            <w:r>
              <w:rPr>
                <w:rFonts w:hint="eastAsia" w:cs="Times New Roman"/>
                <w:color w:val="auto"/>
                <w:sz w:val="20"/>
                <w:szCs w:val="21"/>
                <w:highlight w:val="none"/>
                <w:lang w:val="en-US" w:eastAsia="zh-CN"/>
              </w:rPr>
              <w:t>1.</w:t>
            </w:r>
            <w:r>
              <w:rPr>
                <w:rFonts w:hint="eastAsia" w:ascii="Times New Roman" w:hAnsi="Times New Roman" w:cs="Times New Roman"/>
                <w:color w:val="auto"/>
                <w:sz w:val="20"/>
                <w:szCs w:val="21"/>
                <w:highlight w:val="none"/>
              </w:rPr>
              <w:t>参照标准：《中华人民共和国档案法》《企业档案工作规范》。</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cs="Times New Roman"/>
                <w:color w:val="auto"/>
                <w:sz w:val="20"/>
                <w:szCs w:val="21"/>
                <w:highlight w:val="none"/>
              </w:rPr>
            </w:pPr>
            <w:r>
              <w:rPr>
                <w:rFonts w:hint="eastAsia" w:cs="Times New Roman"/>
                <w:color w:val="auto"/>
                <w:sz w:val="20"/>
                <w:szCs w:val="21"/>
                <w:highlight w:val="none"/>
                <w:lang w:val="en-US" w:eastAsia="zh-CN"/>
              </w:rPr>
              <w:t>2.</w:t>
            </w:r>
            <w:r>
              <w:rPr>
                <w:rFonts w:hint="eastAsia" w:ascii="Times New Roman" w:hAnsi="Times New Roman" w:cs="Times New Roman"/>
                <w:color w:val="auto"/>
                <w:sz w:val="20"/>
                <w:szCs w:val="21"/>
                <w:highlight w:val="none"/>
              </w:rPr>
              <w:t>整理原则：实物档案按照类别、保管期限等分类项进行分类，按“件”进行归档整理。实物档案的整理应遵循保持实物档案的有机联系、便于保管和利用的原则。</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cs="Times New Roman"/>
                <w:color w:val="auto"/>
                <w:sz w:val="20"/>
                <w:szCs w:val="21"/>
                <w:highlight w:val="none"/>
              </w:rPr>
            </w:pPr>
            <w:r>
              <w:rPr>
                <w:rFonts w:hint="eastAsia" w:cs="Times New Roman"/>
                <w:color w:val="auto"/>
                <w:sz w:val="20"/>
                <w:szCs w:val="21"/>
                <w:highlight w:val="none"/>
                <w:lang w:val="en-US" w:eastAsia="zh-CN"/>
              </w:rPr>
              <w:t>3.</w:t>
            </w:r>
            <w:r>
              <w:rPr>
                <w:rFonts w:hint="eastAsia" w:ascii="Times New Roman" w:hAnsi="Times New Roman" w:cs="Times New Roman"/>
                <w:color w:val="auto"/>
                <w:sz w:val="20"/>
                <w:szCs w:val="21"/>
                <w:highlight w:val="none"/>
              </w:rPr>
              <w:t>整理要求：归档实物应齐全完整。凡是本单位在公务活动中形成、获得、接受、赠送或者征集的各种实物档案均应收集齐全、完整无损，整理归档。每件归档实物均应转拍照片进行相应归档。以物件为立档单位，一件一号。统一编号、装盒、上柜、集中保管，实物不能装盒的，可分散存放在档案库实物柜之内。</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cs="Times New Roman"/>
                <w:color w:val="auto"/>
                <w:sz w:val="20"/>
                <w:szCs w:val="21"/>
                <w:highlight w:val="none"/>
              </w:rPr>
            </w:pPr>
            <w:r>
              <w:rPr>
                <w:rFonts w:hint="eastAsia" w:cs="Times New Roman"/>
                <w:color w:val="auto"/>
                <w:sz w:val="20"/>
                <w:szCs w:val="21"/>
                <w:highlight w:val="none"/>
                <w:lang w:val="en-US" w:eastAsia="zh-CN"/>
              </w:rPr>
              <w:t>4.</w:t>
            </w:r>
            <w:r>
              <w:rPr>
                <w:rFonts w:hint="eastAsia" w:ascii="Times New Roman" w:hAnsi="Times New Roman" w:cs="Times New Roman"/>
                <w:color w:val="auto"/>
                <w:sz w:val="20"/>
                <w:szCs w:val="21"/>
                <w:highlight w:val="none"/>
              </w:rPr>
              <w:t>分类：归档实物应在其全宗—实物类别内，按类别分类将归档实物按问题进行分类。归档实物按问题一般分为荣誉类、纪念品（礼品）类、印信类。实物档案二级类目按实物的类型分为证书（SW·01）、牌匾（SW·02）、奖杯（SW·03）、锦旗（SW·04）、纪念品（SW·05）、印章（KU·05）共6类。</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ascii="Times New Roman" w:hAnsi="Times New Roman" w:cs="Times New Roman"/>
                <w:color w:val="auto"/>
                <w:sz w:val="20"/>
                <w:szCs w:val="21"/>
                <w:highlight w:val="none"/>
              </w:rPr>
            </w:pPr>
            <w:r>
              <w:rPr>
                <w:rFonts w:hint="eastAsia" w:cs="Times New Roman"/>
                <w:color w:val="auto"/>
                <w:sz w:val="20"/>
                <w:szCs w:val="21"/>
                <w:highlight w:val="none"/>
                <w:lang w:val="en-US" w:eastAsia="zh-CN"/>
              </w:rPr>
              <w:t>5.</w:t>
            </w:r>
            <w:r>
              <w:rPr>
                <w:rFonts w:hint="eastAsia" w:ascii="Times New Roman" w:hAnsi="Times New Roman" w:cs="Times New Roman"/>
                <w:color w:val="auto"/>
                <w:sz w:val="20"/>
                <w:szCs w:val="21"/>
                <w:highlight w:val="none"/>
              </w:rPr>
              <w:t>排列：根据分类方案，每件归档实物在最低一级类目内按时间先后顺序排列。格式主要有如下：全宗号—实物—类别—件号。</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ascii="Times New Roman" w:hAnsi="Times New Roman" w:cs="Times New Roman"/>
                <w:color w:val="auto"/>
                <w:sz w:val="20"/>
                <w:szCs w:val="21"/>
                <w:highlight w:val="none"/>
              </w:rPr>
            </w:pPr>
            <w:r>
              <w:rPr>
                <w:rFonts w:hint="eastAsia" w:cs="Times New Roman"/>
                <w:color w:val="auto"/>
                <w:sz w:val="20"/>
                <w:szCs w:val="21"/>
                <w:highlight w:val="none"/>
                <w:lang w:val="en-US" w:eastAsia="zh-CN"/>
              </w:rPr>
              <w:t>6.</w:t>
            </w:r>
            <w:r>
              <w:rPr>
                <w:rFonts w:hint="default" w:ascii="Times New Roman" w:hAnsi="Times New Roman" w:cs="Times New Roman"/>
                <w:color w:val="auto"/>
                <w:sz w:val="20"/>
                <w:szCs w:val="21"/>
                <w:highlight w:val="none"/>
              </w:rPr>
              <w:t>编号：按照分类的结果，实物类档案文件档号结构为：全宗号－档案门类代码·实物类别代码－保管期限代码－件号。</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ascii="Times New Roman" w:hAnsi="Times New Roman" w:cs="Times New Roman"/>
                <w:color w:val="auto"/>
                <w:sz w:val="20"/>
                <w:szCs w:val="21"/>
                <w:highlight w:val="none"/>
              </w:rPr>
            </w:pPr>
            <w:r>
              <w:rPr>
                <w:rFonts w:hint="eastAsia" w:cs="Times New Roman"/>
                <w:color w:val="auto"/>
                <w:sz w:val="20"/>
                <w:szCs w:val="21"/>
                <w:highlight w:val="none"/>
                <w:lang w:val="en-US" w:eastAsia="zh-CN"/>
              </w:rPr>
              <w:t>7.</w:t>
            </w:r>
            <w:r>
              <w:rPr>
                <w:rFonts w:hint="default" w:ascii="Times New Roman" w:hAnsi="Times New Roman" w:cs="Times New Roman"/>
                <w:color w:val="auto"/>
                <w:sz w:val="20"/>
                <w:szCs w:val="21"/>
                <w:highlight w:val="none"/>
              </w:rPr>
              <w:t>著录：每件实物都应按分类方案，在相关的管理软件上著录各项目要素，并打印出归档目录。实物档案归档目录包括件号、题名（文字说明）、材质、型制、年度、类别、参见号、备注。</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ascii="Times New Roman" w:hAnsi="Times New Roman" w:eastAsia="宋体" w:cs="Times New Roman"/>
                <w:color w:val="auto"/>
                <w:sz w:val="20"/>
                <w:szCs w:val="21"/>
                <w:highlight w:val="none"/>
                <w:lang w:val="en-US" w:eastAsia="zh-CN"/>
              </w:rPr>
            </w:pPr>
            <w:r>
              <w:rPr>
                <w:rFonts w:hint="eastAsia" w:cs="Times New Roman"/>
                <w:color w:val="auto"/>
                <w:sz w:val="20"/>
                <w:szCs w:val="21"/>
                <w:highlight w:val="none"/>
                <w:lang w:val="en-US" w:eastAsia="zh-CN"/>
              </w:rPr>
              <w:t>8.详见用户需求书。</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ascii="宋体" w:hAnsi="宋体" w:cs="宋体"/>
                <w:color w:val="auto"/>
                <w:kern w:val="2"/>
                <w:highlight w:val="none"/>
              </w:rPr>
            </w:pPr>
          </w:p>
        </w:tc>
        <w:tc>
          <w:tcPr>
            <w:tcW w:w="1099" w:type="dxa"/>
            <w:tcBorders>
              <w:top w:val="single" w:color="auto" w:sz="6"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09" w:hRule="atLeast"/>
          <w:jc w:val="center"/>
        </w:trPr>
        <w:tc>
          <w:tcPr>
            <w:tcW w:w="81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lang w:val="en-US" w:eastAsia="zh-CN"/>
              </w:rPr>
              <w:t>7</w:t>
            </w:r>
          </w:p>
        </w:tc>
        <w:tc>
          <w:tcPr>
            <w:tcW w:w="187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jc w:val="center"/>
              <w:rPr>
                <w:rFonts w:hint="default" w:ascii="宋体" w:hAnsi="宋体" w:eastAsia="宋体" w:cs="宋体"/>
                <w:color w:val="auto"/>
                <w:szCs w:val="20"/>
                <w:highlight w:val="none"/>
                <w:lang w:val="en-US" w:eastAsia="zh-CN"/>
              </w:rPr>
            </w:pPr>
            <w:r>
              <w:rPr>
                <w:rFonts w:hint="eastAsia" w:hAnsi="宋体"/>
                <w:color w:val="auto"/>
                <w:szCs w:val="20"/>
                <w:highlight w:val="none"/>
                <w:lang w:val="en-US" w:eastAsia="zh-CN"/>
              </w:rPr>
              <w:t>电子档案</w:t>
            </w:r>
          </w:p>
        </w:tc>
        <w:tc>
          <w:tcPr>
            <w:tcW w:w="9247" w:type="dxa"/>
            <w:tcBorders>
              <w:top w:val="single" w:color="auto" w:sz="6" w:space="0"/>
              <w:bottom w:val="single" w:color="auto" w:sz="6" w:space="0"/>
              <w:right w:val="single" w:color="auto" w:sz="4" w:space="0"/>
            </w:tcBorders>
            <w:shd w:val="clear" w:color="auto" w:fill="FFFFFF"/>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textAlignment w:val="auto"/>
              <w:rPr>
                <w:rFonts w:hint="eastAsia"/>
                <w:color w:val="auto"/>
                <w:highlight w:val="none"/>
              </w:rPr>
            </w:pPr>
            <w:r>
              <w:rPr>
                <w:rFonts w:hint="eastAsia"/>
                <w:color w:val="auto"/>
                <w:highlight w:val="none"/>
              </w:rPr>
              <w:t>电子档案的档号结构设置按电子档案管理的有关规定执行。</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textAlignment w:val="auto"/>
              <w:rPr>
                <w:rFonts w:hint="default"/>
                <w:color w:val="auto"/>
                <w:highlight w:val="none"/>
              </w:rPr>
            </w:pPr>
            <w:r>
              <w:rPr>
                <w:rFonts w:hint="eastAsia"/>
                <w:color w:val="auto"/>
                <w:highlight w:val="none"/>
              </w:rPr>
              <w:t>分类方法和档号结构在满足科学性、规范性情况下，可以根据公司实际情况予以调整。</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ascii="宋体" w:hAnsi="宋体" w:cs="宋体"/>
                <w:color w:val="auto"/>
                <w:kern w:val="2"/>
                <w:highlight w:val="none"/>
              </w:rPr>
            </w:pPr>
          </w:p>
        </w:tc>
        <w:tc>
          <w:tcPr>
            <w:tcW w:w="1099" w:type="dxa"/>
            <w:tcBorders>
              <w:top w:val="single" w:color="auto" w:sz="6"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81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8</w:t>
            </w:r>
          </w:p>
        </w:tc>
        <w:tc>
          <w:tcPr>
            <w:tcW w:w="187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jc w:val="center"/>
              <w:rPr>
                <w:rFonts w:hint="default" w:ascii="宋体" w:hAnsi="宋体" w:eastAsia="宋体" w:cs="宋体"/>
                <w:color w:val="auto"/>
                <w:highlight w:val="none"/>
                <w:lang w:val="en-US" w:eastAsia="zh-CN"/>
              </w:rPr>
            </w:pPr>
            <w:r>
              <w:rPr>
                <w:rFonts w:hint="eastAsia"/>
                <w:color w:val="auto"/>
                <w:highlight w:val="none"/>
                <w:lang w:val="en-US" w:eastAsia="zh-CN"/>
              </w:rPr>
              <w:t>档案数字化加工</w:t>
            </w:r>
          </w:p>
        </w:tc>
        <w:tc>
          <w:tcPr>
            <w:tcW w:w="9247" w:type="dxa"/>
            <w:tcBorders>
              <w:top w:val="single" w:color="auto" w:sz="6" w:space="0"/>
              <w:bottom w:val="single" w:color="auto" w:sz="6" w:space="0"/>
              <w:right w:val="single" w:color="auto" w:sz="4" w:space="0"/>
            </w:tcBorders>
            <w:shd w:val="clear" w:color="auto" w:fill="auto"/>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流程：主要包括档案交接、拆前预处理、拆分、扫描、图像处理、图像质检、图像命名、数据存储、数据挂接、档案归还、数据备份等工作。</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严格办理交接手续。按比选人的要求，严格办理登记数字化实施各项流程的交接手续，详细做好交接记录。档案交接工作由比选人、比选申请人负责办理，双方签字确认。</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color w:val="auto"/>
                <w:highlight w:val="none"/>
              </w:rPr>
            </w:pPr>
            <w:r>
              <w:rPr>
                <w:rFonts w:hint="eastAsia"/>
                <w:color w:val="auto"/>
                <w:highlight w:val="none"/>
                <w:lang w:val="en-US" w:eastAsia="zh-CN"/>
              </w:rPr>
              <w:t>3.</w:t>
            </w:r>
            <w:r>
              <w:rPr>
                <w:rFonts w:hint="default"/>
                <w:color w:val="auto"/>
                <w:highlight w:val="none"/>
              </w:rPr>
              <w:t>拆前预处理：（1）服务方必须在扫描前对文件、案卷进行预整理，对文件、案卷信息、卷内目录、页码等进行细心核对；抚平边角、保证纸张的平整。（2）对不同的纸张，应采用最为可靠的扫描设备和扫描方式完成档案扫描，务必保持档案完整无损，避免纸张褶皱、撕裂、破损等情况的发生。（3）如遇到不适合拆装的档案，应采用不拆卷扫描的方式进行，确保在扫描过程中不对档案原件造成二次损伤，不得人为的恶意损害档案。</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color w:val="auto"/>
                <w:highlight w:val="none"/>
              </w:rPr>
            </w:pPr>
            <w:r>
              <w:rPr>
                <w:rFonts w:hint="eastAsia"/>
                <w:color w:val="auto"/>
                <w:highlight w:val="none"/>
                <w:lang w:val="en-US" w:eastAsia="zh-CN"/>
              </w:rPr>
              <w:t>4.</w:t>
            </w:r>
            <w:r>
              <w:rPr>
                <w:rFonts w:hint="default"/>
                <w:color w:val="auto"/>
                <w:highlight w:val="none"/>
              </w:rPr>
              <w:t>拆分：将档案拆钉拆线，形成散页，便于扫描。将文件、案卷内页逐一分开，对特殊页（如双面有页码）做出记录提醒扫描人员注意。</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color w:val="auto"/>
                <w:highlight w:val="none"/>
              </w:rPr>
            </w:pPr>
            <w:r>
              <w:rPr>
                <w:rFonts w:hint="eastAsia"/>
                <w:color w:val="auto"/>
                <w:highlight w:val="none"/>
                <w:lang w:val="en-US" w:eastAsia="zh-CN"/>
              </w:rPr>
              <w:t>5.</w:t>
            </w:r>
            <w:r>
              <w:rPr>
                <w:rFonts w:hint="default"/>
                <w:color w:val="auto"/>
                <w:highlight w:val="none"/>
              </w:rPr>
              <w:t>扫描：（1）逐份逐件进行扫描，文字材料类要求扫描分辨率不小于300DPI，采用彩色扫描模式，保存为可搜索PDF格式文件。（2）扫描时，应根据纸张质地、底色、薄厚程度等因素，设置最佳的扫描明暗度、对比度设置，保证原始扫描图像效果与原件吻合。（3）扫描页面规格为A4，超过A4幅面的应当平摊开后进行整幅扫描，如确实无法一次扫描成形的要求进行无缝拼接成单页。（小于A4幅面的按A4算，A3的按1.8张A4幅面计算；A2按4张A4幅面计算，A1按8张A4幅面计算，A0按16张A4幅面计算，以此类推）。（4）纸张状况较差，以及过薄、过软或超厚的档案，以及页面为多色文字的档案，可采用灰度模式扫描。方式以提高工作效率。（5）扫描色彩模式为彩色。（6）扫描分辨率不低于300dpi，对于案卷中出现字迹较小、较密集等情况，可将分辨率提高到400-600dpi，照片档案彩色影像文件的分辨率为1200dpi以上。（7）扫描登记，认真填写纸质档案数字化转换过程交接登记表单，登记扫描的页数，核对每份文件的实际扫描页数与档案整理时填写的文件页数是否一致，不一致时应注明具体原因和处理方法。（8）扫描中的文件保护，认真对照流程单，依照目录数据库中案卷的编号在扫描系统中建立同样的案卷编号，然后导入目录数据库中的著录的数据。核对系统中的案卷信息是否与原件一致，如果发现差错，要在著录系统中更改。核对实际扫描的页数和档案整理时填写的页数是否一致，不一致时应注明具体的原因和处理的方法。（9）扫描仪常出的故障以及处理，扫描时图像有时会出现黑线，或图像不应该出现的污点，和大面积的黑边。说明扫描仪有污渍或纸屑粘在镜头上。打开扫描仪镜头用干净的海绵，或者专业的镜头布，擦除镜头上的污渍即可。</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eastAsia"/>
                <w:color w:val="auto"/>
                <w:highlight w:val="none"/>
                <w:lang w:val="en-US" w:eastAsia="zh-CN"/>
              </w:rPr>
            </w:pPr>
            <w:r>
              <w:rPr>
                <w:rFonts w:hint="eastAsia"/>
                <w:color w:val="auto"/>
                <w:highlight w:val="none"/>
                <w:lang w:val="en-US" w:eastAsia="zh-CN"/>
              </w:rPr>
              <w:t>6.</w:t>
            </w:r>
            <w:r>
              <w:rPr>
                <w:rFonts w:hint="default"/>
                <w:color w:val="auto"/>
                <w:highlight w:val="none"/>
              </w:rPr>
              <w:t>图像处理：（1）纠偏。以达到视觉基本不感觉偏斜为准，对方向不正确的图像进行旋转还原，图像不偏斜或倒置，符合正常阅读习惯。（2）去污。对影响图像质量的杂质（黑点、黑线、黑框、黑边等）进行去污处理，在不影响可辨度的前提下展现档案原貌。（3）裁边。对档案修补或扫描等形成的，超出页面正常边距，无内容、多余的边进行裁切，缩小文件容量。（</w:t>
            </w:r>
            <w:r>
              <w:rPr>
                <w:rFonts w:hint="eastAsia"/>
                <w:color w:val="auto"/>
                <w:highlight w:val="none"/>
                <w:lang w:val="en-US" w:eastAsia="zh-CN"/>
              </w:rPr>
              <w:t>4</w:t>
            </w:r>
            <w:r>
              <w:rPr>
                <w:rFonts w:hint="default"/>
                <w:color w:val="auto"/>
                <w:highlight w:val="none"/>
              </w:rPr>
              <w:t>）</w:t>
            </w:r>
            <w:r>
              <w:rPr>
                <w:rFonts w:hint="eastAsia"/>
                <w:color w:val="auto"/>
                <w:highlight w:val="none"/>
                <w:lang w:val="en-US" w:eastAsia="zh-CN"/>
              </w:rPr>
              <w:t>扫描完的图像要进行图像的优化处理，首先应核对扫描的图像数量是否和导入的目录数据库中文件的页数一致，如出现不一致只有两种可能，一是录入原档案有错，可依照原档案更改，二是扫描出错可能出现漏扫，要进行补扫。（5）对图像偏斜度、清晰度、失真度等进行检查。发现不符合图像质量要求时，应重新进行图像的处理。由于操作不当，造成扫描的图像文件不完整或无法清晰识别时，应重新扫描。发现文件漏扫时，应及时补扫并正确插入图像。发现扫描图像的排列顺序与档案原件不一致时，应及时进行调整。认真填写相关表单，记录质检结果和处理意见。（6）对大幅面档案进行分区扫描形成的多幅图像，应进行拼接处理，合并为一个完整的图像，以保证档案数字化图像的整体性。（7）采用彩色模式扫描的图像应进行裁边处理，去除多余的白边，以有效缩小图像文件的容量，节省存储空间。（8）电子图像的页数与原始档案应一致。实体文件资料与扫描图像顺序排列一致，不可颠倒，不能有漏页和重页，无颠倒，无漏扫、重扫或多扫，保证电子影像的完整齐全。发现不一致时应进行调整；发现文件漏扫时，应及时补扫并正确插入图像。</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color w:val="auto"/>
                <w:highlight w:val="none"/>
                <w:lang w:val="en-US" w:eastAsia="zh-CN"/>
              </w:rPr>
            </w:pPr>
            <w:r>
              <w:rPr>
                <w:rFonts w:hint="default"/>
                <w:color w:val="auto"/>
                <w:highlight w:val="none"/>
                <w:lang w:val="en-US" w:eastAsia="zh-CN"/>
              </w:rPr>
              <w:t>7</w:t>
            </w:r>
            <w:r>
              <w:rPr>
                <w:rFonts w:hint="eastAsia"/>
                <w:color w:val="auto"/>
                <w:highlight w:val="none"/>
                <w:lang w:val="en-US" w:eastAsia="zh-CN"/>
              </w:rPr>
              <w:t>.</w:t>
            </w:r>
            <w:r>
              <w:rPr>
                <w:rFonts w:hint="default"/>
                <w:color w:val="auto"/>
                <w:highlight w:val="none"/>
                <w:lang w:val="en-US" w:eastAsia="zh-CN"/>
              </w:rPr>
              <w:t>图像质检：对图像文件进行全面统一检查，保证图像清晰、完整，反映档案全貌。</w:t>
            </w:r>
          </w:p>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line="300" w:lineRule="exact"/>
              <w:ind w:firstLine="400" w:firstLineChars="200"/>
              <w:textAlignment w:val="auto"/>
              <w:rPr>
                <w:rFonts w:hint="default"/>
                <w:color w:val="auto"/>
                <w:highlight w:val="none"/>
                <w:lang w:val="en-US" w:eastAsia="zh-CN"/>
              </w:rPr>
            </w:pPr>
            <w:r>
              <w:rPr>
                <w:rFonts w:hint="default"/>
                <w:color w:val="auto"/>
                <w:highlight w:val="none"/>
                <w:lang w:val="en-US" w:eastAsia="zh-CN"/>
              </w:rPr>
              <w:t>电子图像的页数与原始档案应一致。实体文件资料与扫描图像顺序排列一致，不可颠倒，不能有漏页和重页，无颠倒，无漏扫、重扫或多扫，保证电子影像的完整齐全。发现不一致时应进行调整；发现文件漏扫时，应及时补扫并正确插入图像。</w:t>
            </w:r>
          </w:p>
          <w:p>
            <w:pPr>
              <w:pStyle w:val="2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line="300" w:lineRule="exact"/>
              <w:ind w:leftChars="200" w:right="0" w:rightChars="0"/>
              <w:textAlignment w:val="auto"/>
              <w:rPr>
                <w:rFonts w:hint="default"/>
                <w:color w:val="auto"/>
                <w:highlight w:val="none"/>
                <w:lang w:val="en-US" w:eastAsia="zh-CN"/>
              </w:rPr>
            </w:pPr>
            <w:r>
              <w:rPr>
                <w:rFonts w:hint="eastAsia"/>
                <w:color w:val="auto"/>
                <w:highlight w:val="none"/>
                <w:lang w:val="en-US" w:eastAsia="zh-CN"/>
              </w:rPr>
              <w:t>8.</w:t>
            </w:r>
            <w:r>
              <w:rPr>
                <w:rFonts w:hint="default"/>
                <w:color w:val="auto"/>
                <w:highlight w:val="none"/>
                <w:lang w:val="en-US" w:eastAsia="zh-CN"/>
              </w:rPr>
              <w:t>图像命名：按照上述各类档案类别编号要求分别进行命名。</w:t>
            </w:r>
          </w:p>
          <w:p>
            <w:pPr>
              <w:pStyle w:val="28"/>
              <w:keepNext w:val="0"/>
              <w:keepLines w:val="0"/>
              <w:pageBreakBefore w:val="0"/>
              <w:widowControl w:val="0"/>
              <w:numPr>
                <w:ilvl w:val="0"/>
                <w:numId w:val="6"/>
              </w:numPr>
              <w:suppressLineNumbers w:val="0"/>
              <w:kinsoku/>
              <w:wordWrap/>
              <w:overflowPunct/>
              <w:topLinePunct w:val="0"/>
              <w:autoSpaceDE/>
              <w:autoSpaceDN/>
              <w:bidi w:val="0"/>
              <w:adjustRightInd/>
              <w:snapToGrid/>
              <w:spacing w:before="0" w:beforeAutospacing="0" w:line="300" w:lineRule="exact"/>
              <w:ind w:left="0" w:leftChars="0" w:firstLine="400" w:firstLineChars="200"/>
              <w:textAlignment w:val="auto"/>
              <w:rPr>
                <w:rFonts w:hint="default"/>
                <w:color w:val="auto"/>
                <w:highlight w:val="none"/>
                <w:lang w:val="en-US" w:eastAsia="zh-CN"/>
              </w:rPr>
            </w:pPr>
            <w:r>
              <w:rPr>
                <w:rFonts w:hint="default"/>
                <w:color w:val="auto"/>
                <w:highlight w:val="none"/>
                <w:lang w:val="en-US" w:eastAsia="zh-CN"/>
              </w:rPr>
              <w:t>数据存储：（1）文书档案：一件档案保存为一个pdf文件，同一年度同一保管期限的电子文件存储在一个文件夹中。（2）基建档案：案卷内一份文件保存为一个pdf文件，以卷为单位进行存储，同一案卷档案保存在一个文件夹中。（3）图纸：采用彩色模式扫描，采用JPEG格式存储。（4）存储格式</w:t>
            </w:r>
            <w:r>
              <w:rPr>
                <w:rFonts w:hint="eastAsia"/>
                <w:color w:val="auto"/>
                <w:highlight w:val="none"/>
                <w:lang w:val="en-US" w:eastAsia="zh-CN"/>
              </w:rPr>
              <w:t>：</w:t>
            </w:r>
          </w:p>
          <w:p>
            <w:pPr>
              <w:pStyle w:val="2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line="300" w:lineRule="exact"/>
              <w:ind w:right="0" w:rightChars="0"/>
              <w:textAlignment w:val="auto"/>
              <w:rPr>
                <w:rFonts w:hint="default"/>
                <w:color w:val="auto"/>
                <w:highlight w:val="none"/>
                <w:lang w:val="en-US" w:eastAsia="zh-CN"/>
              </w:rPr>
            </w:pPr>
            <w:r>
              <w:rPr>
                <w:rFonts w:hint="default"/>
                <w:color w:val="auto"/>
                <w:highlight w:val="none"/>
                <w:lang w:val="en-US" w:eastAsia="zh-CN"/>
              </w:rPr>
              <w:t>采用彩色模式扫描的文件，采用JPEG和pdf格式分别存储在文件夹。存储时的压缩率的选择，应以保证扫描的图像清晰可读的前提下，尽量减小存储容量为准则。（5）图像文件的命名</w:t>
            </w:r>
            <w:r>
              <w:rPr>
                <w:rFonts w:hint="eastAsia"/>
                <w:color w:val="auto"/>
                <w:highlight w:val="none"/>
                <w:lang w:val="en-US" w:eastAsia="zh-CN"/>
              </w:rPr>
              <w:t>：</w:t>
            </w:r>
            <w:r>
              <w:rPr>
                <w:rFonts w:hint="default"/>
                <w:color w:val="auto"/>
                <w:highlight w:val="none"/>
                <w:lang w:val="en-US" w:eastAsia="zh-CN"/>
              </w:rPr>
              <w:t>纸质档案目录数据库中的每一份文件，都有一个与之相对应的唯一档号，以该档号为这份文件扫描后的图像文件命名。多页文件可采用该档号建立相应文件夹，按页码顺序对图像文件命名。</w:t>
            </w:r>
          </w:p>
          <w:p>
            <w:pPr>
              <w:pStyle w:val="2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line="300" w:lineRule="exact"/>
              <w:ind w:right="0" w:rightChars="0" w:firstLine="400" w:firstLineChars="200"/>
              <w:textAlignment w:val="auto"/>
              <w:rPr>
                <w:rFonts w:hint="default"/>
                <w:color w:val="auto"/>
                <w:highlight w:val="none"/>
                <w:lang w:val="en-US" w:eastAsia="zh-CN"/>
              </w:rPr>
            </w:pPr>
            <w:r>
              <w:rPr>
                <w:rFonts w:hint="default"/>
                <w:color w:val="auto"/>
                <w:highlight w:val="none"/>
                <w:lang w:val="en-US" w:eastAsia="zh-CN"/>
              </w:rPr>
              <w:t>10</w:t>
            </w:r>
            <w:r>
              <w:rPr>
                <w:rFonts w:hint="eastAsia"/>
                <w:color w:val="auto"/>
                <w:highlight w:val="none"/>
                <w:lang w:val="en-US" w:eastAsia="zh-CN"/>
              </w:rPr>
              <w:t>.</w:t>
            </w:r>
            <w:r>
              <w:rPr>
                <w:rFonts w:hint="default"/>
                <w:color w:val="auto"/>
                <w:highlight w:val="none"/>
                <w:lang w:val="en-US" w:eastAsia="zh-CN"/>
              </w:rPr>
              <w:t>目录建库</w:t>
            </w:r>
            <w:r>
              <w:rPr>
                <w:rFonts w:hint="eastAsia"/>
                <w:color w:val="auto"/>
                <w:highlight w:val="none"/>
                <w:lang w:val="en-US" w:eastAsia="zh-CN"/>
              </w:rPr>
              <w:t>：</w:t>
            </w:r>
            <w:r>
              <w:rPr>
                <w:rFonts w:hint="default"/>
                <w:color w:val="auto"/>
                <w:highlight w:val="none"/>
                <w:lang w:val="en-US" w:eastAsia="zh-CN"/>
              </w:rPr>
              <w:t>（1）目录建库应选择通用的数据格式。所选定的数据格式应能直接或间接通过XML文档进行数据交换。（2</w:t>
            </w:r>
            <w:r>
              <w:rPr>
                <w:rFonts w:hint="eastAsia"/>
                <w:color w:val="auto"/>
                <w:highlight w:val="none"/>
                <w:lang w:val="en-US" w:eastAsia="zh-CN"/>
              </w:rPr>
              <w:t>）</w:t>
            </w:r>
            <w:r>
              <w:rPr>
                <w:rFonts w:hint="default"/>
                <w:color w:val="auto"/>
                <w:highlight w:val="none"/>
                <w:lang w:val="en-US" w:eastAsia="zh-CN"/>
              </w:rPr>
              <w:t>按照《档案著录规则》（DA／T18）的要求进行著录，建立档案目录数据库。</w:t>
            </w:r>
          </w:p>
          <w:p>
            <w:pPr>
              <w:pStyle w:val="2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line="300" w:lineRule="exact"/>
              <w:ind w:right="0" w:rightChars="0" w:firstLine="400" w:firstLineChars="200"/>
              <w:textAlignment w:val="auto"/>
              <w:rPr>
                <w:rFonts w:hint="default"/>
                <w:color w:val="auto"/>
                <w:highlight w:val="none"/>
                <w:lang w:val="en-US" w:eastAsia="zh-CN"/>
              </w:rPr>
            </w:pPr>
            <w:r>
              <w:rPr>
                <w:rFonts w:hint="default"/>
                <w:color w:val="auto"/>
                <w:highlight w:val="none"/>
                <w:lang w:val="en-US" w:eastAsia="zh-CN"/>
              </w:rPr>
              <w:t>11</w:t>
            </w:r>
            <w:r>
              <w:rPr>
                <w:rFonts w:hint="eastAsia"/>
                <w:color w:val="auto"/>
                <w:highlight w:val="none"/>
                <w:lang w:val="en-US" w:eastAsia="zh-CN"/>
              </w:rPr>
              <w:t>.</w:t>
            </w:r>
            <w:r>
              <w:rPr>
                <w:rFonts w:hint="default"/>
                <w:color w:val="auto"/>
                <w:highlight w:val="none"/>
                <w:lang w:val="en-US" w:eastAsia="zh-CN"/>
              </w:rPr>
              <w:t>数据挂接：将档案条目数据与扫描电子文件挂接到比选人已有的档案管理系统中，确保条目数据与扫描电子文件的一一对应，确保加工扫描成果在比选人所使用的档案管理系统中有效检索和显示。</w:t>
            </w:r>
          </w:p>
          <w:p>
            <w:pPr>
              <w:pStyle w:val="2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line="300" w:lineRule="exact"/>
              <w:ind w:right="0" w:rightChars="0" w:firstLine="400" w:firstLineChars="200"/>
              <w:textAlignment w:val="auto"/>
              <w:rPr>
                <w:rFonts w:hint="default"/>
                <w:color w:val="auto"/>
                <w:highlight w:val="none"/>
                <w:lang w:val="en-US" w:eastAsia="zh-CN"/>
              </w:rPr>
            </w:pPr>
            <w:r>
              <w:rPr>
                <w:rFonts w:hint="default"/>
                <w:color w:val="auto"/>
                <w:highlight w:val="none"/>
                <w:lang w:val="en-US" w:eastAsia="zh-CN"/>
              </w:rPr>
              <w:t>12</w:t>
            </w:r>
            <w:r>
              <w:rPr>
                <w:rFonts w:hint="eastAsia"/>
                <w:color w:val="auto"/>
                <w:highlight w:val="none"/>
                <w:lang w:val="en-US" w:eastAsia="zh-CN"/>
              </w:rPr>
              <w:t>.</w:t>
            </w:r>
            <w:r>
              <w:rPr>
                <w:rFonts w:hint="default"/>
                <w:color w:val="auto"/>
                <w:highlight w:val="none"/>
                <w:lang w:val="en-US" w:eastAsia="zh-CN"/>
              </w:rPr>
              <w:t>档案归还：完成数字化加工的档案需按要求装订好后归还比选人，双方一同对档案的完整性进行检查，检查无误在交接记录上签字确认。</w:t>
            </w:r>
          </w:p>
          <w:p>
            <w:pPr>
              <w:pStyle w:val="2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line="300" w:lineRule="exact"/>
              <w:ind w:right="0" w:rightChars="0" w:firstLine="400" w:firstLineChars="200"/>
              <w:textAlignment w:val="auto"/>
              <w:rPr>
                <w:rFonts w:hint="default"/>
                <w:color w:val="auto"/>
                <w:highlight w:val="none"/>
                <w:lang w:val="en-US" w:eastAsia="zh-CN"/>
              </w:rPr>
            </w:pPr>
            <w:r>
              <w:rPr>
                <w:rFonts w:hint="default"/>
                <w:color w:val="auto"/>
                <w:highlight w:val="none"/>
                <w:lang w:val="en-US" w:eastAsia="zh-CN"/>
              </w:rPr>
              <w:t>13</w:t>
            </w:r>
            <w:r>
              <w:rPr>
                <w:rFonts w:hint="eastAsia"/>
                <w:color w:val="auto"/>
                <w:highlight w:val="none"/>
                <w:lang w:val="en-US" w:eastAsia="zh-CN"/>
              </w:rPr>
              <w:t>.</w:t>
            </w:r>
            <w:r>
              <w:rPr>
                <w:rFonts w:hint="default"/>
                <w:color w:val="auto"/>
                <w:highlight w:val="none"/>
                <w:lang w:val="en-US" w:eastAsia="zh-CN"/>
              </w:rPr>
              <w:t>数据备份：将档案条目数据及其对应的扫描后形成的pdf、jpg格式文件各一套刻录成DVD光盘（光盘需为档案级别）提供给比选人。光盘标签上需注明光盘号、存储内容等信息。比选申请人项目组在数字化工作完成之后，将加强对纸质档案数字化成果的管理，确保其安全、完整和长期可用。纸质档案数字化成果提供网上检索利用时，有制作单位的电子标识。</w:t>
            </w:r>
          </w:p>
          <w:p>
            <w:pPr>
              <w:pStyle w:val="2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line="300" w:lineRule="exact"/>
              <w:ind w:right="0" w:rightChars="0" w:firstLine="400" w:firstLineChars="200"/>
              <w:textAlignment w:val="auto"/>
              <w:rPr>
                <w:rFonts w:hint="default"/>
                <w:color w:val="auto"/>
                <w:highlight w:val="none"/>
                <w:lang w:val="en-US" w:eastAsia="zh-CN"/>
              </w:rPr>
            </w:pPr>
            <w:r>
              <w:rPr>
                <w:rFonts w:hint="eastAsia"/>
                <w:color w:val="auto"/>
                <w:highlight w:val="none"/>
                <w:lang w:val="en-US" w:eastAsia="zh-CN"/>
              </w:rPr>
              <w:t>14.详见用户需求书。</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ascii="宋体" w:hAnsi="宋体" w:cs="宋体"/>
                <w:color w:val="auto"/>
                <w:kern w:val="2"/>
                <w:highlight w:val="none"/>
              </w:rPr>
            </w:pPr>
          </w:p>
        </w:tc>
        <w:tc>
          <w:tcPr>
            <w:tcW w:w="1099" w:type="dxa"/>
            <w:tcBorders>
              <w:top w:val="single" w:color="auto" w:sz="6"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00" w:hRule="atLeast"/>
          <w:jc w:val="center"/>
        </w:trPr>
        <w:tc>
          <w:tcPr>
            <w:tcW w:w="81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eastAsia" w:ascii="宋体" w:hAnsi="宋体" w:eastAsia="宋体" w:cs="宋体"/>
                <w:color w:val="auto"/>
                <w:kern w:val="2"/>
                <w:highlight w:val="none"/>
                <w:lang w:eastAsia="zh-CN"/>
              </w:rPr>
            </w:pPr>
            <w:r>
              <w:rPr>
                <w:rFonts w:hint="eastAsia" w:ascii="宋体" w:hAnsi="宋体" w:cs="宋体"/>
                <w:color w:val="auto"/>
                <w:kern w:val="2"/>
                <w:highlight w:val="none"/>
                <w:lang w:val="en-US" w:eastAsia="zh-CN"/>
              </w:rPr>
              <w:t>9</w:t>
            </w:r>
          </w:p>
        </w:tc>
        <w:tc>
          <w:tcPr>
            <w:tcW w:w="187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jc w:val="center"/>
              <w:rPr>
                <w:rFonts w:hint="default" w:eastAsia="宋体"/>
                <w:color w:val="auto"/>
                <w:highlight w:val="none"/>
                <w:lang w:val="en-US" w:eastAsia="zh-CN"/>
              </w:rPr>
            </w:pPr>
            <w:r>
              <w:rPr>
                <w:rFonts w:hint="eastAsia"/>
                <w:color w:val="auto"/>
                <w:highlight w:val="none"/>
                <w:lang w:val="en-US" w:eastAsia="zh-CN"/>
              </w:rPr>
              <w:t>光盘刻录</w:t>
            </w:r>
          </w:p>
        </w:tc>
        <w:tc>
          <w:tcPr>
            <w:tcW w:w="9247" w:type="dxa"/>
            <w:tcBorders>
              <w:top w:val="single" w:color="auto" w:sz="6" w:space="0"/>
              <w:bottom w:val="single" w:color="auto" w:sz="6" w:space="0"/>
              <w:right w:val="single" w:color="auto" w:sz="4" w:space="0"/>
            </w:tcBorders>
            <w:shd w:val="clear" w:color="auto" w:fill="auto"/>
            <w:vAlign w:val="center"/>
          </w:tcPr>
          <w:p>
            <w:pPr>
              <w:pStyle w:val="28"/>
              <w:keepNext w:val="0"/>
              <w:keepLines w:val="0"/>
              <w:pageBreakBefore w:val="0"/>
              <w:suppressLineNumbers w:val="0"/>
              <w:kinsoku/>
              <w:wordWrap/>
              <w:overflowPunct/>
              <w:topLinePunct w:val="0"/>
              <w:autoSpaceDE/>
              <w:autoSpaceDN/>
              <w:bidi w:val="0"/>
              <w:adjustRightInd/>
              <w:snapToGrid/>
              <w:spacing w:line="300" w:lineRule="exact"/>
              <w:ind w:firstLine="400" w:firstLineChars="200"/>
              <w:textAlignment w:val="auto"/>
              <w:rPr>
                <w:rFonts w:hint="default"/>
                <w:color w:val="auto"/>
                <w:highlight w:val="none"/>
              </w:rPr>
            </w:pPr>
            <w:r>
              <w:rPr>
                <w:rFonts w:hint="default"/>
                <w:color w:val="auto"/>
                <w:highlight w:val="none"/>
              </w:rPr>
              <w:t>从比选人的档案管理系统下载以及现有光盘拷贝档案目录数据及电子扫描件，分类、排序整理，并将电子扫描件按照上述第六点档案数字化加工规定的命名格式命名，将数据分类刻录到档案级别DVD光盘，制作打印光盘盒封面，光盘标签上需注明光盘号、存储内容等信息。</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ascii="宋体" w:hAnsi="宋体" w:cs="宋体"/>
                <w:color w:val="auto"/>
                <w:kern w:val="2"/>
                <w:highlight w:val="none"/>
              </w:rPr>
            </w:pPr>
          </w:p>
        </w:tc>
        <w:tc>
          <w:tcPr>
            <w:tcW w:w="1099" w:type="dxa"/>
            <w:tcBorders>
              <w:top w:val="single" w:color="auto" w:sz="6" w:space="0"/>
              <w:bottom w:val="single"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00" w:lineRule="exact"/>
              <w:jc w:val="left"/>
              <w:textAlignment w:val="auto"/>
              <w:rPr>
                <w:rFonts w:hint="default"/>
                <w:color w:val="auto"/>
                <w:kern w:val="2"/>
                <w:highlight w:val="none"/>
              </w:rPr>
            </w:pPr>
          </w:p>
        </w:tc>
      </w:tr>
    </w:tbl>
    <w:p>
      <w:pPr>
        <w:pStyle w:val="2"/>
        <w:ind w:left="0" w:leftChars="0" w:firstLine="0" w:firstLineChars="0"/>
        <w:rPr>
          <w:color w:val="auto"/>
          <w:highlight w:val="none"/>
        </w:rPr>
      </w:pPr>
    </w:p>
    <w:p>
      <w:pPr>
        <w:snapToGrid w:val="0"/>
        <w:spacing w:after="50" w:line="280" w:lineRule="exact"/>
        <w:ind w:left="955" w:leftChars="455" w:right="-817" w:firstLine="5764" w:firstLineChars="2745"/>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  年  月  日</w:t>
      </w:r>
    </w:p>
    <w:p>
      <w:pPr>
        <w:spacing w:before="0" w:after="0" w:afterAutospacing="0"/>
        <w:ind w:left="0" w:right="0" w:firstLine="0"/>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w:t>
      </w:r>
      <w:r>
        <w:rPr>
          <w:rFonts w:hint="eastAsia" w:ascii="宋体" w:hAnsi="宋体"/>
          <w:color w:val="auto"/>
          <w:highlight w:val="none"/>
        </w:rPr>
        <w:t>本</w:t>
      </w:r>
      <w:r>
        <w:rPr>
          <w:rFonts w:ascii="宋体" w:hAnsi="宋体"/>
          <w:color w:val="auto"/>
          <w:highlight w:val="none"/>
        </w:rPr>
        <w:t>表。</w:t>
      </w:r>
    </w:p>
    <w:p>
      <w:pPr>
        <w:pStyle w:val="41"/>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w:t>
      </w:r>
      <w:r>
        <w:rPr>
          <w:rFonts w:hint="eastAsia" w:ascii="宋体" w:hAnsi="宋体"/>
          <w:b/>
          <w:bCs/>
          <w:color w:val="auto"/>
          <w:highlight w:val="none"/>
        </w:rPr>
        <w:t>完全响应</w:t>
      </w:r>
      <w:r>
        <w:rPr>
          <w:rFonts w:hint="eastAsia" w:ascii="宋体" w:hAnsi="宋体"/>
          <w:color w:val="auto"/>
          <w:highlight w:val="none"/>
        </w:rPr>
        <w:t>”。对有偏离的条目在本表“偏离情况”列中选注“</w:t>
      </w:r>
      <w:r>
        <w:rPr>
          <w:rFonts w:hint="eastAsia" w:ascii="宋体" w:hAnsi="宋体"/>
          <w:b/>
          <w:bCs/>
          <w:color w:val="auto"/>
          <w:highlight w:val="none"/>
        </w:rPr>
        <w:t>正偏离</w:t>
      </w:r>
      <w:r>
        <w:rPr>
          <w:rFonts w:hint="eastAsia" w:ascii="宋体" w:hAnsi="宋体"/>
          <w:color w:val="auto"/>
          <w:highlight w:val="none"/>
        </w:rPr>
        <w:t>”或“</w:t>
      </w:r>
      <w:r>
        <w:rPr>
          <w:rFonts w:hint="eastAsia" w:ascii="宋体" w:hAnsi="宋体"/>
          <w:b/>
          <w:bCs/>
          <w:color w:val="auto"/>
          <w:highlight w:val="none"/>
        </w:rPr>
        <w:t>负偏离</w:t>
      </w:r>
      <w:r>
        <w:rPr>
          <w:rFonts w:hint="eastAsia" w:ascii="宋体" w:hAnsi="宋体"/>
          <w:color w:val="auto"/>
          <w:highlight w:val="none"/>
        </w:rPr>
        <w:t>”，并对“正偏离”或“负偏离”加以说明。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hint="eastAsia" w:ascii="宋体" w:hAnsi="宋体"/>
          <w:b/>
          <w:color w:val="auto"/>
          <w:highlight w:val="none"/>
        </w:rPr>
        <w:sectPr>
          <w:pgSz w:w="16838" w:h="11905" w:orient="landscape"/>
          <w:pgMar w:top="1418" w:right="1418" w:bottom="1418" w:left="1304" w:header="454" w:footer="567" w:gutter="0"/>
          <w:pgNumType w:fmt="decimal"/>
          <w:cols w:space="720" w:num="1"/>
          <w:docGrid w:linePitch="312" w:charSpace="0"/>
        </w:sectPr>
      </w:pPr>
      <w:r>
        <w:rPr>
          <w:rFonts w:hint="eastAsia" w:ascii="宋体" w:hAnsi="宋体"/>
          <w:b/>
          <w:color w:val="auto"/>
          <w:highlight w:val="none"/>
        </w:rPr>
        <w:t>6.如有任意一项负偏离，比选申请人将不能通过</w:t>
      </w:r>
      <w:r>
        <w:rPr>
          <w:rFonts w:hint="eastAsia" w:ascii="宋体" w:hAnsi="宋体"/>
          <w:b/>
          <w:color w:val="auto"/>
          <w:highlight w:val="none"/>
          <w:lang w:val="en-US" w:eastAsia="zh-CN"/>
        </w:rPr>
        <w:t>初步</w:t>
      </w:r>
      <w:r>
        <w:rPr>
          <w:rFonts w:hint="eastAsia" w:ascii="宋体" w:hAnsi="宋体"/>
          <w:b/>
          <w:color w:val="auto"/>
          <w:highlight w:val="none"/>
        </w:rPr>
        <w:t>评审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textAlignment w:val="auto"/>
        <w:rPr>
          <w:rFonts w:hint="default" w:ascii="宋体" w:hAnsi="宋体" w:eastAsia="宋体" w:cs="宋体"/>
          <w:color w:val="auto"/>
          <w:sz w:val="24"/>
          <w:szCs w:val="24"/>
          <w:highlight w:val="none"/>
          <w:lang w:val="en-US" w:eastAsia="zh-CN"/>
        </w:rPr>
      </w:pPr>
      <w:bookmarkStart w:id="1589" w:name="_Toc14006"/>
      <w:bookmarkStart w:id="1590" w:name="_Toc29358"/>
      <w:bookmarkStart w:id="1591" w:name="_Toc8874"/>
      <w:bookmarkStart w:id="1592" w:name="_Toc414290525"/>
      <w:bookmarkStart w:id="1593" w:name="_Toc10812"/>
      <w:bookmarkStart w:id="1594" w:name="_Toc23973"/>
      <w:bookmarkStart w:id="1595" w:name="_Toc23095"/>
      <w:bookmarkStart w:id="1596" w:name="_Toc14586"/>
      <w:bookmarkStart w:id="1597" w:name="_Toc12677"/>
      <w:bookmarkStart w:id="1598" w:name="_Toc492478807"/>
      <w:bookmarkStart w:id="1599" w:name="_Toc6378"/>
      <w:bookmarkStart w:id="1600" w:name="_Toc18422"/>
      <w:bookmarkStart w:id="1601" w:name="_Toc14988"/>
      <w:bookmarkStart w:id="1602" w:name="_Toc18876"/>
      <w:bookmarkStart w:id="1603" w:name="_Toc13328"/>
      <w:bookmarkStart w:id="1604" w:name="_Toc11582"/>
      <w:bookmarkStart w:id="1605" w:name="_Toc27820"/>
      <w:bookmarkStart w:id="1606" w:name="_Toc8914"/>
      <w:bookmarkStart w:id="1607" w:name="_Toc28662"/>
      <w:bookmarkStart w:id="1608" w:name="_Toc3795"/>
      <w:bookmarkStart w:id="1609" w:name="_Toc12983551"/>
      <w:bookmarkStart w:id="1610" w:name="_Toc12984811"/>
      <w:bookmarkStart w:id="1611" w:name="_Toc16676"/>
      <w:bookmarkStart w:id="1612" w:name="_Toc17687"/>
      <w:bookmarkStart w:id="1613" w:name="_Toc24971"/>
      <w:bookmarkStart w:id="1614" w:name="_Toc17422"/>
      <w:bookmarkStart w:id="1615" w:name="_Toc23770"/>
      <w:bookmarkStart w:id="1616" w:name="_Toc8451"/>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8"/>
          <w:szCs w:val="28"/>
          <w:highlight w:val="none"/>
          <w:lang w:val="en-US" w:eastAsia="zh-CN"/>
        </w:rPr>
        <w:t>项目执行方案</w:t>
      </w:r>
      <w:r>
        <w:rPr>
          <w:rFonts w:hint="eastAsia" w:ascii="宋体" w:hAnsi="宋体" w:eastAsia="宋体" w:cs="宋体"/>
          <w:color w:val="auto"/>
          <w:sz w:val="24"/>
          <w:szCs w:val="24"/>
          <w:highlight w:val="none"/>
          <w:lang w:val="en-US" w:eastAsia="zh-CN"/>
        </w:rPr>
        <w:t>（包括但不限于整体方案、档案管理、录入扫描、安全保密、项目管理、质量保障以及售后服务，格式自拟）；</w:t>
      </w:r>
    </w:p>
    <w:p>
      <w:pPr>
        <w:rPr>
          <w:rFonts w:hint="eastAsia" w:ascii="宋体" w:hAnsi="宋体"/>
          <w:color w:val="auto"/>
          <w:sz w:val="24"/>
          <w:szCs w:val="24"/>
          <w:highlight w:val="none"/>
        </w:rPr>
      </w:pPr>
      <w:r>
        <w:rPr>
          <w:rFonts w:hint="eastAsia" w:ascii="宋体" w:hAnsi="宋体"/>
          <w:color w:val="auto"/>
          <w:sz w:val="24"/>
          <w:szCs w:val="24"/>
          <w:highlight w:val="none"/>
        </w:rPr>
        <w:br w:type="page"/>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4.比选申请人认为应提交的其他比选申请资料（如有）。</w:t>
      </w:r>
    </w:p>
    <w:p>
      <w:pPr>
        <w:pStyle w:val="28"/>
        <w:keepNext w:val="0"/>
        <w:keepLines w:val="0"/>
        <w:pageBreakBefore w:val="0"/>
        <w:kinsoku/>
        <w:wordWrap/>
        <w:overflowPunct/>
        <w:topLinePunct w:val="0"/>
        <w:autoSpaceDE/>
        <w:autoSpaceDN/>
        <w:bidi w:val="0"/>
        <w:adjustRightInd/>
        <w:snapToGrid/>
        <w:spacing w:beforeAutospacing="0" w:line="480" w:lineRule="auto"/>
        <w:textAlignment w:val="auto"/>
        <w:rPr>
          <w:rFonts w:hint="eastAsia" w:ascii="宋体" w:hAnsi="宋体" w:eastAsia="宋体" w:cs="宋体"/>
          <w:color w:val="auto"/>
          <w:sz w:val="24"/>
          <w:szCs w:val="24"/>
          <w:highlight w:val="none"/>
        </w:rPr>
        <w:sectPr>
          <w:headerReference r:id="rId14" w:type="first"/>
          <w:headerReference r:id="rId13" w:type="default"/>
          <w:pgSz w:w="11905" w:h="16838"/>
          <w:pgMar w:top="1418" w:right="1418" w:bottom="1304" w:left="1418" w:header="454" w:footer="567" w:gutter="0"/>
          <w:pgNumType w:fmt="decimal"/>
          <w:cols w:space="720" w:num="1"/>
          <w:docGrid w:linePitch="312" w:charSpace="0"/>
        </w:sectPr>
      </w:pPr>
    </w:p>
    <w:p>
      <w:pPr>
        <w:keepNext w:val="0"/>
        <w:keepLines w:val="0"/>
        <w:pageBreakBefore w:val="0"/>
        <w:widowControl/>
        <w:kinsoku/>
        <w:wordWrap/>
        <w:overflowPunct/>
        <w:topLinePunct w:val="0"/>
        <w:bidi w:val="0"/>
        <w:snapToGrid/>
        <w:spacing w:before="0" w:after="0" w:afterAutospacing="0"/>
        <w:ind w:left="480" w:right="0" w:hanging="960" w:hangingChars="200"/>
        <w:jc w:val="center"/>
        <w:textAlignment w:val="auto"/>
        <w:rPr>
          <w:rFonts w:ascii="宋体" w:hAnsi="宋体"/>
          <w:color w:val="auto"/>
          <w:kern w:val="0"/>
          <w:sz w:val="48"/>
          <w:szCs w:val="48"/>
          <w:highlight w:val="none"/>
        </w:rPr>
      </w:pPr>
      <w:bookmarkStart w:id="1617" w:name="_Toc19432"/>
      <w:bookmarkStart w:id="1618" w:name="_Toc181"/>
      <w:r>
        <w:rPr>
          <w:rFonts w:hint="eastAsia" w:ascii="宋体" w:hAnsi="宋体"/>
          <w:color w:val="auto"/>
          <w:kern w:val="0"/>
          <w:sz w:val="48"/>
          <w:szCs w:val="48"/>
          <w:highlight w:val="none"/>
        </w:rPr>
        <w:t>*</w:t>
      </w:r>
      <w:r>
        <w:rPr>
          <w:rFonts w:ascii="宋体" w:hAnsi="宋体"/>
          <w:color w:val="auto"/>
          <w:kern w:val="0"/>
          <w:sz w:val="48"/>
          <w:szCs w:val="48"/>
          <w:highlight w:val="none"/>
        </w:rPr>
        <w:t>*</w:t>
      </w:r>
      <w:r>
        <w:rPr>
          <w:rFonts w:hint="eastAsia" w:ascii="宋体" w:hAnsi="宋体"/>
          <w:color w:val="auto"/>
          <w:kern w:val="0"/>
          <w:sz w:val="48"/>
          <w:szCs w:val="48"/>
          <w:highlight w:val="none"/>
        </w:rPr>
        <w:t>项目比选申请文件</w:t>
      </w:r>
      <w:bookmarkEnd w:id="1617"/>
      <w:bookmarkEnd w:id="1618"/>
    </w:p>
    <w:p>
      <w:pPr>
        <w:keepNext w:val="0"/>
        <w:keepLines w:val="0"/>
        <w:pageBreakBefore w:val="0"/>
        <w:widowControl/>
        <w:kinsoku/>
        <w:wordWrap/>
        <w:overflowPunct/>
        <w:topLinePunct w:val="0"/>
        <w:bidi w:val="0"/>
        <w:snapToGrid/>
        <w:spacing w:before="0" w:after="0" w:afterAutospacing="0"/>
        <w:ind w:left="480" w:right="0" w:hanging="964" w:hangingChars="200"/>
        <w:jc w:val="center"/>
        <w:textAlignment w:val="auto"/>
        <w:outlineLvl w:val="1"/>
        <w:rPr>
          <w:rFonts w:ascii="宋体" w:hAnsi="宋体"/>
          <w:b/>
          <w:color w:val="auto"/>
          <w:sz w:val="48"/>
          <w:szCs w:val="48"/>
          <w:highlight w:val="none"/>
        </w:rPr>
      </w:pPr>
      <w:bookmarkStart w:id="1619" w:name="_Toc8493"/>
      <w:bookmarkStart w:id="1620" w:name="_Toc159931573"/>
      <w:r>
        <w:rPr>
          <w:rFonts w:hint="eastAsia" w:ascii="宋体" w:hAnsi="宋体"/>
          <w:b/>
          <w:color w:val="auto"/>
          <w:sz w:val="48"/>
          <w:szCs w:val="48"/>
          <w:highlight w:val="none"/>
        </w:rPr>
        <w:t>价格文件</w:t>
      </w:r>
      <w:bookmarkEnd w:id="1619"/>
      <w:bookmarkEnd w:id="1620"/>
    </w:p>
    <w:p>
      <w:pPr>
        <w:keepNext w:val="0"/>
        <w:keepLines w:val="0"/>
        <w:pageBreakBefore w:val="0"/>
        <w:widowControl/>
        <w:kinsoku/>
        <w:wordWrap/>
        <w:overflowPunct/>
        <w:topLinePunct w:val="0"/>
        <w:autoSpaceDE w:val="0"/>
        <w:autoSpaceDN w:val="0"/>
        <w:bidi w:val="0"/>
        <w:adjustRightInd w:val="0"/>
        <w:snapToGrid/>
        <w:spacing w:before="0" w:after="0" w:afterAutospacing="0"/>
        <w:ind w:left="480" w:right="0" w:hanging="640" w:hangingChars="200"/>
        <w:jc w:val="center"/>
        <w:textAlignment w:val="auto"/>
        <w:rPr>
          <w:rFonts w:ascii="楷体_GB2312" w:eastAsia="楷体_GB2312"/>
          <w:color w:val="auto"/>
          <w:kern w:val="0"/>
          <w:sz w:val="24"/>
          <w:highlight w:val="none"/>
        </w:rPr>
      </w:pPr>
      <w:bookmarkStart w:id="1621" w:name="_Toc22324_WPSOffice_Level2"/>
      <w:bookmarkStart w:id="1622" w:name="_Toc22028_WPSOffice_Level2"/>
      <w:r>
        <w:rPr>
          <w:rFonts w:hint="eastAsia" w:ascii="宋体" w:hAnsi="宋体"/>
          <w:color w:val="auto"/>
          <w:kern w:val="0"/>
          <w:sz w:val="32"/>
          <w:szCs w:val="32"/>
          <w:highlight w:val="none"/>
        </w:rPr>
        <w:t>（＊本）</w:t>
      </w:r>
      <w:bookmarkEnd w:id="1621"/>
      <w:bookmarkEnd w:id="1622"/>
    </w:p>
    <w:p>
      <w:pPr>
        <w:keepNext w:val="0"/>
        <w:keepLines w:val="0"/>
        <w:pageBreakBefore w:val="0"/>
        <w:widowControl/>
        <w:kinsoku/>
        <w:wordWrap/>
        <w:overflowPunct/>
        <w:topLinePunct w:val="0"/>
        <w:autoSpaceDE w:val="0"/>
        <w:autoSpaceDN w:val="0"/>
        <w:bidi w:val="0"/>
        <w:adjustRightInd w:val="0"/>
        <w:snapToGrid/>
        <w:spacing w:before="0" w:after="0" w:afterAutospacing="0"/>
        <w:ind w:left="480" w:right="0" w:hanging="480" w:hangingChars="200"/>
        <w:jc w:val="left"/>
        <w:textAlignment w:val="auto"/>
        <w:rPr>
          <w:rFonts w:ascii="楷体_GB2312" w:eastAsia="楷体_GB2312"/>
          <w:color w:val="auto"/>
          <w:kern w:val="0"/>
          <w:sz w:val="24"/>
          <w:highlight w:val="none"/>
        </w:rPr>
      </w:pPr>
    </w:p>
    <w:p>
      <w:pPr>
        <w:keepNext w:val="0"/>
        <w:keepLines w:val="0"/>
        <w:pageBreakBefore w:val="0"/>
        <w:widowControl/>
        <w:kinsoku/>
        <w:wordWrap/>
        <w:overflowPunct/>
        <w:topLinePunct w:val="0"/>
        <w:autoSpaceDE w:val="0"/>
        <w:autoSpaceDN w:val="0"/>
        <w:bidi w:val="0"/>
        <w:adjustRightInd w:val="0"/>
        <w:snapToGrid/>
        <w:spacing w:before="0" w:after="0" w:afterAutospacing="0"/>
        <w:ind w:left="480" w:right="0" w:hanging="480" w:hangingChars="200"/>
        <w:jc w:val="left"/>
        <w:textAlignment w:val="auto"/>
        <w:rPr>
          <w:rFonts w:ascii="楷体_GB2312" w:eastAsia="楷体_GB2312"/>
          <w:color w:val="auto"/>
          <w:kern w:val="0"/>
          <w:sz w:val="24"/>
          <w:highlight w:val="none"/>
        </w:rPr>
      </w:pPr>
    </w:p>
    <w:p>
      <w:pPr>
        <w:keepNext w:val="0"/>
        <w:keepLines w:val="0"/>
        <w:pageBreakBefore w:val="0"/>
        <w:widowControl/>
        <w:kinsoku/>
        <w:wordWrap/>
        <w:overflowPunct/>
        <w:topLinePunct w:val="0"/>
        <w:autoSpaceDE w:val="0"/>
        <w:autoSpaceDN w:val="0"/>
        <w:bidi w:val="0"/>
        <w:adjustRightInd w:val="0"/>
        <w:snapToGrid/>
        <w:spacing w:before="0" w:after="0" w:afterAutospacing="0"/>
        <w:ind w:left="480" w:right="0" w:hanging="480" w:hangingChars="200"/>
        <w:textAlignment w:val="auto"/>
        <w:rPr>
          <w:rFonts w:ascii="楷体_GB2312" w:eastAsia="楷体_GB2312"/>
          <w:color w:val="auto"/>
          <w:kern w:val="0"/>
          <w:sz w:val="24"/>
          <w:highlight w:val="none"/>
        </w:rPr>
      </w:pPr>
    </w:p>
    <w:p>
      <w:pPr>
        <w:keepNext w:val="0"/>
        <w:keepLines w:val="0"/>
        <w:pageBreakBefore w:val="0"/>
        <w:widowControl/>
        <w:kinsoku/>
        <w:wordWrap/>
        <w:overflowPunct/>
        <w:topLinePunct w:val="0"/>
        <w:autoSpaceDE w:val="0"/>
        <w:autoSpaceDN w:val="0"/>
        <w:bidi w:val="0"/>
        <w:adjustRightInd w:val="0"/>
        <w:snapToGrid/>
        <w:spacing w:before="0" w:after="0" w:afterAutospacing="0"/>
        <w:ind w:left="480" w:right="0" w:hanging="560" w:hangingChars="200"/>
        <w:textAlignment w:val="auto"/>
        <w:rPr>
          <w:rFonts w:ascii="宋体" w:hAnsi="宋体"/>
          <w:color w:val="auto"/>
          <w:kern w:val="0"/>
          <w:sz w:val="28"/>
          <w:szCs w:val="28"/>
          <w:highlight w:val="none"/>
        </w:rPr>
      </w:pPr>
      <w:r>
        <w:rPr>
          <w:rFonts w:hint="eastAsia" w:ascii="宋体" w:hAnsi="宋体"/>
          <w:color w:val="auto"/>
          <w:kern w:val="0"/>
          <w:sz w:val="28"/>
          <w:szCs w:val="28"/>
          <w:highlight w:val="none"/>
        </w:rPr>
        <w:t>比选申请人：（ 加盖单位公章）</w:t>
      </w:r>
    </w:p>
    <w:p>
      <w:pPr>
        <w:keepNext w:val="0"/>
        <w:keepLines w:val="0"/>
        <w:pageBreakBefore w:val="0"/>
        <w:widowControl/>
        <w:kinsoku/>
        <w:wordWrap/>
        <w:overflowPunct/>
        <w:topLinePunct w:val="0"/>
        <w:autoSpaceDE w:val="0"/>
        <w:autoSpaceDN w:val="0"/>
        <w:bidi w:val="0"/>
        <w:adjustRightInd w:val="0"/>
        <w:snapToGrid/>
        <w:spacing w:before="0" w:after="0" w:afterAutospacing="0"/>
        <w:ind w:left="480" w:right="0" w:hanging="560" w:hangingChars="200"/>
        <w:textAlignment w:val="auto"/>
        <w:rPr>
          <w:rFonts w:ascii="宋体" w:hAnsi="宋体"/>
          <w:color w:val="auto"/>
          <w:kern w:val="0"/>
          <w:sz w:val="28"/>
          <w:szCs w:val="28"/>
          <w:highlight w:val="none"/>
        </w:rPr>
      </w:pPr>
      <w:r>
        <w:rPr>
          <w:rFonts w:hint="eastAsia" w:ascii="宋体" w:hAnsi="宋体"/>
          <w:color w:val="auto"/>
          <w:kern w:val="0"/>
          <w:sz w:val="28"/>
          <w:szCs w:val="28"/>
          <w:highlight w:val="none"/>
        </w:rPr>
        <w:t>法定代表人或授权委托代理人：（签字或盖章）</w:t>
      </w:r>
    </w:p>
    <w:p>
      <w:pPr>
        <w:keepNext w:val="0"/>
        <w:keepLines w:val="0"/>
        <w:pageBreakBefore w:val="0"/>
        <w:widowControl/>
        <w:kinsoku/>
        <w:wordWrap/>
        <w:overflowPunct/>
        <w:topLinePunct w:val="0"/>
        <w:autoSpaceDE w:val="0"/>
        <w:autoSpaceDN w:val="0"/>
        <w:bidi w:val="0"/>
        <w:adjustRightInd w:val="0"/>
        <w:snapToGrid/>
        <w:spacing w:before="0" w:after="0" w:afterAutospacing="0"/>
        <w:ind w:left="480" w:right="0" w:hanging="560" w:hangingChars="200"/>
        <w:textAlignment w:val="auto"/>
        <w:rPr>
          <w:rFonts w:ascii="宋体" w:hAnsi="宋体"/>
          <w:color w:val="auto"/>
          <w:kern w:val="0"/>
          <w:sz w:val="28"/>
          <w:szCs w:val="28"/>
          <w:highlight w:val="none"/>
        </w:rPr>
      </w:pPr>
      <w:r>
        <w:rPr>
          <w:rFonts w:hint="eastAsia" w:ascii="宋体" w:hAnsi="宋体"/>
          <w:color w:val="auto"/>
          <w:kern w:val="0"/>
          <w:sz w:val="28"/>
          <w:szCs w:val="28"/>
          <w:highlight w:val="none"/>
        </w:rPr>
        <w:t>电话/传真：</w:t>
      </w:r>
    </w:p>
    <w:p>
      <w:pPr>
        <w:keepNext w:val="0"/>
        <w:keepLines w:val="0"/>
        <w:pageBreakBefore w:val="0"/>
        <w:widowControl/>
        <w:kinsoku/>
        <w:wordWrap/>
        <w:overflowPunct/>
        <w:topLinePunct w:val="0"/>
        <w:autoSpaceDE w:val="0"/>
        <w:autoSpaceDN w:val="0"/>
        <w:bidi w:val="0"/>
        <w:adjustRightInd w:val="0"/>
        <w:snapToGrid/>
        <w:spacing w:before="0" w:after="0" w:afterAutospacing="0"/>
        <w:ind w:left="480" w:right="0" w:hanging="560" w:hangingChars="200"/>
        <w:textAlignment w:val="auto"/>
        <w:rPr>
          <w:rFonts w:hint="eastAsia" w:ascii="宋体" w:hAnsi="宋体"/>
          <w:color w:val="auto"/>
          <w:kern w:val="0"/>
          <w:sz w:val="28"/>
          <w:szCs w:val="28"/>
          <w:highlight w:val="none"/>
        </w:rPr>
      </w:pPr>
      <w:r>
        <w:rPr>
          <w:rFonts w:hint="eastAsia" w:ascii="宋体" w:hAnsi="宋体"/>
          <w:color w:val="auto"/>
          <w:kern w:val="0"/>
          <w:sz w:val="28"/>
          <w:szCs w:val="28"/>
          <w:highlight w:val="none"/>
        </w:rPr>
        <w:t>地址：</w:t>
      </w:r>
    </w:p>
    <w:p>
      <w:pPr>
        <w:pStyle w:val="2"/>
        <w:rPr>
          <w:color w:val="auto"/>
          <w:highlight w:val="none"/>
        </w:rPr>
      </w:pPr>
    </w:p>
    <w:p>
      <w:pPr>
        <w:keepNext w:val="0"/>
        <w:keepLines w:val="0"/>
        <w:pageBreakBefore w:val="0"/>
        <w:widowControl/>
        <w:kinsoku/>
        <w:wordWrap/>
        <w:overflowPunct/>
        <w:topLinePunct w:val="0"/>
        <w:autoSpaceDE w:val="0"/>
        <w:autoSpaceDN w:val="0"/>
        <w:bidi w:val="0"/>
        <w:adjustRightInd w:val="0"/>
        <w:snapToGrid/>
        <w:spacing w:before="0" w:after="0" w:afterAutospacing="0"/>
        <w:ind w:left="0" w:right="0"/>
        <w:textAlignment w:val="auto"/>
        <w:rPr>
          <w:rFonts w:ascii="宋体" w:hAnsi="宋体"/>
          <w:color w:val="auto"/>
          <w:kern w:val="0"/>
          <w:sz w:val="28"/>
          <w:szCs w:val="28"/>
          <w:highlight w:val="none"/>
        </w:rPr>
      </w:pPr>
    </w:p>
    <w:p>
      <w:pPr>
        <w:keepNext w:val="0"/>
        <w:keepLines w:val="0"/>
        <w:pageBreakBefore w:val="0"/>
        <w:widowControl/>
        <w:kinsoku/>
        <w:wordWrap/>
        <w:overflowPunct/>
        <w:topLinePunct w:val="0"/>
        <w:autoSpaceDE w:val="0"/>
        <w:autoSpaceDN w:val="0"/>
        <w:bidi w:val="0"/>
        <w:adjustRightInd w:val="0"/>
        <w:snapToGrid/>
        <w:spacing w:before="0" w:after="0" w:afterAutospacing="0"/>
        <w:ind w:left="0" w:right="0"/>
        <w:jc w:val="center"/>
        <w:textAlignment w:val="auto"/>
        <w:rPr>
          <w:rFonts w:ascii="宋体" w:hAnsi="宋体"/>
          <w:color w:val="auto"/>
          <w:kern w:val="0"/>
          <w:sz w:val="28"/>
          <w:szCs w:val="28"/>
          <w:highlight w:val="none"/>
        </w:rPr>
      </w:pPr>
      <w:r>
        <w:rPr>
          <w:rFonts w:hint="eastAsia" w:ascii="宋体" w:hAnsi="宋体"/>
          <w:color w:val="auto"/>
          <w:kern w:val="0"/>
          <w:sz w:val="28"/>
          <w:szCs w:val="28"/>
          <w:highlight w:val="none"/>
        </w:rPr>
        <w:t>年   月   日</w:t>
      </w:r>
    </w:p>
    <w:p>
      <w:pPr>
        <w:keepNext w:val="0"/>
        <w:keepLines w:val="0"/>
        <w:pageBreakBefore w:val="0"/>
        <w:widowControl/>
        <w:kinsoku/>
        <w:wordWrap/>
        <w:overflowPunct/>
        <w:topLinePunct w:val="0"/>
        <w:autoSpaceDE w:val="0"/>
        <w:autoSpaceDN w:val="0"/>
        <w:bidi w:val="0"/>
        <w:adjustRightInd w:val="0"/>
        <w:snapToGrid/>
        <w:spacing w:before="0" w:after="0" w:afterAutospacing="0" w:line="360" w:lineRule="auto"/>
        <w:ind w:left="0" w:right="0"/>
        <w:jc w:val="center"/>
        <w:textAlignment w:val="auto"/>
        <w:rPr>
          <w:rFonts w:ascii="楷体_GB2312" w:eastAsia="楷体_GB2312"/>
          <w:color w:val="auto"/>
          <w:kern w:val="0"/>
          <w:sz w:val="24"/>
          <w:highlight w:val="none"/>
        </w:rPr>
        <w:sectPr>
          <w:pgSz w:w="11906" w:h="16838"/>
          <w:pgMar w:top="1134" w:right="1418" w:bottom="1134" w:left="1418" w:header="851" w:footer="567" w:gutter="0"/>
          <w:cols w:space="720" w:num="1"/>
          <w:docGrid w:type="lines" w:linePitch="312" w:charSpace="0"/>
        </w:sectPr>
      </w:pPr>
    </w:p>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Pr>
        <w:spacing w:before="156" w:beforeLines="50" w:after="312" w:afterLines="100"/>
        <w:jc w:val="center"/>
        <w:outlineLvl w:val="2"/>
        <w:rPr>
          <w:b/>
          <w:color w:val="auto"/>
          <w:sz w:val="28"/>
          <w:szCs w:val="30"/>
          <w:highlight w:val="none"/>
        </w:rPr>
      </w:pPr>
      <w:bookmarkStart w:id="1623" w:name="_Toc23226_WPSOffice_Level2"/>
      <w:bookmarkStart w:id="1624" w:name="_Toc694_WPSOffice_Level2"/>
      <w:r>
        <w:rPr>
          <w:rFonts w:hint="eastAsia"/>
          <w:b/>
          <w:color w:val="auto"/>
          <w:sz w:val="28"/>
          <w:szCs w:val="30"/>
          <w:highlight w:val="none"/>
        </w:rPr>
        <w:t>目   录</w:t>
      </w:r>
      <w:bookmarkEnd w:id="1623"/>
      <w:bookmarkEnd w:id="1624"/>
    </w:p>
    <w:p>
      <w:pPr>
        <w:numPr>
          <w:ilvl w:val="0"/>
          <w:numId w:val="14"/>
        </w:numPr>
        <w:autoSpaceDE w:val="0"/>
        <w:autoSpaceDN w:val="0"/>
        <w:adjustRightInd w:val="0"/>
        <w:spacing w:line="360" w:lineRule="auto"/>
        <w:jc w:val="left"/>
        <w:rPr>
          <w:rFonts w:ascii="宋体" w:hAnsi="宋体"/>
          <w:color w:val="auto"/>
          <w:kern w:val="0"/>
          <w:sz w:val="24"/>
          <w:highlight w:val="none"/>
        </w:rPr>
      </w:pPr>
      <w:bookmarkStart w:id="1625" w:name="_Toc24508_WPSOffice_Level2"/>
      <w:r>
        <w:rPr>
          <w:rFonts w:hint="eastAsia" w:ascii="宋体" w:hAnsi="宋体"/>
          <w:color w:val="auto"/>
          <w:kern w:val="0"/>
          <w:sz w:val="24"/>
          <w:highlight w:val="none"/>
        </w:rPr>
        <w:t>比选申请函；</w:t>
      </w:r>
      <w:bookmarkEnd w:id="1625"/>
    </w:p>
    <w:p>
      <w:pPr>
        <w:numPr>
          <w:ilvl w:val="0"/>
          <w:numId w:val="14"/>
        </w:numPr>
        <w:autoSpaceDE w:val="0"/>
        <w:autoSpaceDN w:val="0"/>
        <w:adjustRightInd w:val="0"/>
        <w:spacing w:line="360" w:lineRule="auto"/>
        <w:rPr>
          <w:rFonts w:ascii="宋体" w:hAnsi="宋体"/>
          <w:color w:val="auto"/>
          <w:kern w:val="0"/>
          <w:sz w:val="24"/>
          <w:highlight w:val="none"/>
        </w:rPr>
      </w:pPr>
      <w:bookmarkStart w:id="1626" w:name="_Toc19703_WPSOffice_Level2"/>
      <w:r>
        <w:rPr>
          <w:rFonts w:hint="eastAsia" w:ascii="宋体" w:hAnsi="宋体"/>
          <w:color w:val="auto"/>
          <w:kern w:val="0"/>
          <w:sz w:val="24"/>
          <w:highlight w:val="none"/>
        </w:rPr>
        <w:t>比选申请报价汇总表（不含税）</w:t>
      </w:r>
      <w:r>
        <w:rPr>
          <w:rFonts w:hint="eastAsia" w:ascii="宋体" w:hAnsi="宋体"/>
          <w:color w:val="auto"/>
          <w:kern w:val="0"/>
          <w:sz w:val="24"/>
          <w:highlight w:val="none"/>
          <w:lang w:eastAsia="zh-CN"/>
        </w:rPr>
        <w:t>；</w:t>
      </w:r>
    </w:p>
    <w:p>
      <w:pPr>
        <w:numPr>
          <w:ilvl w:val="0"/>
          <w:numId w:val="14"/>
        </w:numPr>
        <w:autoSpaceDE w:val="0"/>
        <w:autoSpaceDN w:val="0"/>
        <w:adjustRightInd w:val="0"/>
        <w:spacing w:line="360" w:lineRule="auto"/>
        <w:rPr>
          <w:rFonts w:ascii="宋体" w:hAnsi="宋体"/>
          <w:color w:val="auto"/>
          <w:kern w:val="0"/>
          <w:sz w:val="24"/>
          <w:highlight w:val="none"/>
        </w:rPr>
      </w:pPr>
      <w:r>
        <w:rPr>
          <w:rFonts w:hint="eastAsia" w:ascii="宋体" w:hAnsi="宋体"/>
          <w:color w:val="auto"/>
          <w:kern w:val="0"/>
          <w:sz w:val="24"/>
          <w:highlight w:val="none"/>
        </w:rPr>
        <w:t>比选申请报价表（不含税）；</w:t>
      </w:r>
      <w:bookmarkEnd w:id="1626"/>
    </w:p>
    <w:p>
      <w:pPr>
        <w:numPr>
          <w:ilvl w:val="0"/>
          <w:numId w:val="14"/>
        </w:numPr>
        <w:autoSpaceDE w:val="0"/>
        <w:autoSpaceDN w:val="0"/>
        <w:adjustRightInd w:val="0"/>
        <w:spacing w:line="360" w:lineRule="auto"/>
        <w:rPr>
          <w:rFonts w:ascii="宋体" w:hAnsi="宋体"/>
          <w:color w:val="auto"/>
          <w:kern w:val="0"/>
          <w:sz w:val="24"/>
          <w:highlight w:val="none"/>
        </w:rPr>
      </w:pPr>
      <w:bookmarkStart w:id="1627" w:name="_Toc20370_WPSOffice_Level2"/>
      <w:r>
        <w:rPr>
          <w:rFonts w:hint="eastAsia" w:ascii="宋体" w:hAnsi="宋体"/>
          <w:color w:val="auto"/>
          <w:kern w:val="0"/>
          <w:sz w:val="24"/>
          <w:highlight w:val="none"/>
        </w:rPr>
        <w:t>比选申请人认为应提交的其他比选申请资料（如有）。</w:t>
      </w:r>
      <w:bookmarkEnd w:id="1627"/>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jc w:val="center"/>
        <w:textAlignment w:val="auto"/>
        <w:outlineLvl w:val="2"/>
        <w:rPr>
          <w:rFonts w:ascii="宋体" w:hAnsi="宋体"/>
          <w:b/>
          <w:color w:val="auto"/>
          <w:kern w:val="0"/>
          <w:sz w:val="30"/>
          <w:szCs w:val="30"/>
          <w:highlight w:val="none"/>
        </w:rPr>
      </w:pPr>
      <w:bookmarkStart w:id="1628" w:name="_Toc11906_WPSOffice_Level2"/>
      <w:bookmarkStart w:id="1629" w:name="_Toc9038_WPSOffice_Level2"/>
      <w:bookmarkStart w:id="1630" w:name="_Toc114052393"/>
      <w:bookmarkStart w:id="1631" w:name="_Toc114052453"/>
      <w:r>
        <w:rPr>
          <w:rFonts w:hint="eastAsia" w:ascii="宋体" w:hAnsi="宋体"/>
          <w:b/>
          <w:color w:val="auto"/>
          <w:kern w:val="0"/>
          <w:sz w:val="30"/>
          <w:szCs w:val="30"/>
          <w:highlight w:val="none"/>
        </w:rPr>
        <w:t>1</w:t>
      </w:r>
      <w:r>
        <w:rPr>
          <w:rFonts w:hint="eastAsia" w:ascii="宋体" w:hAnsi="宋体"/>
          <w:b/>
          <w:color w:val="auto"/>
          <w:kern w:val="0"/>
          <w:sz w:val="30"/>
          <w:szCs w:val="30"/>
          <w:highlight w:val="none"/>
          <w:lang w:val="en-US" w:eastAsia="zh-CN"/>
        </w:rPr>
        <w:t>.</w:t>
      </w:r>
      <w:r>
        <w:rPr>
          <w:rFonts w:hint="eastAsia" w:ascii="宋体" w:hAnsi="宋体"/>
          <w:b/>
          <w:color w:val="auto"/>
          <w:kern w:val="0"/>
          <w:sz w:val="30"/>
          <w:szCs w:val="30"/>
          <w:highlight w:val="none"/>
        </w:rPr>
        <w:t>比选申请函</w:t>
      </w:r>
      <w:bookmarkEnd w:id="1628"/>
      <w:bookmarkEnd w:id="1629"/>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jc w:val="left"/>
        <w:textAlignment w:val="auto"/>
        <w:rPr>
          <w:rFonts w:ascii="楷体_GB2312" w:eastAsia="楷体_GB2312"/>
          <w:b/>
          <w:color w:val="auto"/>
          <w:kern w:val="0"/>
          <w:sz w:val="24"/>
          <w:highlight w:val="none"/>
          <w:u w:val="single"/>
        </w:rPr>
      </w:pP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80" w:firstLineChars="200"/>
        <w:jc w:val="left"/>
        <w:textAlignment w:val="auto"/>
        <w:rPr>
          <w:rFonts w:ascii="宋体" w:hAnsi="宋体"/>
          <w:b/>
          <w:color w:val="auto"/>
          <w:kern w:val="0"/>
          <w:sz w:val="24"/>
          <w:highlight w:val="none"/>
        </w:rPr>
      </w:pPr>
      <w:r>
        <w:rPr>
          <w:rFonts w:hint="eastAsia" w:ascii="宋体" w:hAnsi="宋体"/>
          <w:color w:val="auto"/>
          <w:kern w:val="0"/>
          <w:sz w:val="24"/>
          <w:highlight w:val="none"/>
        </w:rPr>
        <w:t>致：南</w:t>
      </w:r>
      <w:bookmarkEnd w:id="1630"/>
      <w:bookmarkEnd w:id="1631"/>
      <w:r>
        <w:rPr>
          <w:rFonts w:hint="eastAsia" w:ascii="宋体" w:hAnsi="宋体"/>
          <w:color w:val="auto"/>
          <w:kern w:val="0"/>
          <w:sz w:val="24"/>
          <w:highlight w:val="none"/>
        </w:rPr>
        <w:t>宁</w:t>
      </w:r>
      <w:bookmarkStart w:id="1632" w:name="_Toc114052394"/>
      <w:r>
        <w:rPr>
          <w:rFonts w:hint="eastAsia" w:ascii="宋体" w:hAnsi="宋体"/>
          <w:color w:val="auto"/>
          <w:kern w:val="0"/>
          <w:sz w:val="24"/>
          <w:highlight w:val="none"/>
        </w:rPr>
        <w:t>轨道交通运营有限公司</w:t>
      </w:r>
    </w:p>
    <w:bookmarkEnd w:id="1632"/>
    <w:p>
      <w:pPr>
        <w:keepNext w:val="0"/>
        <w:keepLines w:val="0"/>
        <w:pageBreakBefore w:val="0"/>
        <w:widowControl/>
        <w:kinsoku/>
        <w:wordWrap/>
        <w:overflowPunct/>
        <w:topLinePunct w:val="0"/>
        <w:bidi w:val="0"/>
        <w:spacing w:before="0" w:after="0" w:afterAutospacing="0" w:line="360" w:lineRule="auto"/>
        <w:ind w:left="0" w:right="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根据</w:t>
      </w:r>
      <w:r>
        <w:rPr>
          <w:rFonts w:hint="eastAsia" w:ascii="宋体" w:hAnsi="宋体"/>
          <w:color w:val="auto"/>
          <w:kern w:val="0"/>
          <w:sz w:val="24"/>
          <w:highlight w:val="none"/>
          <w:u w:val="single"/>
        </w:rPr>
        <w:t>运营公司档案委外整理及数字化加工服务采购项目（2024年—2026年）</w:t>
      </w:r>
      <w:r>
        <w:rPr>
          <w:rFonts w:ascii="宋体" w:hAnsi="宋体" w:eastAsia="宋体"/>
          <w:b w:val="0"/>
          <w:bCs/>
          <w:color w:val="auto"/>
          <w:kern w:val="0"/>
          <w:sz w:val="24"/>
          <w:highlight w:val="none"/>
        </w:rPr>
        <w:t>(项目编号：</w:t>
      </w:r>
      <w:r>
        <w:rPr>
          <w:rFonts w:hint="eastAsia" w:ascii="宋体" w:hAnsi="宋体" w:eastAsia="宋体"/>
          <w:b w:val="0"/>
          <w:bCs/>
          <w:color w:val="auto"/>
          <w:kern w:val="0"/>
          <w:sz w:val="24"/>
          <w:highlight w:val="none"/>
        </w:rPr>
        <w:t>202</w:t>
      </w:r>
      <w:r>
        <w:rPr>
          <w:rFonts w:hint="eastAsia" w:ascii="宋体" w:hAnsi="宋体" w:eastAsia="宋体"/>
          <w:b w:val="0"/>
          <w:bCs/>
          <w:color w:val="auto"/>
          <w:kern w:val="0"/>
          <w:sz w:val="24"/>
          <w:highlight w:val="none"/>
          <w:lang w:val="en-US" w:eastAsia="zh-CN"/>
        </w:rPr>
        <w:t>40130</w:t>
      </w:r>
      <w:r>
        <w:rPr>
          <w:rFonts w:hint="eastAsia" w:ascii="宋体" w:hAnsi="宋体" w:eastAsia="宋体"/>
          <w:b w:val="0"/>
          <w:bCs/>
          <w:color w:val="auto"/>
          <w:kern w:val="0"/>
          <w:sz w:val="24"/>
          <w:highlight w:val="none"/>
        </w:rPr>
        <w:t>000</w:t>
      </w:r>
      <w:r>
        <w:rPr>
          <w:rFonts w:hint="eastAsia" w:ascii="宋体" w:hAnsi="宋体" w:eastAsia="宋体"/>
          <w:b w:val="0"/>
          <w:bCs/>
          <w:color w:val="auto"/>
          <w:kern w:val="0"/>
          <w:sz w:val="24"/>
          <w:highlight w:val="none"/>
          <w:lang w:val="en-US" w:eastAsia="zh-CN"/>
        </w:rPr>
        <w:t>1</w:t>
      </w:r>
      <w:r>
        <w:rPr>
          <w:rFonts w:ascii="宋体" w:hAnsi="宋体" w:eastAsia="宋体"/>
          <w:b w:val="0"/>
          <w:bCs/>
          <w:color w:val="auto"/>
          <w:kern w:val="0"/>
          <w:sz w:val="24"/>
          <w:highlight w:val="none"/>
        </w:rPr>
        <w:t>)</w:t>
      </w:r>
      <w:r>
        <w:rPr>
          <w:rFonts w:hint="eastAsia" w:ascii="宋体" w:hAnsi="宋体"/>
          <w:color w:val="auto"/>
          <w:kern w:val="0"/>
          <w:sz w:val="24"/>
          <w:highlight w:val="none"/>
        </w:rPr>
        <w:t>的比选公告，遵照国家相关法律法规的规定，我单位经考察现场和研究上述比选文件的须知、合同条件、技术规范和其他有关文件后，签字人</w:t>
      </w:r>
      <w:r>
        <w:rPr>
          <w:rFonts w:ascii="宋体" w:hAnsi="宋体"/>
          <w:color w:val="auto"/>
          <w:kern w:val="0"/>
          <w:sz w:val="24"/>
          <w:highlight w:val="none"/>
          <w:u w:val="single"/>
        </w:rPr>
        <w:t xml:space="preserve">   </w:t>
      </w:r>
      <w:r>
        <w:rPr>
          <w:rFonts w:hint="eastAsia" w:ascii="宋体" w:hAnsi="宋体"/>
          <w:color w:val="auto"/>
          <w:kern w:val="0"/>
          <w:sz w:val="24"/>
          <w:highlight w:val="none"/>
          <w:u w:val="single"/>
        </w:rPr>
        <w:t xml:space="preserve">（全名、职务） </w:t>
      </w:r>
      <w:r>
        <w:rPr>
          <w:rFonts w:ascii="宋体" w:hAnsi="宋体"/>
          <w:color w:val="auto"/>
          <w:kern w:val="0"/>
          <w:sz w:val="24"/>
          <w:highlight w:val="none"/>
          <w:u w:val="single"/>
        </w:rPr>
        <w:t xml:space="preserve">  </w:t>
      </w:r>
      <w:r>
        <w:rPr>
          <w:rFonts w:hint="eastAsia" w:ascii="宋体" w:hAnsi="宋体"/>
          <w:color w:val="auto"/>
          <w:kern w:val="0"/>
          <w:sz w:val="24"/>
          <w:highlight w:val="none"/>
        </w:rPr>
        <w:t>经正式授权并代表比选申请人</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 xml:space="preserve">   </w:t>
      </w:r>
      <w:r>
        <w:rPr>
          <w:rFonts w:hint="eastAsia" w:ascii="宋体" w:hAnsi="宋体"/>
          <w:color w:val="auto"/>
          <w:kern w:val="0"/>
          <w:sz w:val="24"/>
          <w:highlight w:val="none"/>
          <w:u w:val="single"/>
        </w:rPr>
        <w:t xml:space="preserve">（比选申请人名称、地址） </w:t>
      </w:r>
      <w:r>
        <w:rPr>
          <w:rFonts w:ascii="宋体" w:hAnsi="宋体"/>
          <w:color w:val="auto"/>
          <w:kern w:val="0"/>
          <w:sz w:val="24"/>
          <w:highlight w:val="none"/>
          <w:u w:val="single"/>
        </w:rPr>
        <w:t xml:space="preserve">   </w:t>
      </w:r>
      <w:r>
        <w:rPr>
          <w:rFonts w:hint="eastAsia" w:ascii="宋体" w:hAnsi="宋体"/>
          <w:color w:val="auto"/>
          <w:kern w:val="0"/>
          <w:sz w:val="24"/>
          <w:highlight w:val="none"/>
        </w:rPr>
        <w:t xml:space="preserve">提交比选申请文件正本1份、副本 4份及电子文件 </w:t>
      </w:r>
      <w:r>
        <w:rPr>
          <w:rFonts w:ascii="宋体" w:hAnsi="宋体"/>
          <w:color w:val="auto"/>
          <w:kern w:val="0"/>
          <w:sz w:val="24"/>
          <w:highlight w:val="none"/>
        </w:rPr>
        <w:t>1</w:t>
      </w:r>
      <w:r>
        <w:rPr>
          <w:rFonts w:hint="eastAsia" w:ascii="宋体" w:hAnsi="宋体"/>
          <w:color w:val="auto"/>
          <w:kern w:val="0"/>
          <w:sz w:val="24"/>
          <w:highlight w:val="none"/>
        </w:rPr>
        <w:t xml:space="preserve"> 份（U盘）。</w:t>
      </w:r>
    </w:p>
    <w:p>
      <w:pPr>
        <w:keepNext w:val="0"/>
        <w:keepLines w:val="0"/>
        <w:pageBreakBefore w:val="0"/>
        <w:widowControl/>
        <w:kinsoku/>
        <w:wordWrap/>
        <w:overflowPunct/>
        <w:topLinePunct w:val="0"/>
        <w:bidi w:val="0"/>
        <w:spacing w:before="0" w:after="0" w:afterAutospacing="0" w:line="360" w:lineRule="auto"/>
        <w:ind w:left="0" w:right="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据此，签字人宣布同意如下：</w:t>
      </w:r>
    </w:p>
    <w:p>
      <w:pPr>
        <w:keepNext w:val="0"/>
        <w:keepLines w:val="0"/>
        <w:pageBreakBefore w:val="0"/>
        <w:widowControl/>
        <w:kinsoku/>
        <w:wordWrap/>
        <w:overflowPunct/>
        <w:topLinePunct w:val="0"/>
        <w:bidi w:val="0"/>
        <w:spacing w:before="0" w:after="0" w:afterAutospacing="0" w:line="360" w:lineRule="auto"/>
        <w:ind w:left="0" w:right="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1.按比选文件要求规定的服务并履行全部合同义务的比选申请总价如本比选申请文件价格文件“比选申请报价”一栏所述。</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2.我方根据比选文件的规定，承担合同的责任和义务。</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3.我方已详细核查全部比选申请文件，包括修改文件（如有的话）和有关附件。我们完全理解并同意放弃对这方面有不明及误解的权利。</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80" w:firstLineChars="200"/>
        <w:textAlignment w:val="auto"/>
        <w:rPr>
          <w:rFonts w:ascii="宋体" w:hAnsi="宋体"/>
          <w:color w:val="auto"/>
          <w:kern w:val="0"/>
          <w:sz w:val="24"/>
          <w:highlight w:val="none"/>
        </w:rPr>
      </w:pPr>
      <w:r>
        <w:rPr>
          <w:rFonts w:ascii="宋体" w:hAnsi="宋体"/>
          <w:color w:val="auto"/>
          <w:kern w:val="0"/>
          <w:sz w:val="24"/>
          <w:highlight w:val="none"/>
        </w:rPr>
        <w:t>4</w:t>
      </w:r>
      <w:r>
        <w:rPr>
          <w:rFonts w:hint="eastAsia" w:ascii="宋体" w:hAnsi="宋体"/>
          <w:color w:val="auto"/>
          <w:kern w:val="0"/>
          <w:sz w:val="24"/>
          <w:highlight w:val="none"/>
        </w:rPr>
        <w:t>.本比选申请有效期为比选申请截止日起</w:t>
      </w:r>
      <w:r>
        <w:rPr>
          <w:rFonts w:ascii="宋体" w:hAnsi="宋体"/>
          <w:color w:val="auto"/>
          <w:kern w:val="0"/>
          <w:sz w:val="24"/>
          <w:highlight w:val="none"/>
        </w:rPr>
        <w:t>90</w:t>
      </w:r>
      <w:r>
        <w:rPr>
          <w:rFonts w:hint="eastAsia" w:ascii="宋体" w:hAnsi="宋体"/>
          <w:color w:val="auto"/>
          <w:kern w:val="0"/>
          <w:sz w:val="24"/>
          <w:highlight w:val="none"/>
        </w:rPr>
        <w:t>日历天内。</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5.如果在规定的比选文件递交时间后，我公司在比选申请有效期内撤销比选申请，所造成的损失我公司承担。</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6.同意向贵方提供贵方可能要求的与本比选有关的任何数据或资料。</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7.我方将严格遵守国家相关法律法规的规定，知悉作为供应商应负的法律责任。</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8.与本比选申请有关的一切正式通讯请发往：</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840" w:firstLineChars="350"/>
        <w:textAlignment w:val="auto"/>
        <w:rPr>
          <w:rFonts w:ascii="宋体" w:hAnsi="宋体"/>
          <w:color w:val="auto"/>
          <w:kern w:val="0"/>
          <w:sz w:val="24"/>
          <w:highlight w:val="none"/>
        </w:rPr>
      </w:pPr>
      <w:r>
        <w:rPr>
          <w:rFonts w:hint="eastAsia" w:ascii="宋体" w:hAnsi="宋体"/>
          <w:color w:val="auto"/>
          <w:kern w:val="0"/>
          <w:sz w:val="24"/>
          <w:highlight w:val="none"/>
        </w:rPr>
        <w:t xml:space="preserve">地址： </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840" w:firstLineChars="350"/>
        <w:textAlignment w:val="auto"/>
        <w:rPr>
          <w:rFonts w:ascii="宋体" w:hAnsi="宋体"/>
          <w:color w:val="auto"/>
          <w:kern w:val="0"/>
          <w:sz w:val="24"/>
          <w:highlight w:val="none"/>
        </w:rPr>
      </w:pPr>
      <w:r>
        <w:rPr>
          <w:rFonts w:hint="eastAsia" w:ascii="宋体" w:hAnsi="宋体"/>
          <w:color w:val="auto"/>
          <w:kern w:val="0"/>
          <w:sz w:val="24"/>
          <w:highlight w:val="none"/>
        </w:rPr>
        <w:t>邮政编码：</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840" w:firstLineChars="350"/>
        <w:textAlignment w:val="auto"/>
        <w:rPr>
          <w:rFonts w:ascii="宋体" w:hAnsi="宋体"/>
          <w:color w:val="auto"/>
          <w:kern w:val="0"/>
          <w:sz w:val="24"/>
          <w:highlight w:val="none"/>
        </w:rPr>
      </w:pPr>
      <w:r>
        <w:rPr>
          <w:rFonts w:hint="eastAsia" w:ascii="宋体" w:hAnsi="宋体"/>
          <w:color w:val="auto"/>
          <w:kern w:val="0"/>
          <w:sz w:val="24"/>
          <w:highlight w:val="none"/>
        </w:rPr>
        <w:t>电话、电报、传真或电传：</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840" w:firstLineChars="350"/>
        <w:textAlignment w:val="auto"/>
        <w:rPr>
          <w:rFonts w:ascii="宋体" w:hAnsi="宋体"/>
          <w:color w:val="auto"/>
          <w:kern w:val="0"/>
          <w:sz w:val="24"/>
          <w:highlight w:val="none"/>
        </w:rPr>
      </w:pPr>
      <w:r>
        <w:rPr>
          <w:rFonts w:hint="eastAsia" w:ascii="宋体" w:hAnsi="宋体"/>
          <w:color w:val="auto"/>
          <w:kern w:val="0"/>
          <w:sz w:val="24"/>
          <w:highlight w:val="none"/>
        </w:rPr>
        <w:t>比选申请人名称：</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 xml:space="preserve"> </w:t>
      </w:r>
      <w:r>
        <w:rPr>
          <w:rFonts w:hint="eastAsia" w:ascii="宋体" w:hAnsi="宋体"/>
          <w:color w:val="auto"/>
          <w:kern w:val="0"/>
          <w:sz w:val="24"/>
          <w:highlight w:val="none"/>
          <w:u w:val="single"/>
        </w:rPr>
        <w:t xml:space="preserve">（全称并加盖公章） </w:t>
      </w:r>
      <w:r>
        <w:rPr>
          <w:rFonts w:ascii="宋体" w:hAnsi="宋体"/>
          <w:color w:val="auto"/>
          <w:kern w:val="0"/>
          <w:sz w:val="24"/>
          <w:highlight w:val="none"/>
          <w:u w:val="single"/>
        </w:rPr>
        <w:t xml:space="preserve"> </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840" w:firstLineChars="350"/>
        <w:textAlignment w:val="auto"/>
        <w:rPr>
          <w:rFonts w:ascii="宋体" w:hAnsi="宋体"/>
          <w:color w:val="auto"/>
          <w:kern w:val="0"/>
          <w:sz w:val="24"/>
          <w:highlight w:val="none"/>
          <w:u w:val="single"/>
        </w:rPr>
      </w:pPr>
      <w:r>
        <w:rPr>
          <w:rFonts w:hint="eastAsia" w:ascii="宋体" w:hAnsi="宋体"/>
          <w:color w:val="auto"/>
          <w:kern w:val="0"/>
          <w:sz w:val="24"/>
          <w:highlight w:val="none"/>
        </w:rPr>
        <w:t>法定代表人或授权委托代理人：</w:t>
      </w:r>
      <w:r>
        <w:rPr>
          <w:rFonts w:hint="eastAsia" w:ascii="宋体" w:hAnsi="宋体"/>
          <w:color w:val="auto"/>
          <w:kern w:val="0"/>
          <w:sz w:val="24"/>
          <w:highlight w:val="none"/>
          <w:u w:val="single"/>
        </w:rPr>
        <w:t>（签字或盖章）</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840" w:firstLineChars="350"/>
        <w:textAlignment w:val="auto"/>
        <w:rPr>
          <w:rFonts w:ascii="宋体" w:hAnsi="宋体"/>
          <w:color w:val="auto"/>
          <w:kern w:val="0"/>
          <w:sz w:val="24"/>
          <w:highlight w:val="none"/>
          <w:u w:val="single"/>
        </w:rPr>
      </w:pPr>
      <w:r>
        <w:rPr>
          <w:rFonts w:hint="eastAsia" w:ascii="宋体" w:hAnsi="宋体"/>
          <w:color w:val="auto"/>
          <w:kern w:val="0"/>
          <w:sz w:val="24"/>
          <w:highlight w:val="none"/>
        </w:rPr>
        <w:t>日期：     年  月  日</w:t>
      </w:r>
    </w:p>
    <w:p>
      <w:pPr>
        <w:keepNext w:val="0"/>
        <w:keepLines w:val="0"/>
        <w:pageBreakBefore w:val="0"/>
        <w:widowControl/>
        <w:numPr>
          <w:ilvl w:val="0"/>
          <w:numId w:val="14"/>
        </w:numPr>
        <w:kinsoku/>
        <w:wordWrap/>
        <w:overflowPunct/>
        <w:topLinePunct w:val="0"/>
        <w:autoSpaceDE w:val="0"/>
        <w:autoSpaceDN w:val="0"/>
        <w:bidi w:val="0"/>
        <w:adjustRightInd w:val="0"/>
        <w:snapToGrid/>
        <w:spacing w:before="0" w:after="0" w:afterAutospacing="0" w:line="360" w:lineRule="auto"/>
        <w:ind w:left="0" w:right="0" w:firstLine="0"/>
        <w:textAlignment w:val="auto"/>
        <w:rPr>
          <w:rFonts w:ascii="宋体" w:hAnsi="宋体" w:eastAsia="宋体"/>
          <w:color w:val="auto"/>
          <w:sz w:val="21"/>
          <w:szCs w:val="21"/>
          <w:highlight w:val="none"/>
        </w:rPr>
      </w:pPr>
      <w:r>
        <w:rPr>
          <w:rFonts w:hint="eastAsia" w:ascii="宋体" w:hAnsi="宋体"/>
          <w:b/>
          <w:color w:val="auto"/>
          <w:kern w:val="0"/>
          <w:sz w:val="24"/>
          <w:highlight w:val="none"/>
        </w:rPr>
        <w:t>注：未按照本比选申请函要求填报的比选申请函将被视为非实质性响应。</w:t>
      </w:r>
      <w:r>
        <w:rPr>
          <w:rFonts w:hint="eastAsia" w:ascii="宋体" w:hAnsi="宋体" w:eastAsia="宋体" w:cs="宋体"/>
          <w:color w:val="auto"/>
          <w:highlight w:val="none"/>
        </w:rPr>
        <w:br w:type="page"/>
      </w:r>
      <w:bookmarkStart w:id="1633" w:name="_Toc12983552"/>
      <w:bookmarkStart w:id="1634" w:name="_Toc16489"/>
      <w:bookmarkStart w:id="1635" w:name="_Toc18340"/>
      <w:bookmarkStart w:id="1636" w:name="_Toc4623"/>
      <w:bookmarkStart w:id="1637" w:name="_Toc24873"/>
      <w:bookmarkStart w:id="1638" w:name="_Toc9861"/>
      <w:bookmarkStart w:id="1639" w:name="_Toc12951"/>
      <w:bookmarkStart w:id="1640" w:name="_Toc12984812"/>
      <w:bookmarkStart w:id="1641" w:name="_Toc6992"/>
      <w:bookmarkStart w:id="1642" w:name="_Toc10991"/>
      <w:bookmarkStart w:id="1643" w:name="_Toc9560"/>
      <w:bookmarkStart w:id="1644" w:name="_Toc27610"/>
      <w:bookmarkStart w:id="1645" w:name="_Toc2184"/>
      <w:bookmarkStart w:id="1646" w:name="_Toc25750680"/>
      <w:bookmarkStart w:id="1647" w:name="_Toc29231"/>
      <w:bookmarkStart w:id="1648" w:name="_Toc15042"/>
      <w:bookmarkStart w:id="1649" w:name="_Toc24487"/>
      <w:bookmarkStart w:id="1650" w:name="_Toc13980"/>
      <w:bookmarkStart w:id="1651" w:name="_Toc24326"/>
      <w:bookmarkStart w:id="1652" w:name="_Toc29688"/>
      <w:bookmarkStart w:id="1653" w:name="_Toc1158"/>
      <w:bookmarkStart w:id="1654" w:name="_Toc25419"/>
      <w:bookmarkStart w:id="1655" w:name="_Toc492478808"/>
      <w:bookmarkStart w:id="1656" w:name="_Toc23615"/>
      <w:bookmarkStart w:id="1657" w:name="_Toc18516"/>
      <w:bookmarkStart w:id="1658" w:name="_Toc7004"/>
      <w:bookmarkStart w:id="1659" w:name="_Toc7160"/>
      <w:bookmarkStart w:id="1660" w:name="_Toc28398"/>
      <w:bookmarkStart w:id="1661" w:name="_Toc375564355"/>
      <w:bookmarkStart w:id="1662" w:name="_Toc414290526"/>
      <w:r>
        <w:rPr>
          <w:rFonts w:hint="eastAsia" w:ascii="宋体" w:hAnsi="宋体"/>
          <w:color w:val="auto"/>
          <w:sz w:val="21"/>
          <w:szCs w:val="21"/>
          <w:highlight w:val="none"/>
          <w:lang w:val="en-US" w:eastAsia="zh-CN"/>
        </w:rPr>
        <w:t>2.</w:t>
      </w:r>
      <w:r>
        <w:rPr>
          <w:rFonts w:hint="eastAsia" w:ascii="宋体" w:hAnsi="宋体" w:eastAsia="宋体"/>
          <w:color w:val="auto"/>
          <w:sz w:val="21"/>
          <w:szCs w:val="21"/>
          <w:highlight w:val="none"/>
        </w:rPr>
        <w:t xml:space="preserve"> </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Fonts w:hint="eastAsia" w:ascii="宋体" w:hAnsi="宋体"/>
          <w:color w:val="auto"/>
          <w:kern w:val="0"/>
          <w:sz w:val="24"/>
          <w:highlight w:val="none"/>
        </w:rPr>
        <w:t>比选申请报价汇总表（不含税）</w:t>
      </w:r>
    </w:p>
    <w:p>
      <w:pPr>
        <w:pStyle w:val="2"/>
        <w:rPr>
          <w:color w:val="auto"/>
          <w:highlight w:val="none"/>
        </w:rPr>
      </w:pPr>
    </w:p>
    <w:p>
      <w:pPr>
        <w:keepNext w:val="0"/>
        <w:keepLines w:val="0"/>
        <w:pageBreakBefore w:val="0"/>
        <w:widowControl/>
        <w:numPr>
          <w:ilvl w:val="0"/>
          <w:numId w:val="0"/>
        </w:numPr>
        <w:kinsoku/>
        <w:wordWrap/>
        <w:overflowPunct/>
        <w:topLinePunct w:val="0"/>
        <w:autoSpaceDE w:val="0"/>
        <w:autoSpaceDN w:val="0"/>
        <w:bidi w:val="0"/>
        <w:adjustRightInd w:val="0"/>
        <w:snapToGrid/>
        <w:spacing w:before="0" w:after="0" w:afterAutospacing="0" w:line="360" w:lineRule="auto"/>
        <w:ind w:leftChars="0" w:right="0" w:rightChars="0" w:firstLine="2108" w:firstLineChars="700"/>
        <w:jc w:val="both"/>
        <w:outlineLvl w:val="2"/>
        <w:rPr>
          <w:rFonts w:ascii="宋体" w:hAnsi="宋体"/>
          <w:color w:val="auto"/>
          <w:szCs w:val="21"/>
          <w:highlight w:val="none"/>
        </w:rPr>
      </w:pPr>
      <w:bookmarkStart w:id="1663" w:name="_Toc20931"/>
      <w:r>
        <w:rPr>
          <w:rFonts w:hint="eastAsia" w:ascii="宋体" w:hAnsi="宋体"/>
          <w:b/>
          <w:color w:val="auto"/>
          <w:kern w:val="0"/>
          <w:sz w:val="30"/>
          <w:szCs w:val="30"/>
          <w:highlight w:val="none"/>
        </w:rPr>
        <w:t>比选申请报价汇总表 （不含税）</w:t>
      </w:r>
    </w:p>
    <w:p>
      <w:pPr>
        <w:keepNext w:val="0"/>
        <w:keepLines w:val="0"/>
        <w:pageBreakBefore w:val="0"/>
        <w:widowControl/>
        <w:kinsoku/>
        <w:wordWrap/>
        <w:overflowPunct/>
        <w:topLinePunct w:val="0"/>
        <w:bidi w:val="0"/>
        <w:snapToGrid/>
        <w:spacing w:before="0" w:after="0" w:afterAutospacing="0" w:line="360" w:lineRule="auto"/>
        <w:ind w:left="0" w:right="0" w:firstLine="0" w:firstLineChars="0"/>
        <w:rPr>
          <w:color w:val="auto"/>
          <w:highlight w:val="none"/>
        </w:rPr>
      </w:pPr>
      <w:r>
        <w:rPr>
          <w:rFonts w:hint="eastAsia" w:ascii="宋体" w:hAnsi="宋体"/>
          <w:color w:val="auto"/>
          <w:szCs w:val="21"/>
          <w:highlight w:val="none"/>
        </w:rPr>
        <w:t>项目名称：</w:t>
      </w:r>
      <w:r>
        <w:rPr>
          <w:rFonts w:hint="eastAsia" w:ascii="宋体" w:hAnsi="宋体"/>
          <w:color w:val="auto"/>
          <w:highlight w:val="none"/>
          <w:lang w:eastAsia="zh-CN"/>
        </w:rPr>
        <w:t>运营公司档案委外整理及数字化加工服务采购项目（2024年—2026年）</w:t>
      </w:r>
    </w:p>
    <w:tbl>
      <w:tblPr>
        <w:tblStyle w:val="33"/>
        <w:tblW w:w="5395" w:type="pct"/>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6"/>
        <w:gridCol w:w="3677"/>
        <w:gridCol w:w="4348"/>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71"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textAlignment w:val="center"/>
              <w:rPr>
                <w:rFonts w:hint="default"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959"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textAlignment w:val="center"/>
              <w:rPr>
                <w:rFonts w:hint="default" w:ascii="宋体" w:hAnsi="宋体" w:cs="宋体"/>
                <w:b/>
                <w:color w:val="auto"/>
                <w:szCs w:val="21"/>
                <w:highlight w:val="none"/>
              </w:rPr>
            </w:pPr>
            <w:r>
              <w:rPr>
                <w:rFonts w:hint="eastAsia" w:ascii="宋体" w:hAnsi="宋体" w:cs="宋体"/>
                <w:b/>
                <w:color w:val="auto"/>
                <w:kern w:val="0"/>
                <w:szCs w:val="21"/>
                <w:highlight w:val="none"/>
                <w:lang w:bidi="ar"/>
              </w:rPr>
              <w:t>项目名称</w:t>
            </w:r>
          </w:p>
        </w:tc>
        <w:tc>
          <w:tcPr>
            <w:tcW w:w="2316"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textAlignment w:val="center"/>
              <w:rPr>
                <w:rFonts w:hint="default" w:ascii="宋体" w:hAnsi="宋体" w:cs="宋体"/>
                <w:b/>
                <w:color w:val="auto"/>
                <w:kern w:val="0"/>
                <w:szCs w:val="21"/>
                <w:highlight w:val="none"/>
                <w:lang w:bidi="ar"/>
              </w:rPr>
            </w:pPr>
            <w:r>
              <w:rPr>
                <w:rFonts w:hint="eastAsia" w:ascii="宋体" w:hAnsi="宋体" w:cs="宋体"/>
                <w:b/>
                <w:color w:val="auto"/>
                <w:kern w:val="0"/>
                <w:szCs w:val="21"/>
                <w:highlight w:val="none"/>
                <w:lang w:bidi="ar"/>
              </w:rPr>
              <w:t>比选报价合计</w:t>
            </w:r>
          </w:p>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textAlignment w:val="center"/>
              <w:rPr>
                <w:rFonts w:hint="default" w:ascii="宋体" w:hAnsi="宋体" w:cs="宋体"/>
                <w:b/>
                <w:color w:val="auto"/>
                <w:szCs w:val="21"/>
                <w:highlight w:val="none"/>
              </w:rPr>
            </w:pPr>
            <w:r>
              <w:rPr>
                <w:rFonts w:hint="eastAsia" w:ascii="宋体" w:hAnsi="宋体" w:cs="宋体"/>
                <w:b/>
                <w:color w:val="auto"/>
                <w:kern w:val="0"/>
                <w:szCs w:val="21"/>
                <w:highlight w:val="none"/>
                <w:lang w:bidi="ar"/>
              </w:rPr>
              <w:t>(元)</w:t>
            </w:r>
          </w:p>
        </w:tc>
        <w:tc>
          <w:tcPr>
            <w:tcW w:w="352"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textAlignment w:val="center"/>
              <w:rPr>
                <w:rFonts w:hint="default"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71" w:type="pct"/>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rPr>
                <w:rFonts w:hint="default" w:ascii="宋体" w:hAnsi="宋体" w:cs="宋体"/>
                <w:b/>
                <w:color w:val="auto"/>
                <w:szCs w:val="21"/>
                <w:highlight w:val="none"/>
              </w:rPr>
            </w:pPr>
          </w:p>
        </w:tc>
        <w:tc>
          <w:tcPr>
            <w:tcW w:w="1959" w:type="pct"/>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rPr>
                <w:rFonts w:hint="default" w:ascii="宋体" w:hAnsi="宋体" w:cs="宋体"/>
                <w:b/>
                <w:color w:val="auto"/>
                <w:szCs w:val="21"/>
                <w:highlight w:val="none"/>
              </w:rPr>
            </w:pPr>
          </w:p>
        </w:tc>
        <w:tc>
          <w:tcPr>
            <w:tcW w:w="2316" w:type="pct"/>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rPr>
                <w:rFonts w:hint="default" w:ascii="宋体" w:hAnsi="宋体" w:cs="宋体"/>
                <w:b/>
                <w:color w:val="auto"/>
                <w:szCs w:val="21"/>
                <w:highlight w:val="none"/>
              </w:rPr>
            </w:pPr>
          </w:p>
        </w:tc>
        <w:tc>
          <w:tcPr>
            <w:tcW w:w="352" w:type="pct"/>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rPr>
                <w:rFonts w:hint="default"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71" w:type="pct"/>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rPr>
                <w:rFonts w:hint="default" w:ascii="宋体" w:hAnsi="宋体" w:cs="宋体"/>
                <w:b/>
                <w:color w:val="auto"/>
                <w:szCs w:val="21"/>
                <w:highlight w:val="none"/>
              </w:rPr>
            </w:pPr>
          </w:p>
        </w:tc>
        <w:tc>
          <w:tcPr>
            <w:tcW w:w="1959" w:type="pct"/>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rPr>
                <w:rFonts w:hint="default" w:ascii="宋体" w:hAnsi="宋体" w:cs="宋体"/>
                <w:b/>
                <w:color w:val="auto"/>
                <w:szCs w:val="21"/>
                <w:highlight w:val="none"/>
              </w:rPr>
            </w:pPr>
          </w:p>
        </w:tc>
        <w:tc>
          <w:tcPr>
            <w:tcW w:w="2316" w:type="pct"/>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rPr>
                <w:rFonts w:hint="default" w:ascii="宋体" w:hAnsi="宋体" w:cs="宋体"/>
                <w:b/>
                <w:color w:val="auto"/>
                <w:szCs w:val="21"/>
                <w:highlight w:val="none"/>
              </w:rPr>
            </w:pPr>
          </w:p>
        </w:tc>
        <w:tc>
          <w:tcPr>
            <w:tcW w:w="352" w:type="pct"/>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rPr>
                <w:rFonts w:hint="default"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371" w:type="pct"/>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1</w:t>
            </w:r>
          </w:p>
        </w:tc>
        <w:tc>
          <w:tcPr>
            <w:tcW w:w="1959" w:type="pct"/>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left"/>
              <w:textAlignment w:val="center"/>
              <w:rPr>
                <w:rFonts w:hint="default" w:ascii="宋体" w:hAnsi="宋体" w:cs="宋体"/>
                <w:color w:val="auto"/>
                <w:szCs w:val="21"/>
                <w:highlight w:val="none"/>
              </w:rPr>
            </w:pPr>
            <w:r>
              <w:rPr>
                <w:rFonts w:hint="eastAsia" w:ascii="宋体" w:hAnsi="宋体"/>
                <w:color w:val="auto"/>
                <w:highlight w:val="none"/>
                <w:lang w:eastAsia="zh-CN"/>
              </w:rPr>
              <w:t>运营公司档案委外整理及数字化加工服务采购项目（2024年—2026年）</w:t>
            </w:r>
          </w:p>
        </w:tc>
        <w:tc>
          <w:tcPr>
            <w:tcW w:w="2316" w:type="pct"/>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left"/>
              <w:rPr>
                <w:rFonts w:hint="default" w:ascii="宋体" w:hAnsi="宋体" w:cs="宋体"/>
                <w:color w:val="auto"/>
                <w:szCs w:val="21"/>
                <w:highlight w:val="none"/>
              </w:rPr>
            </w:pPr>
            <w:r>
              <w:rPr>
                <w:rFonts w:hint="eastAsia" w:ascii="宋体" w:hAnsi="宋体" w:cs="宋体"/>
                <w:color w:val="auto"/>
                <w:szCs w:val="21"/>
                <w:highlight w:val="none"/>
              </w:rPr>
              <w:t>大写：</w:t>
            </w:r>
          </w:p>
        </w:tc>
        <w:tc>
          <w:tcPr>
            <w:tcW w:w="352" w:type="pct"/>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371" w:type="pct"/>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center"/>
              <w:textAlignment w:val="center"/>
              <w:rPr>
                <w:rFonts w:hint="default" w:ascii="宋体" w:hAnsi="宋体" w:cs="宋体"/>
                <w:color w:val="auto"/>
                <w:szCs w:val="21"/>
                <w:highlight w:val="none"/>
              </w:rPr>
            </w:pPr>
          </w:p>
        </w:tc>
        <w:tc>
          <w:tcPr>
            <w:tcW w:w="1959" w:type="pct"/>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left"/>
              <w:textAlignment w:val="center"/>
              <w:rPr>
                <w:rFonts w:hint="default" w:ascii="宋体" w:hAnsi="宋体"/>
                <w:color w:val="auto"/>
                <w:szCs w:val="21"/>
                <w:highlight w:val="none"/>
              </w:rPr>
            </w:pPr>
          </w:p>
        </w:tc>
        <w:tc>
          <w:tcPr>
            <w:tcW w:w="2316" w:type="pct"/>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jc w:val="left"/>
              <w:rPr>
                <w:rFonts w:hint="default" w:ascii="宋体" w:hAnsi="宋体" w:cs="宋体"/>
                <w:color w:val="auto"/>
                <w:szCs w:val="21"/>
                <w:highlight w:val="none"/>
              </w:rPr>
            </w:pPr>
            <w:r>
              <w:rPr>
                <w:rFonts w:hint="eastAsia" w:ascii="宋体" w:hAnsi="宋体" w:cs="宋体"/>
                <w:color w:val="auto"/>
                <w:szCs w:val="21"/>
                <w:highlight w:val="none"/>
              </w:rPr>
              <w:t>小写：</w:t>
            </w:r>
          </w:p>
        </w:tc>
        <w:tc>
          <w:tcPr>
            <w:tcW w:w="352" w:type="pct"/>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000" w:type="pct"/>
            <w:gridSpan w:val="4"/>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rPr>
                <w:rFonts w:hint="default" w:ascii="宋体" w:hAnsi="宋体" w:cs="宋体"/>
                <w:color w:val="auto"/>
                <w:szCs w:val="21"/>
                <w:highlight w:val="none"/>
              </w:rPr>
            </w:pPr>
            <w:r>
              <w:rPr>
                <w:rFonts w:hint="eastAsia" w:ascii="宋体" w:hAnsi="宋体" w:cs="宋体"/>
                <w:b/>
                <w:color w:val="auto"/>
                <w:kern w:val="0"/>
                <w:szCs w:val="21"/>
                <w:highlight w:val="none"/>
                <w:lang w:bidi="ar"/>
              </w:rPr>
              <w:t>服务期：</w:t>
            </w:r>
            <w:r>
              <w:rPr>
                <w:rFonts w:hint="eastAsia" w:ascii="宋体" w:hAnsi="宋体" w:cs="Times New Roman"/>
                <w:color w:val="auto"/>
                <w:highlight w:val="none"/>
                <w:lang w:val="en-US" w:eastAsia="zh-CN"/>
              </w:rPr>
              <w:t>自合同签订之日起</w:t>
            </w:r>
            <w:r>
              <w:rPr>
                <w:rFonts w:hint="eastAsia" w:ascii="宋体" w:hAnsi="宋体" w:eastAsia="宋体" w:cs="Times New Roman"/>
                <w:color w:val="auto"/>
                <w:highlight w:val="none"/>
                <w:lang w:val="en-US" w:eastAsia="zh-CN"/>
              </w:rPr>
              <w:t>至2026年12月31日。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000" w:type="pct"/>
            <w:gridSpan w:val="4"/>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ind w:left="0" w:right="0" w:firstLine="0" w:firstLineChars="0"/>
              <w:rPr>
                <w:rFonts w:hint="default" w:ascii="宋体" w:hAnsi="宋体" w:cs="宋体"/>
                <w:b/>
                <w:color w:val="auto"/>
                <w:kern w:val="0"/>
                <w:szCs w:val="21"/>
                <w:highlight w:val="none"/>
                <w:lang w:bidi="ar"/>
              </w:rPr>
            </w:pPr>
            <w:r>
              <w:rPr>
                <w:rFonts w:hint="eastAsia" w:ascii="宋体" w:hAnsi="宋体" w:cs="宋体"/>
                <w:b/>
                <w:color w:val="auto"/>
                <w:kern w:val="0"/>
                <w:szCs w:val="21"/>
                <w:highlight w:val="none"/>
                <w:lang w:bidi="ar"/>
              </w:rPr>
              <w:t>服务质量：</w:t>
            </w:r>
            <w:r>
              <w:rPr>
                <w:rFonts w:hint="eastAsia" w:ascii="宋体" w:hAnsi="宋体" w:cs="宋体"/>
                <w:b/>
                <w:color w:val="auto"/>
                <w:kern w:val="0"/>
                <w:szCs w:val="21"/>
                <w:highlight w:val="none"/>
                <w:u w:val="single"/>
                <w:lang w:bidi="ar"/>
              </w:rPr>
              <w:t>满足国家现行规范、标准、比选文件要求和项目实际需要</w:t>
            </w:r>
            <w:r>
              <w:rPr>
                <w:rFonts w:hint="eastAsia" w:ascii="宋体" w:hAnsi="宋体" w:cs="宋体"/>
                <w:b/>
                <w:color w:val="auto"/>
                <w:kern w:val="0"/>
                <w:szCs w:val="21"/>
                <w:highlight w:val="none"/>
                <w:lang w:bidi="ar"/>
              </w:rPr>
              <w:t>。</w:t>
            </w:r>
          </w:p>
        </w:tc>
      </w:tr>
    </w:tbl>
    <w:p>
      <w:pPr>
        <w:pStyle w:val="32"/>
        <w:keepNext w:val="0"/>
        <w:keepLines w:val="0"/>
        <w:pageBreakBefore w:val="0"/>
        <w:widowControl/>
        <w:kinsoku/>
        <w:wordWrap/>
        <w:overflowPunct/>
        <w:topLinePunct w:val="0"/>
        <w:bidi w:val="0"/>
        <w:snapToGrid/>
        <w:spacing w:before="0" w:after="0" w:afterAutospacing="0" w:line="360" w:lineRule="auto"/>
        <w:ind w:left="0" w:leftChars="0" w:right="0" w:firstLine="0" w:firstLineChars="0"/>
        <w:rPr>
          <w:rFonts w:ascii="宋体" w:hAnsi="宋体" w:eastAsia="宋体"/>
          <w:color w:val="auto"/>
          <w:sz w:val="21"/>
          <w:szCs w:val="21"/>
          <w:highlight w:val="none"/>
        </w:rPr>
      </w:pPr>
      <w:r>
        <w:rPr>
          <w:color w:val="auto"/>
          <w:sz w:val="21"/>
          <w:szCs w:val="21"/>
          <w:highlight w:val="none"/>
        </w:rPr>
        <w:t>注</w:t>
      </w:r>
      <w:r>
        <w:rPr>
          <w:rFonts w:hint="eastAsia" w:ascii="宋体" w:hAnsi="宋体" w:eastAsia="宋体"/>
          <w:color w:val="auto"/>
          <w:sz w:val="21"/>
          <w:szCs w:val="21"/>
          <w:highlight w:val="none"/>
        </w:rPr>
        <w:t>：</w:t>
      </w:r>
    </w:p>
    <w:p>
      <w:pPr>
        <w:pStyle w:val="32"/>
        <w:keepNext w:val="0"/>
        <w:keepLines w:val="0"/>
        <w:pageBreakBefore w:val="0"/>
        <w:widowControl/>
        <w:kinsoku/>
        <w:wordWrap/>
        <w:overflowPunct/>
        <w:topLinePunct w:val="0"/>
        <w:bidi w:val="0"/>
        <w:snapToGrid/>
        <w:spacing w:before="0" w:after="0" w:afterAutospacing="0" w:line="360" w:lineRule="auto"/>
        <w:ind w:left="0" w:leftChars="0" w:righ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1.本项目采用不含增值税报价，报价精确到小数点后两位。</w:t>
      </w:r>
    </w:p>
    <w:p>
      <w:pPr>
        <w:pStyle w:val="32"/>
        <w:keepNext w:val="0"/>
        <w:keepLines w:val="0"/>
        <w:pageBreakBefore w:val="0"/>
        <w:widowControl/>
        <w:kinsoku/>
        <w:wordWrap/>
        <w:overflowPunct/>
        <w:topLinePunct w:val="0"/>
        <w:bidi w:val="0"/>
        <w:snapToGrid/>
        <w:spacing w:before="0" w:after="0" w:afterAutospacing="0" w:line="360" w:lineRule="auto"/>
        <w:ind w:left="0" w:leftChars="0" w:righ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2.比选报价汇总表的“比选报价合计”=比选报价表的“总报价合计”。</w:t>
      </w:r>
    </w:p>
    <w:p>
      <w:pPr>
        <w:pStyle w:val="32"/>
        <w:keepNext w:val="0"/>
        <w:keepLines w:val="0"/>
        <w:pageBreakBefore w:val="0"/>
        <w:widowControl/>
        <w:kinsoku/>
        <w:wordWrap/>
        <w:overflowPunct/>
        <w:topLinePunct w:val="0"/>
        <w:bidi w:val="0"/>
        <w:snapToGrid/>
        <w:spacing w:before="0" w:after="0" w:afterAutospacing="0" w:line="360" w:lineRule="auto"/>
        <w:ind w:left="0" w:leftChars="0" w:righ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3.如比选报价汇总表有多页时必须每页加盖比选申请人公章，否则其比选申请作否决处理。</w:t>
      </w:r>
    </w:p>
    <w:p>
      <w:pPr>
        <w:pStyle w:val="32"/>
        <w:keepNext w:val="0"/>
        <w:keepLines w:val="0"/>
        <w:pageBreakBefore w:val="0"/>
        <w:widowControl/>
        <w:kinsoku/>
        <w:wordWrap/>
        <w:overflowPunct/>
        <w:topLinePunct w:val="0"/>
        <w:bidi w:val="0"/>
        <w:snapToGrid/>
        <w:spacing w:before="0" w:after="0" w:afterAutospacing="0" w:line="360" w:lineRule="auto"/>
        <w:ind w:left="0" w:leftChars="0" w:righ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4.报价一经涂改，应在涂改处加盖比选申请人公章或者由法定代表人或被授权人签字或盖章，否则其比选申请作否决处理。</w:t>
      </w:r>
    </w:p>
    <w:p>
      <w:pPr>
        <w:pStyle w:val="32"/>
        <w:keepNext w:val="0"/>
        <w:keepLines w:val="0"/>
        <w:pageBreakBefore w:val="0"/>
        <w:widowControl/>
        <w:kinsoku/>
        <w:wordWrap/>
        <w:overflowPunct/>
        <w:topLinePunct w:val="0"/>
        <w:bidi w:val="0"/>
        <w:snapToGrid/>
        <w:spacing w:before="0" w:after="0" w:afterAutospacing="0" w:line="360" w:lineRule="auto"/>
        <w:ind w:left="0" w:leftChars="0" w:righ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5.比选申请人的报价不得超过比选上限控制价。</w:t>
      </w:r>
    </w:p>
    <w:p>
      <w:pPr>
        <w:keepNext w:val="0"/>
        <w:keepLines w:val="0"/>
        <w:pageBreakBefore w:val="0"/>
        <w:widowControl/>
        <w:kinsoku/>
        <w:wordWrap/>
        <w:overflowPunct/>
        <w:topLinePunct w:val="0"/>
        <w:bidi w:val="0"/>
        <w:snapToGrid/>
        <w:spacing w:before="0" w:after="0" w:afterAutospacing="0" w:line="360" w:lineRule="exact"/>
        <w:ind w:left="0" w:right="0" w:firstLine="0" w:firstLineChars="0"/>
        <w:rPr>
          <w:rFonts w:ascii="宋体" w:hAnsi="宋体"/>
          <w:color w:val="auto"/>
          <w:szCs w:val="21"/>
          <w:highlight w:val="none"/>
        </w:rPr>
      </w:pPr>
      <w:r>
        <w:rPr>
          <w:rFonts w:hint="eastAsia" w:ascii="宋体" w:hAnsi="宋体"/>
          <w:color w:val="auto"/>
          <w:szCs w:val="21"/>
          <w:highlight w:val="none"/>
        </w:rPr>
        <w:t>6.比选申请人的报价，应包括本项目比选申请文件及合同条款中所列的全部内容（增值税除外），比选申请人不得以任何理由予以重复报价。</w:t>
      </w:r>
    </w:p>
    <w:p>
      <w:pPr>
        <w:pStyle w:val="2"/>
        <w:keepNext w:val="0"/>
        <w:keepLines w:val="0"/>
        <w:pageBreakBefore w:val="0"/>
        <w:widowControl/>
        <w:kinsoku/>
        <w:wordWrap/>
        <w:overflowPunct/>
        <w:topLinePunct w:val="0"/>
        <w:bidi w:val="0"/>
        <w:snapToGrid/>
        <w:spacing w:before="0" w:after="0" w:afterAutospacing="0"/>
        <w:ind w:left="0" w:right="0" w:firstLine="0" w:firstLineChars="0"/>
        <w:rPr>
          <w:color w:val="auto"/>
          <w:highlight w:val="none"/>
        </w:rPr>
      </w:pPr>
    </w:p>
    <w:p>
      <w:pPr>
        <w:keepNext w:val="0"/>
        <w:keepLines w:val="0"/>
        <w:pageBreakBefore w:val="0"/>
        <w:widowControl/>
        <w:kinsoku/>
        <w:wordWrap/>
        <w:overflowPunct/>
        <w:topLinePunct w:val="0"/>
        <w:bidi w:val="0"/>
        <w:snapToGrid/>
        <w:spacing w:before="0" w:after="0" w:afterAutospacing="0" w:line="360" w:lineRule="exact"/>
        <w:ind w:left="0" w:right="0" w:firstLine="0" w:firstLineChars="0"/>
        <w:rPr>
          <w:rFonts w:ascii="Arial" w:hAnsi="Arial" w:cs="Arial"/>
          <w:color w:val="auto"/>
          <w:szCs w:val="20"/>
          <w:highlight w:val="none"/>
        </w:rPr>
      </w:pPr>
    </w:p>
    <w:p>
      <w:pPr>
        <w:keepNext w:val="0"/>
        <w:keepLines w:val="0"/>
        <w:pageBreakBefore w:val="0"/>
        <w:widowControl/>
        <w:kinsoku/>
        <w:wordWrap/>
        <w:overflowPunct/>
        <w:topLinePunct w:val="0"/>
        <w:bidi w:val="0"/>
        <w:snapToGrid/>
        <w:spacing w:before="0" w:after="0" w:afterAutospacing="0" w:line="360" w:lineRule="exact"/>
        <w:ind w:left="0" w:right="0" w:firstLine="0" w:firstLineChars="0"/>
        <w:rPr>
          <w:rFonts w:ascii="Arial" w:hAnsi="Arial" w:cs="Arial"/>
          <w:color w:val="auto"/>
          <w:szCs w:val="20"/>
          <w:highlight w:val="none"/>
        </w:rPr>
      </w:pPr>
      <w:r>
        <w:rPr>
          <w:rFonts w:hint="eastAsia" w:ascii="Arial" w:hAnsi="Arial" w:cs="Arial"/>
          <w:color w:val="auto"/>
          <w:szCs w:val="20"/>
          <w:highlight w:val="none"/>
        </w:rPr>
        <w:t>比选申请</w:t>
      </w:r>
      <w:r>
        <w:rPr>
          <w:rFonts w:ascii="Arial" w:hAnsi="Arial" w:cs="Arial"/>
          <w:color w:val="auto"/>
          <w:szCs w:val="20"/>
          <w:highlight w:val="none"/>
        </w:rPr>
        <w:t>人</w:t>
      </w:r>
      <w:r>
        <w:rPr>
          <w:rFonts w:hint="eastAsia" w:ascii="Arial" w:hAnsi="Arial" w:cs="Arial"/>
          <w:color w:val="auto"/>
          <w:szCs w:val="20"/>
          <w:highlight w:val="none"/>
        </w:rPr>
        <w:t>（</w:t>
      </w:r>
      <w:r>
        <w:rPr>
          <w:rFonts w:ascii="Arial" w:hAnsi="Arial" w:cs="Arial"/>
          <w:color w:val="auto"/>
          <w:szCs w:val="20"/>
          <w:highlight w:val="none"/>
        </w:rPr>
        <w:t>公章</w:t>
      </w:r>
      <w:r>
        <w:rPr>
          <w:rFonts w:hint="eastAsia" w:ascii="Arial" w:hAnsi="Arial" w:cs="Arial"/>
          <w:color w:val="auto"/>
          <w:szCs w:val="20"/>
          <w:highlight w:val="none"/>
        </w:rPr>
        <w:t>）：</w:t>
      </w:r>
    </w:p>
    <w:p>
      <w:pPr>
        <w:keepNext w:val="0"/>
        <w:keepLines w:val="0"/>
        <w:pageBreakBefore w:val="0"/>
        <w:widowControl/>
        <w:kinsoku/>
        <w:wordWrap/>
        <w:overflowPunct/>
        <w:topLinePunct w:val="0"/>
        <w:bidi w:val="0"/>
        <w:snapToGrid/>
        <w:spacing w:before="0" w:after="0" w:afterAutospacing="0" w:line="360" w:lineRule="exact"/>
        <w:ind w:left="0" w:right="0" w:firstLine="0" w:firstLineChars="0"/>
        <w:rPr>
          <w:rFonts w:ascii="Arial" w:hAnsi="Arial" w:cs="Arial"/>
          <w:color w:val="auto"/>
          <w:szCs w:val="20"/>
          <w:highlight w:val="none"/>
        </w:rPr>
      </w:pPr>
    </w:p>
    <w:p>
      <w:pPr>
        <w:keepNext w:val="0"/>
        <w:keepLines w:val="0"/>
        <w:pageBreakBefore w:val="0"/>
        <w:widowControl/>
        <w:kinsoku/>
        <w:wordWrap/>
        <w:overflowPunct/>
        <w:topLinePunct w:val="0"/>
        <w:bidi w:val="0"/>
        <w:snapToGrid/>
        <w:spacing w:before="0" w:after="0" w:afterAutospacing="0" w:line="360" w:lineRule="exact"/>
        <w:ind w:left="0" w:right="0" w:firstLine="0" w:firstLineChars="0"/>
        <w:rPr>
          <w:rFonts w:ascii="Arial" w:hAnsi="Arial" w:cs="Arial"/>
          <w:color w:val="auto"/>
          <w:szCs w:val="20"/>
          <w:highlight w:val="none"/>
        </w:rPr>
      </w:pPr>
      <w:r>
        <w:rPr>
          <w:rFonts w:ascii="Arial" w:hAnsi="Arial" w:cs="Arial"/>
          <w:color w:val="auto"/>
          <w:szCs w:val="20"/>
          <w:highlight w:val="none"/>
        </w:rPr>
        <w:t>法定代表人或委托代理人签字</w:t>
      </w:r>
      <w:r>
        <w:rPr>
          <w:rFonts w:hint="eastAsia" w:ascii="Arial" w:hAnsi="Arial" w:cs="Arial"/>
          <w:color w:val="auto"/>
          <w:szCs w:val="20"/>
          <w:highlight w:val="none"/>
        </w:rPr>
        <w:t>：</w:t>
      </w:r>
    </w:p>
    <w:p>
      <w:pPr>
        <w:keepNext w:val="0"/>
        <w:keepLines w:val="0"/>
        <w:pageBreakBefore w:val="0"/>
        <w:widowControl/>
        <w:kinsoku/>
        <w:wordWrap/>
        <w:overflowPunct/>
        <w:topLinePunct w:val="0"/>
        <w:bidi w:val="0"/>
        <w:snapToGrid/>
        <w:spacing w:before="0" w:after="0" w:afterAutospacing="0" w:line="360" w:lineRule="exact"/>
        <w:ind w:left="0" w:right="0" w:firstLine="0" w:firstLineChars="0"/>
        <w:rPr>
          <w:rFonts w:ascii="Arial" w:hAnsi="Arial" w:cs="Arial"/>
          <w:color w:val="auto"/>
          <w:szCs w:val="20"/>
          <w:highlight w:val="none"/>
          <w:u w:val="single"/>
        </w:rPr>
      </w:pPr>
    </w:p>
    <w:p>
      <w:pPr>
        <w:keepNext w:val="0"/>
        <w:keepLines w:val="0"/>
        <w:pageBreakBefore w:val="0"/>
        <w:widowControl/>
        <w:kinsoku/>
        <w:wordWrap/>
        <w:overflowPunct/>
        <w:topLinePunct w:val="0"/>
        <w:bidi w:val="0"/>
        <w:snapToGrid/>
        <w:spacing w:before="0" w:after="0" w:afterAutospacing="0" w:line="360" w:lineRule="exact"/>
        <w:ind w:left="0" w:right="0" w:firstLine="0" w:firstLineChars="0"/>
        <w:rPr>
          <w:rFonts w:ascii="Arial" w:hAnsi="Arial" w:cs="Arial"/>
          <w:color w:val="auto"/>
          <w:szCs w:val="20"/>
          <w:highlight w:val="none"/>
          <w:u w:val="single"/>
        </w:rPr>
      </w:pPr>
      <w:r>
        <w:rPr>
          <w:rFonts w:ascii="Arial" w:hAnsi="Arial" w:cs="Arial"/>
          <w:color w:val="auto"/>
          <w:szCs w:val="20"/>
          <w:highlight w:val="none"/>
        </w:rPr>
        <w:t>日期</w:t>
      </w:r>
      <w:r>
        <w:rPr>
          <w:rFonts w:hint="eastAsia" w:ascii="Arial" w:hAnsi="Arial" w:cs="Arial"/>
          <w:color w:val="auto"/>
          <w:szCs w:val="20"/>
          <w:highlight w:val="none"/>
        </w:rPr>
        <w:t xml:space="preserve">： </w:t>
      </w:r>
      <w:r>
        <w:rPr>
          <w:rFonts w:ascii="Arial" w:hAnsi="Arial" w:cs="Arial"/>
          <w:color w:val="auto"/>
          <w:szCs w:val="20"/>
          <w:highlight w:val="none"/>
        </w:rPr>
        <w:t xml:space="preserve">      年</w:t>
      </w:r>
      <w:r>
        <w:rPr>
          <w:rFonts w:hint="eastAsia" w:ascii="Arial" w:hAnsi="Arial" w:cs="Arial"/>
          <w:color w:val="auto"/>
          <w:szCs w:val="20"/>
          <w:highlight w:val="none"/>
        </w:rPr>
        <w:t xml:space="preserve"> </w:t>
      </w:r>
      <w:r>
        <w:rPr>
          <w:rFonts w:ascii="Arial" w:hAnsi="Arial" w:cs="Arial"/>
          <w:color w:val="auto"/>
          <w:szCs w:val="20"/>
          <w:highlight w:val="none"/>
        </w:rPr>
        <w:t xml:space="preserve">  月</w:t>
      </w:r>
      <w:r>
        <w:rPr>
          <w:rFonts w:hint="eastAsia" w:ascii="Arial" w:hAnsi="Arial" w:cs="Arial"/>
          <w:color w:val="auto"/>
          <w:szCs w:val="20"/>
          <w:highlight w:val="none"/>
        </w:rPr>
        <w:t xml:space="preserve"> </w:t>
      </w:r>
      <w:r>
        <w:rPr>
          <w:rFonts w:ascii="Arial" w:hAnsi="Arial" w:cs="Arial"/>
          <w:color w:val="auto"/>
          <w:szCs w:val="20"/>
          <w:highlight w:val="none"/>
        </w:rPr>
        <w:t xml:space="preserve">  日</w:t>
      </w:r>
    </w:p>
    <w:p>
      <w:pPr>
        <w:keepNext w:val="0"/>
        <w:keepLines w:val="0"/>
        <w:pageBreakBefore w:val="0"/>
        <w:widowControl/>
        <w:kinsoku/>
        <w:wordWrap/>
        <w:overflowPunct/>
        <w:topLinePunct w:val="0"/>
        <w:bidi w:val="0"/>
        <w:snapToGrid/>
        <w:spacing w:before="0" w:after="0" w:afterAutospacing="0" w:line="360" w:lineRule="exact"/>
        <w:ind w:left="0" w:right="0" w:firstLine="0" w:firstLineChars="0"/>
        <w:rPr>
          <w:rFonts w:ascii="Arial" w:hAnsi="Arial" w:cs="Arial"/>
          <w:color w:val="auto"/>
          <w:szCs w:val="20"/>
          <w:highlight w:val="none"/>
          <w:u w:val="single"/>
        </w:rPr>
      </w:pPr>
    </w:p>
    <w:p>
      <w:pPr>
        <w:keepNext w:val="0"/>
        <w:keepLines w:val="0"/>
        <w:pageBreakBefore w:val="0"/>
        <w:widowControl/>
        <w:kinsoku/>
        <w:wordWrap/>
        <w:overflowPunct/>
        <w:topLinePunct w:val="0"/>
        <w:bidi w:val="0"/>
        <w:snapToGrid/>
        <w:spacing w:before="0" w:after="0" w:afterAutospacing="0"/>
        <w:ind w:left="0" w:right="0" w:firstLine="0" w:firstLineChars="0"/>
        <w:jc w:val="left"/>
        <w:rPr>
          <w:rFonts w:hint="eastAsia" w:ascii="宋体" w:hAnsi="宋体" w:cs="宋体"/>
          <w:bCs/>
          <w:color w:val="auto"/>
          <w:sz w:val="24"/>
          <w:szCs w:val="24"/>
          <w:highlight w:val="none"/>
        </w:rPr>
        <w:sectPr>
          <w:headerReference r:id="rId15" w:type="default"/>
          <w:footerReference r:id="rId16" w:type="default"/>
          <w:pgSz w:w="11906" w:h="16838"/>
          <w:pgMar w:top="1440" w:right="1797" w:bottom="1440" w:left="1440" w:header="567" w:footer="567" w:gutter="0"/>
          <w:pgNumType w:fmt="decimal"/>
          <w:cols w:space="720" w:num="1"/>
          <w:docGrid w:linePitch="312" w:charSpace="0"/>
        </w:sectPr>
      </w:pPr>
      <w:r>
        <w:rPr>
          <w:rFonts w:hint="eastAsia" w:ascii="宋体" w:hAnsi="宋体" w:cs="宋体"/>
          <w:b/>
          <w:color w:val="auto"/>
          <w:kern w:val="58"/>
          <w:sz w:val="24"/>
          <w:szCs w:val="24"/>
          <w:highlight w:val="none"/>
        </w:rPr>
        <w:t>注：</w:t>
      </w:r>
      <w:r>
        <w:rPr>
          <w:rFonts w:hint="eastAsia" w:ascii="宋体" w:hAnsi="宋体" w:cs="宋体"/>
          <w:bCs/>
          <w:color w:val="auto"/>
          <w:sz w:val="24"/>
          <w:szCs w:val="24"/>
          <w:highlight w:val="none"/>
        </w:rPr>
        <w:t>比选申请人的比选申请报价表必须加盖公章并签字，无签字盖公章的比选申请无效。</w:t>
      </w:r>
    </w:p>
    <w:p>
      <w:pPr>
        <w:numPr>
          <w:ilvl w:val="0"/>
          <w:numId w:val="0"/>
        </w:numPr>
        <w:autoSpaceDE w:val="0"/>
        <w:autoSpaceDN w:val="0"/>
        <w:adjustRightInd w:val="0"/>
        <w:spacing w:line="360" w:lineRule="auto"/>
        <w:ind w:leftChars="0" w:right="-27" w:rightChars="0"/>
        <w:rPr>
          <w:color w:val="auto"/>
          <w:highlight w:val="none"/>
        </w:rPr>
      </w:pP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比选申请报价表（不含税）；</w:t>
      </w:r>
    </w:p>
    <w:bookmarkEnd w:id="1663"/>
    <w:p>
      <w:pPr>
        <w:spacing w:before="0" w:after="0" w:afterAutospacing="0"/>
        <w:ind w:left="0" w:leftChars="0" w:right="0" w:firstLine="0" w:firstLineChars="0"/>
        <w:jc w:val="center"/>
        <w:rPr>
          <w:rFonts w:hint="eastAsia"/>
          <w:color w:val="auto"/>
          <w:sz w:val="28"/>
          <w:szCs w:val="28"/>
          <w:highlight w:val="none"/>
          <w:lang w:eastAsia="zh-CN"/>
        </w:rPr>
      </w:pPr>
      <w:bookmarkStart w:id="1664" w:name="_Toc20866"/>
      <w:bookmarkStart w:id="1665" w:name="_Hlk86247635"/>
      <w:r>
        <w:rPr>
          <w:rFonts w:hint="eastAsia" w:ascii="宋体" w:hAnsi="宋体"/>
          <w:b/>
          <w:color w:val="auto"/>
          <w:sz w:val="28"/>
          <w:szCs w:val="28"/>
          <w:highlight w:val="none"/>
        </w:rPr>
        <w:t>比选申请报价表</w:t>
      </w:r>
      <w:bookmarkEnd w:id="1664"/>
    </w:p>
    <w:p>
      <w:pPr>
        <w:keepNext w:val="0"/>
        <w:keepLines w:val="0"/>
        <w:pageBreakBefore w:val="0"/>
        <w:widowControl/>
        <w:kinsoku/>
        <w:wordWrap/>
        <w:overflowPunct/>
        <w:topLinePunct w:val="0"/>
        <w:autoSpaceDE/>
        <w:autoSpaceDN/>
        <w:bidi w:val="0"/>
        <w:adjustRightInd/>
        <w:snapToGrid w:val="0"/>
        <w:spacing w:before="0" w:after="0" w:afterAutospacing="0" w:line="240" w:lineRule="auto"/>
        <w:ind w:left="0" w:leftChars="0" w:right="0" w:firstLine="11340" w:firstLineChars="5400"/>
        <w:jc w:val="both"/>
        <w:textAlignment w:val="auto"/>
        <w:rPr>
          <w:rFonts w:hint="eastAsia" w:ascii="宋体" w:hAnsi="宋体"/>
          <w:color w:val="auto"/>
          <w:highlight w:val="none"/>
          <w:lang w:val="en-US" w:eastAsia="zh-CN"/>
        </w:rPr>
      </w:pPr>
      <w:r>
        <w:rPr>
          <w:rFonts w:ascii="宋体" w:hAnsi="宋体"/>
          <w:color w:val="auto"/>
          <w:highlight w:val="none"/>
        </w:rPr>
        <w:t>单位</w:t>
      </w:r>
      <w:r>
        <w:rPr>
          <w:rFonts w:hint="eastAsia" w:ascii="宋体" w:hAnsi="宋体"/>
          <w:color w:val="auto"/>
          <w:highlight w:val="none"/>
          <w:lang w:eastAsia="zh-CN"/>
        </w:rPr>
        <w:t>：</w:t>
      </w:r>
      <w:r>
        <w:rPr>
          <w:rFonts w:hint="eastAsia" w:ascii="宋体" w:hAnsi="宋体"/>
          <w:color w:val="auto"/>
          <w:highlight w:val="none"/>
          <w:lang w:val="en-US" w:eastAsia="zh-CN"/>
        </w:rPr>
        <w:t>元</w:t>
      </w:r>
    </w:p>
    <w:tbl>
      <w:tblPr>
        <w:tblStyle w:val="34"/>
        <w:tblpPr w:leftFromText="180" w:rightFromText="180" w:vertAnchor="text" w:horzAnchor="page" w:tblpX="2167" w:tblpY="395"/>
        <w:tblOverlap w:val="never"/>
        <w:tblW w:w="13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615"/>
        <w:gridCol w:w="4110"/>
        <w:gridCol w:w="818"/>
        <w:gridCol w:w="1324"/>
        <w:gridCol w:w="1367"/>
        <w:gridCol w:w="147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20"/>
                <w:szCs w:val="20"/>
                <w:highlight w:val="none"/>
              </w:rPr>
            </w:pPr>
            <w:r>
              <w:rPr>
                <w:rFonts w:hint="eastAsia" w:ascii="微软雅黑" w:hAnsi="微软雅黑" w:eastAsia="微软雅黑" w:cs="宋体"/>
                <w:b/>
                <w:color w:val="auto"/>
                <w:kern w:val="2"/>
                <w:sz w:val="20"/>
                <w:szCs w:val="20"/>
                <w:highlight w:val="none"/>
              </w:rPr>
              <w:t>序号</w:t>
            </w:r>
          </w:p>
        </w:tc>
        <w:tc>
          <w:tcPr>
            <w:tcW w:w="2615"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20"/>
                <w:szCs w:val="20"/>
                <w:highlight w:val="none"/>
                <w:lang w:val="en-US" w:eastAsia="zh-CN"/>
              </w:rPr>
            </w:pPr>
            <w:r>
              <w:rPr>
                <w:rFonts w:hint="eastAsia" w:ascii="微软雅黑" w:hAnsi="微软雅黑" w:eastAsia="微软雅黑" w:cs="宋体"/>
                <w:b/>
                <w:color w:val="auto"/>
                <w:kern w:val="2"/>
                <w:sz w:val="20"/>
                <w:szCs w:val="20"/>
                <w:highlight w:val="none"/>
                <w:lang w:val="en-US" w:eastAsia="zh-CN"/>
              </w:rPr>
              <w:t>服务名称</w:t>
            </w:r>
          </w:p>
        </w:tc>
        <w:tc>
          <w:tcPr>
            <w:tcW w:w="4110"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20"/>
                <w:szCs w:val="20"/>
                <w:highlight w:val="none"/>
                <w:lang w:val="en-US" w:eastAsia="zh-CN"/>
              </w:rPr>
            </w:pPr>
            <w:r>
              <w:rPr>
                <w:rFonts w:hint="eastAsia" w:ascii="微软雅黑" w:hAnsi="微软雅黑" w:eastAsia="微软雅黑" w:cs="宋体"/>
                <w:b/>
                <w:color w:val="auto"/>
                <w:kern w:val="2"/>
                <w:sz w:val="20"/>
                <w:szCs w:val="20"/>
                <w:highlight w:val="none"/>
                <w:lang w:val="en-US" w:eastAsia="zh-CN"/>
              </w:rPr>
              <w:t>服务内容</w:t>
            </w:r>
          </w:p>
        </w:tc>
        <w:tc>
          <w:tcPr>
            <w:tcW w:w="818"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20"/>
                <w:szCs w:val="20"/>
                <w:highlight w:val="none"/>
              </w:rPr>
            </w:pPr>
            <w:r>
              <w:rPr>
                <w:rFonts w:hint="eastAsia" w:ascii="微软雅黑" w:hAnsi="微软雅黑" w:eastAsia="微软雅黑" w:cs="宋体"/>
                <w:b/>
                <w:color w:val="auto"/>
                <w:kern w:val="2"/>
                <w:sz w:val="20"/>
                <w:szCs w:val="20"/>
                <w:highlight w:val="none"/>
              </w:rPr>
              <w:t>单位</w:t>
            </w:r>
          </w:p>
        </w:tc>
        <w:tc>
          <w:tcPr>
            <w:tcW w:w="1324" w:type="dxa"/>
            <w:vAlign w:val="center"/>
          </w:tcPr>
          <w:p>
            <w:pPr>
              <w:keepNext w:val="0"/>
              <w:keepLines w:val="0"/>
              <w:widowControl/>
              <w:suppressLineNumbers w:val="0"/>
              <w:spacing w:before="0" w:beforeAutospacing="0" w:after="0" w:afterAutospacing="0" w:line="320" w:lineRule="exact"/>
              <w:ind w:left="0" w:leftChars="0" w:firstLine="0" w:firstLineChars="0"/>
              <w:jc w:val="center"/>
              <w:rPr>
                <w:rFonts w:hint="default" w:ascii="微软雅黑" w:hAnsi="微软雅黑" w:eastAsia="微软雅黑" w:cs="宋体"/>
                <w:b/>
                <w:color w:val="auto"/>
                <w:kern w:val="2"/>
                <w:sz w:val="20"/>
                <w:szCs w:val="20"/>
                <w:highlight w:val="none"/>
              </w:rPr>
            </w:pPr>
            <w:r>
              <w:rPr>
                <w:rFonts w:hint="eastAsia" w:ascii="宋体" w:hAnsi="宋体" w:cs="宋体"/>
                <w:b/>
                <w:bCs/>
                <w:color w:val="auto"/>
                <w:sz w:val="21"/>
                <w:szCs w:val="21"/>
                <w:highlight w:val="none"/>
              </w:rPr>
              <w:t>数</w:t>
            </w:r>
            <w:r>
              <w:rPr>
                <w:rFonts w:hint="eastAsia" w:ascii="宋体" w:hAnsi="宋体" w:cs="宋体"/>
                <w:b/>
                <w:bCs/>
                <w:color w:val="auto"/>
                <w:sz w:val="21"/>
                <w:szCs w:val="21"/>
                <w:highlight w:val="none"/>
                <w:lang w:val="en-US" w:eastAsia="zh-CN"/>
              </w:rPr>
              <w:t xml:space="preserve"> </w:t>
            </w:r>
            <w:r>
              <w:rPr>
                <w:rFonts w:hint="eastAsia" w:ascii="宋体" w:hAnsi="宋体" w:cs="宋体"/>
                <w:b/>
                <w:bCs/>
                <w:color w:val="auto"/>
                <w:sz w:val="21"/>
                <w:szCs w:val="21"/>
                <w:highlight w:val="none"/>
              </w:rPr>
              <w:t>量</w:t>
            </w:r>
            <w:r>
              <w:rPr>
                <w:rFonts w:hint="eastAsia" w:ascii="宋体" w:hAnsi="宋体" w:cs="宋体"/>
                <w:b/>
                <w:bCs/>
                <w:color w:val="auto"/>
                <w:sz w:val="21"/>
                <w:szCs w:val="21"/>
                <w:highlight w:val="none"/>
                <w:lang w:val="en-US" w:eastAsia="zh-CN"/>
              </w:rPr>
              <w:t xml:space="preserve"> </w:t>
            </w:r>
            <w:r>
              <w:rPr>
                <w:rFonts w:hint="eastAsia" w:ascii="宋体" w:hAnsi="宋体" w:cs="宋体"/>
                <w:b/>
                <w:bCs/>
                <w:color w:val="auto"/>
                <w:sz w:val="21"/>
                <w:szCs w:val="21"/>
                <w:highlight w:val="none"/>
              </w:rPr>
              <w:t>①</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不含增值税</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宋体" w:hAnsi="宋体" w:cs="宋体"/>
                <w:b/>
                <w:bCs/>
                <w:color w:val="auto"/>
                <w:sz w:val="18"/>
                <w:szCs w:val="18"/>
                <w:highlight w:val="none"/>
              </w:rPr>
              <w:t>单价②</w:t>
            </w:r>
          </w:p>
        </w:tc>
        <w:tc>
          <w:tcPr>
            <w:tcW w:w="1479" w:type="dxa"/>
            <w:vAlign w:val="center"/>
          </w:tcPr>
          <w:p>
            <w:pPr>
              <w:keepNext w:val="0"/>
              <w:keepLines w:val="0"/>
              <w:widowControl/>
              <w:suppressLineNumbers w:val="0"/>
              <w:spacing w:before="0" w:beforeAutospacing="0" w:after="0" w:afterAutospacing="0" w:line="320" w:lineRule="exact"/>
              <w:ind w:left="0" w:firstLine="0"/>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不含增值税</w:t>
            </w:r>
          </w:p>
          <w:p>
            <w:pPr>
              <w:keepNext w:val="0"/>
              <w:keepLines w:val="0"/>
              <w:widowControl/>
              <w:suppressLineNumbers w:val="0"/>
              <w:spacing w:before="0" w:beforeAutospacing="0" w:after="0" w:afterAutospacing="0" w:line="320" w:lineRule="exact"/>
              <w:ind w:left="0" w:firstLine="0"/>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合价</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宋体" w:hAnsi="宋体" w:cs="宋体"/>
                <w:b/>
                <w:bCs/>
                <w:color w:val="auto"/>
                <w:sz w:val="18"/>
                <w:szCs w:val="18"/>
                <w:highlight w:val="none"/>
              </w:rPr>
              <w:t>③=②*①</w:t>
            </w:r>
          </w:p>
        </w:tc>
        <w:tc>
          <w:tcPr>
            <w:tcW w:w="870" w:type="dxa"/>
            <w:vAlign w:val="center"/>
          </w:tcPr>
          <w:p>
            <w:pPr>
              <w:keepNext w:val="0"/>
              <w:keepLines w:val="0"/>
              <w:widowControl/>
              <w:suppressLineNumbers w:val="0"/>
              <w:spacing w:before="0" w:beforeAutospacing="0" w:after="0" w:afterAutospacing="0" w:line="320" w:lineRule="exact"/>
              <w:jc w:val="center"/>
              <w:rPr>
                <w:rFonts w:hint="eastAsia" w:ascii="微软雅黑" w:hAnsi="微软雅黑" w:eastAsia="微软雅黑" w:cs="宋体"/>
                <w:b/>
                <w:color w:val="auto"/>
                <w:kern w:val="2"/>
                <w:sz w:val="16"/>
                <w:szCs w:val="16"/>
                <w:highlight w:val="none"/>
                <w:lang w:val="en-US" w:eastAsia="zh-CN"/>
              </w:rPr>
            </w:pPr>
            <w:r>
              <w:rPr>
                <w:rFonts w:hint="eastAsia" w:ascii="微软雅黑" w:hAnsi="微软雅黑" w:eastAsia="微软雅黑" w:cs="宋体"/>
                <w:b/>
                <w:color w:val="auto"/>
                <w:kern w:val="2"/>
                <w:sz w:val="16"/>
                <w:szCs w:val="16"/>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微软雅黑" w:hAnsi="微软雅黑" w:eastAsia="微软雅黑" w:cs="宋体"/>
                <w:color w:val="auto"/>
                <w:kern w:val="2"/>
                <w:sz w:val="21"/>
                <w:szCs w:val="21"/>
                <w:highlight w:val="none"/>
              </w:rPr>
            </w:pPr>
            <w:r>
              <w:rPr>
                <w:rFonts w:hint="default" w:ascii="宋体" w:hAnsi="宋体" w:cs="宋体"/>
                <w:color w:val="auto"/>
                <w:kern w:val="2"/>
                <w:sz w:val="21"/>
                <w:szCs w:val="21"/>
                <w:highlight w:val="none"/>
              </w:rPr>
              <w:t>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文书档案整理</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按规范程序进行组件、分类、排列、编号、修整、编页、装订、编目、录入系统、装盒等</w:t>
            </w:r>
          </w:p>
        </w:tc>
        <w:tc>
          <w:tcPr>
            <w:tcW w:w="818"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eastAsia" w:ascii="宋体" w:hAnsi="宋体" w:eastAsia="宋体" w:cs="Times New Roman"/>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1324"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宋体" w:hAnsi="宋体" w:eastAsia="宋体" w:cs="Times New Roman"/>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30000</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1479"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87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科技档案整理</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按规范程序进行组卷、修整、编页、编号、编目、录入系统、编制封面、装订、折图、装盒等</w:t>
            </w:r>
          </w:p>
        </w:tc>
        <w:tc>
          <w:tcPr>
            <w:tcW w:w="818"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eastAsia" w:ascii="宋体" w:hAnsi="宋体" w:eastAsia="宋体" w:cs="Times New Roman"/>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1324"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宋体" w:hAnsi="宋体" w:eastAsia="宋体" w:cs="Times New Roman"/>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1479"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87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图纸整理</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图纸折叠、编号、编目、录入系统、装盒等</w:t>
            </w:r>
          </w:p>
        </w:tc>
        <w:tc>
          <w:tcPr>
            <w:tcW w:w="818"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eastAsia" w:ascii="宋体" w:hAnsi="宋体" w:eastAsia="宋体" w:cs="Times New Roman"/>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1324"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宋体" w:hAnsi="宋体" w:eastAsia="宋体" w:cs="Times New Roman"/>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100</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1479"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87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vAlign w:val="center"/>
          </w:tcPr>
          <w:p>
            <w:pPr>
              <w:keepNext w:val="0"/>
              <w:keepLines w:val="0"/>
              <w:widowControl/>
              <w:suppressLineNumbers w:val="0"/>
              <w:spacing w:beforeAutospacing="0"/>
              <w:jc w:val="center"/>
              <w:textAlignment w:val="center"/>
              <w:rPr>
                <w:rFonts w:hint="eastAsia" w:ascii="微软雅黑" w:hAnsi="微软雅黑" w:eastAsia="宋体" w:cs="宋体"/>
                <w:color w:val="auto"/>
                <w:kern w:val="2"/>
                <w:sz w:val="21"/>
                <w:szCs w:val="21"/>
                <w:highlight w:val="none"/>
                <w:lang w:eastAsia="zh-CN"/>
              </w:rPr>
            </w:pPr>
            <w:r>
              <w:rPr>
                <w:rFonts w:hint="eastAsia" w:ascii="宋体" w:hAnsi="宋体" w:cs="宋体"/>
                <w:color w:val="auto"/>
                <w:kern w:val="2"/>
                <w:sz w:val="21"/>
                <w:szCs w:val="21"/>
                <w:highlight w:val="none"/>
                <w:lang w:val="en-US" w:eastAsia="zh-CN"/>
              </w:rPr>
              <w:t>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档案数字化加工</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按规范程序进行拆分、扫描、图像处理、质检、命名、数据存储、挂接系统、备份等</w:t>
            </w:r>
          </w:p>
        </w:tc>
        <w:tc>
          <w:tcPr>
            <w:tcW w:w="818"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eastAsia" w:ascii="宋体" w:hAnsi="宋体" w:eastAsia="宋体" w:cs="Times New Roman"/>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页</w:t>
            </w:r>
          </w:p>
        </w:tc>
        <w:tc>
          <w:tcPr>
            <w:tcW w:w="1324"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宋体" w:hAnsi="宋体" w:eastAsia="宋体" w:cs="Times New Roman"/>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990000</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1479"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87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21"/>
                <w:szCs w:val="21"/>
                <w:highlight w:val="none"/>
              </w:rPr>
            </w:pPr>
            <w:r>
              <w:rPr>
                <w:rFonts w:hint="eastAsia" w:ascii="宋体" w:hAnsi="宋体" w:cs="宋体"/>
                <w:i w:val="0"/>
                <w:iCs w:val="0"/>
                <w:color w:val="auto"/>
                <w:kern w:val="2"/>
                <w:sz w:val="21"/>
                <w:szCs w:val="21"/>
                <w:highlight w:val="none"/>
                <w:u w:val="none"/>
                <w:lang w:val="en-US" w:eastAsia="zh-CN" w:bidi="ar"/>
              </w:rPr>
              <w:t>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default"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会计档案整理</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按规范程序进行盖章、编号、编目、装订、录入系统、装盒等</w:t>
            </w:r>
          </w:p>
        </w:tc>
        <w:tc>
          <w:tcPr>
            <w:tcW w:w="818"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宋体" w:hAnsi="宋体" w:eastAsia="宋体" w:cs="Times New Roman"/>
                <w:color w:val="auto"/>
                <w:kern w:val="0"/>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盒</w:t>
            </w:r>
          </w:p>
        </w:tc>
        <w:tc>
          <w:tcPr>
            <w:tcW w:w="1324"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宋体" w:hAnsi="宋体" w:eastAsia="宋体" w:cs="Times New Roman"/>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1800</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1479"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87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i w:val="0"/>
                <w:iCs w:val="0"/>
                <w:color w:val="auto"/>
                <w:kern w:val="2"/>
                <w:sz w:val="21"/>
                <w:szCs w:val="21"/>
                <w:highlight w:val="none"/>
                <w:u w:val="none"/>
                <w:lang w:val="en-US" w:eastAsia="zh-CN" w:bidi="ar"/>
              </w:rPr>
            </w:pPr>
            <w:r>
              <w:rPr>
                <w:rFonts w:hint="eastAsia" w:ascii="宋体" w:hAnsi="宋体" w:cs="宋体"/>
                <w:i w:val="0"/>
                <w:iCs w:val="0"/>
                <w:color w:val="auto"/>
                <w:kern w:val="2"/>
                <w:sz w:val="21"/>
                <w:szCs w:val="21"/>
                <w:highlight w:val="none"/>
                <w:u w:val="none"/>
                <w:lang w:val="en-US" w:eastAsia="zh-CN" w:bidi="ar"/>
              </w:rPr>
              <w:t>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声像、实物档案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default"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整理</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center"/>
              <w:rPr>
                <w:rFonts w:hint="eastAsia" w:ascii="宋体" w:hAnsi="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声像照片的洗晒、编号、编目、装盒等</w:t>
            </w:r>
          </w:p>
        </w:tc>
        <w:tc>
          <w:tcPr>
            <w:tcW w:w="818"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宋体" w:hAnsi="宋体" w:eastAsia="宋体" w:cs="Times New Roman"/>
                <w:color w:val="auto"/>
                <w:kern w:val="0"/>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张/件</w:t>
            </w:r>
          </w:p>
        </w:tc>
        <w:tc>
          <w:tcPr>
            <w:tcW w:w="1324"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宋体" w:hAnsi="宋体" w:eastAsia="宋体" w:cs="Times New Roman"/>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270</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1479"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87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default" w:ascii="Calibri" w:hAnsi="Calibri" w:eastAsia="宋体" w:cs="Times New Roman"/>
                <w:color w:val="auto"/>
                <w:kern w:val="2"/>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光盘刻录</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center"/>
              <w:rPr>
                <w:rFonts w:hint="default" w:ascii="Calibri" w:hAnsi="Calibri"/>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从档案系统下载电子文件并刻录到光盘，制作光盘目录、标签等</w:t>
            </w:r>
          </w:p>
        </w:tc>
        <w:tc>
          <w:tcPr>
            <w:tcW w:w="818"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Calibri" w:hAnsi="Calibri" w:eastAsia="宋体" w:cs="Times New Roman"/>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张</w:t>
            </w:r>
          </w:p>
        </w:tc>
        <w:tc>
          <w:tcPr>
            <w:tcW w:w="1324" w:type="dxa"/>
            <w:vAlign w:val="center"/>
          </w:tcPr>
          <w:p>
            <w:pPr>
              <w:keepNext w:val="0"/>
              <w:keepLines w:val="0"/>
              <w:widowControl/>
              <w:suppressLineNumbers w:val="0"/>
              <w:spacing w:beforeAutospacing="0"/>
              <w:ind w:left="709" w:leftChars="0" w:right="-27" w:rightChars="0" w:hanging="709" w:firstLineChars="0"/>
              <w:jc w:val="center"/>
              <w:textAlignment w:val="center"/>
              <w:rPr>
                <w:rFonts w:hint="default" w:ascii="Calibri" w:hAnsi="Calibri" w:eastAsia="宋体" w:cs="Times New Roman"/>
                <w:color w:val="auto"/>
                <w:kern w:val="2"/>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150</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1479"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c>
          <w:tcPr>
            <w:tcW w:w="87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509" w:type="dxa"/>
            <w:gridSpan w:val="5"/>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bCs/>
                <w:color w:val="auto"/>
                <w:kern w:val="2"/>
                <w:sz w:val="16"/>
                <w:szCs w:val="16"/>
                <w:highlight w:val="none"/>
              </w:rPr>
            </w:pPr>
            <w:r>
              <w:rPr>
                <w:rFonts w:hint="eastAsia" w:ascii="微软雅黑" w:hAnsi="微软雅黑" w:eastAsia="微软雅黑" w:cs="宋体"/>
                <w:b/>
                <w:bCs/>
                <w:color w:val="auto"/>
                <w:kern w:val="2"/>
                <w:sz w:val="21"/>
                <w:szCs w:val="21"/>
                <w:highlight w:val="none"/>
              </w:rPr>
              <w:t>合计</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lang w:val="en-US" w:eastAsia="zh-CN"/>
              </w:rPr>
            </w:pPr>
            <w:r>
              <w:rPr>
                <w:rFonts w:hint="eastAsia" w:ascii="微软雅黑" w:hAnsi="微软雅黑" w:eastAsia="微软雅黑" w:cs="宋体"/>
                <w:color w:val="auto"/>
                <w:kern w:val="2"/>
                <w:sz w:val="16"/>
                <w:szCs w:val="16"/>
                <w:highlight w:val="none"/>
                <w:lang w:val="en-US" w:eastAsia="zh-CN"/>
              </w:rPr>
              <w:t>/</w:t>
            </w:r>
          </w:p>
        </w:tc>
        <w:tc>
          <w:tcPr>
            <w:tcW w:w="1479"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87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bl>
    <w:p>
      <w:pPr>
        <w:pStyle w:val="31"/>
        <w:ind w:left="0" w:leftChars="0" w:firstLine="0" w:firstLineChars="0"/>
        <w:rPr>
          <w:rFonts w:hint="default"/>
          <w:color w:val="auto"/>
          <w:highlight w:val="none"/>
          <w:lang w:val="en-US" w:eastAsia="zh-CN"/>
        </w:rPr>
      </w:pPr>
    </w:p>
    <w:bookmarkEnd w:id="1665"/>
    <w:p>
      <w:pPr>
        <w:spacing w:before="0" w:after="0" w:afterAutospacing="0"/>
        <w:ind w:left="0" w:right="0" w:firstLine="0"/>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left"/>
        <w:textAlignment w:val="auto"/>
        <w:rPr>
          <w:rFonts w:hint="eastAsia"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left"/>
        <w:textAlignment w:val="auto"/>
        <w:rPr>
          <w:rFonts w:hint="eastAsia"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630" w:firstLineChars="300"/>
        <w:jc w:val="left"/>
        <w:textAlignment w:val="auto"/>
        <w:rPr>
          <w:rFonts w:hint="eastAsia" w:ascii="宋体" w:hAnsi="宋体"/>
          <w:color w:val="auto"/>
          <w:highlight w:val="none"/>
        </w:rPr>
      </w:pPr>
      <w:r>
        <w:rPr>
          <w:rFonts w:hint="eastAsia" w:ascii="宋体" w:hAnsi="宋体"/>
          <w:color w:val="auto"/>
          <w:highlight w:val="none"/>
        </w:rPr>
        <w:t>注：</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630" w:firstLineChars="300"/>
        <w:jc w:val="left"/>
        <w:textAlignment w:val="auto"/>
        <w:rPr>
          <w:rFonts w:ascii="宋体" w:hAnsi="宋体"/>
          <w:color w:val="auto"/>
          <w:highlight w:val="none"/>
        </w:rPr>
      </w:pPr>
      <w:r>
        <w:rPr>
          <w:rFonts w:hint="eastAsia" w:ascii="宋体" w:hAnsi="宋体"/>
          <w:color w:val="auto"/>
          <w:highlight w:val="none"/>
          <w:lang w:val="en-US" w:eastAsia="zh-CN"/>
        </w:rPr>
        <w:t>1.</w:t>
      </w:r>
      <w:r>
        <w:rPr>
          <w:rFonts w:hint="eastAsia" w:ascii="宋体" w:hAnsi="宋体"/>
          <w:color w:val="auto"/>
          <w:highlight w:val="none"/>
        </w:rPr>
        <w:t>比选申请人须按第五章《用户需求书》中的</w:t>
      </w:r>
      <w:r>
        <w:rPr>
          <w:rFonts w:hint="eastAsia" w:ascii="宋体" w:hAnsi="宋体"/>
          <w:color w:val="auto"/>
          <w:highlight w:val="none"/>
          <w:lang w:val="en-US" w:eastAsia="zh-CN"/>
        </w:rPr>
        <w:t>委外服务项目范围及内容</w:t>
      </w:r>
      <w:r>
        <w:rPr>
          <w:rFonts w:hint="eastAsia" w:ascii="宋体" w:hAnsi="宋体"/>
          <w:color w:val="auto"/>
          <w:highlight w:val="none"/>
        </w:rPr>
        <w:t>的顺序进行明细报价，不允许打乱顺序，不含税单价、不含税合价均精确到小数点后两位。</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line="240" w:lineRule="auto"/>
        <w:ind w:leftChars="0" w:right="0" w:rightChars="0" w:firstLine="630" w:firstLineChars="300"/>
        <w:textAlignment w:val="auto"/>
        <w:rPr>
          <w:rFonts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同一项目在各分项报价中应为同一单价。比选申请人对每个项目</w:t>
      </w:r>
      <w:r>
        <w:rPr>
          <w:rFonts w:ascii="宋体" w:hAnsi="宋体"/>
          <w:color w:val="auto"/>
          <w:highlight w:val="none"/>
        </w:rPr>
        <w:t>(</w:t>
      </w:r>
      <w:r>
        <w:rPr>
          <w:rFonts w:hint="eastAsia" w:ascii="宋体" w:hAnsi="宋体"/>
          <w:color w:val="auto"/>
          <w:highlight w:val="none"/>
        </w:rPr>
        <w:t>指完全相同的同一项目</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keepNext w:val="0"/>
        <w:keepLines w:val="0"/>
        <w:pageBreakBefore w:val="0"/>
        <w:widowControl/>
        <w:kinsoku/>
        <w:wordWrap/>
        <w:overflowPunct/>
        <w:topLinePunct w:val="0"/>
        <w:autoSpaceDE/>
        <w:autoSpaceDN/>
        <w:bidi w:val="0"/>
        <w:adjustRightInd/>
        <w:snapToGrid w:val="0"/>
        <w:spacing w:after="0" w:afterAutospacing="0"/>
        <w:ind w:left="0" w:right="0" w:firstLine="0"/>
        <w:jc w:val="center"/>
        <w:textAlignment w:val="auto"/>
        <w:rPr>
          <w:rFonts w:hint="eastAsia" w:ascii="宋体" w:hAnsi="宋体"/>
          <w:color w:val="auto"/>
          <w:highlight w:val="none"/>
        </w:rPr>
      </w:pPr>
    </w:p>
    <w:p>
      <w:pPr>
        <w:snapToGrid w:val="0"/>
        <w:spacing w:after="0" w:afterAutospacing="0"/>
        <w:ind w:right="-816" w:firstLine="0"/>
        <w:jc w:val="center"/>
        <w:rPr>
          <w:rFonts w:hint="eastAsia" w:ascii="宋体" w:hAnsi="宋体"/>
          <w:color w:val="auto"/>
          <w:highlight w:val="none"/>
        </w:rPr>
      </w:pP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color w:val="auto"/>
          <w:highlight w:val="none"/>
        </w:rPr>
        <w:sectPr>
          <w:pgSz w:w="16838" w:h="11906" w:orient="landscape"/>
          <w:pgMar w:top="1440" w:right="1440" w:bottom="1797" w:left="1440" w:header="567" w:footer="567" w:gutter="0"/>
          <w:pgNumType w:fmt="decimal"/>
          <w:cols w:space="720" w:num="1"/>
          <w:docGrid w:linePitch="312" w:charSpace="0"/>
        </w:sectPr>
      </w:pPr>
      <w:r>
        <w:rPr>
          <w:rFonts w:hint="eastAsia" w:ascii="宋体" w:hAnsi="宋体"/>
          <w:color w:val="auto"/>
          <w:highlight w:val="none"/>
        </w:rPr>
        <w:t xml:space="preserve">日期：    年 </w:t>
      </w:r>
      <w:r>
        <w:rPr>
          <w:rFonts w:hint="eastAsia" w:ascii="宋体" w:hAnsi="宋体"/>
          <w:color w:val="auto"/>
          <w:highlight w:val="none"/>
          <w:lang w:val="en-US" w:eastAsia="zh-CN"/>
        </w:rPr>
        <w:t xml:space="preserve">  </w:t>
      </w:r>
      <w:r>
        <w:rPr>
          <w:rFonts w:hint="eastAsia" w:ascii="宋体" w:hAnsi="宋体"/>
          <w:color w:val="auto"/>
          <w:highlight w:val="none"/>
        </w:rPr>
        <w:t xml:space="preserve"> 月 </w:t>
      </w:r>
      <w:r>
        <w:rPr>
          <w:rFonts w:hint="eastAsia" w:ascii="宋体" w:hAnsi="宋体"/>
          <w:color w:val="auto"/>
          <w:highlight w:val="none"/>
          <w:lang w:val="en-US" w:eastAsia="zh-CN"/>
        </w:rPr>
        <w:t xml:space="preserve">   </w:t>
      </w:r>
      <w:r>
        <w:rPr>
          <w:rFonts w:hint="eastAsia" w:ascii="宋体" w:hAnsi="宋体"/>
          <w:color w:val="auto"/>
          <w:highlight w:val="none"/>
        </w:rPr>
        <w:t xml:space="preserve"> 日</w:t>
      </w:r>
    </w:p>
    <w:p>
      <w:pPr>
        <w:pStyle w:val="2"/>
        <w:pageBreakBefore/>
        <w:ind w:left="0" w:leftChars="0" w:right="-57" w:firstLine="0" w:firstLineChars="0"/>
        <w:jc w:val="center"/>
        <w:outlineLvl w:val="0"/>
        <w:rPr>
          <w:rStyle w:val="46"/>
          <w:rFonts w:hint="eastAsia" w:ascii="宋体" w:hAnsi="宋体" w:eastAsia="宋体"/>
          <w:color w:val="auto"/>
          <w:highlight w:val="none"/>
        </w:rPr>
      </w:pPr>
      <w:bookmarkStart w:id="1666" w:name="_Toc2151"/>
      <w:bookmarkStart w:id="1667" w:name="_Toc13941"/>
      <w:bookmarkStart w:id="1668" w:name="_Toc29462"/>
      <w:bookmarkStart w:id="1669" w:name="_Toc492478835"/>
      <w:bookmarkStart w:id="1670" w:name="_Toc7460"/>
      <w:bookmarkStart w:id="1671" w:name="_Toc26409"/>
      <w:bookmarkStart w:id="1672" w:name="_Toc12275"/>
      <w:bookmarkStart w:id="1673" w:name="_Toc5010"/>
      <w:bookmarkStart w:id="1674" w:name="_Toc30897"/>
      <w:bookmarkStart w:id="1675" w:name="_Toc328"/>
      <w:bookmarkStart w:id="1676" w:name="_Toc16754"/>
      <w:bookmarkStart w:id="1677" w:name="_Toc31681"/>
      <w:bookmarkStart w:id="1678" w:name="_Toc4225"/>
      <w:bookmarkStart w:id="1679" w:name="_Toc17539"/>
      <w:bookmarkStart w:id="1680" w:name="_Toc29090"/>
      <w:bookmarkStart w:id="1681" w:name="_Toc9597"/>
      <w:bookmarkStart w:id="1682" w:name="_Toc28135"/>
      <w:bookmarkStart w:id="1683" w:name="_Toc6454"/>
      <w:bookmarkStart w:id="1684" w:name="_Toc21321"/>
      <w:bookmarkStart w:id="1685" w:name="_Toc11064"/>
      <w:bookmarkStart w:id="1686" w:name="_Toc25061"/>
      <w:bookmarkStart w:id="1687" w:name="_Toc28535"/>
      <w:bookmarkStart w:id="1688" w:name="_Toc27332"/>
      <w:bookmarkStart w:id="1689" w:name="_Toc12695"/>
      <w:bookmarkStart w:id="1690" w:name="_Toc31584"/>
      <w:bookmarkStart w:id="1691" w:name="_Toc20298"/>
      <w:bookmarkStart w:id="1692" w:name="_Toc6337"/>
      <w:bookmarkStart w:id="1693" w:name="_Toc14566"/>
      <w:r>
        <w:rPr>
          <w:rStyle w:val="46"/>
          <w:rFonts w:hint="eastAsia" w:ascii="宋体" w:hAnsi="宋体" w:eastAsia="宋体"/>
          <w:color w:val="auto"/>
          <w:highlight w:val="none"/>
        </w:rPr>
        <w:t>第五章用户需求书</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keepNext w:val="0"/>
        <w:keepLines w:val="0"/>
        <w:pageBreakBefore w:val="0"/>
        <w:kinsoku/>
        <w:wordWrap/>
        <w:overflowPunct/>
        <w:topLinePunct w:val="0"/>
        <w:bidi w:val="0"/>
        <w:spacing w:before="0" w:after="0" w:afterAutospacing="0" w:line="360" w:lineRule="auto"/>
        <w:ind w:left="0" w:right="0" w:firstLine="482" w:firstLineChars="200"/>
        <w:outlineLvl w:val="9"/>
        <w:rPr>
          <w:rFonts w:hint="eastAsia" w:ascii="黑体" w:hAnsi="黑体" w:eastAsia="黑体" w:cs="黑体"/>
          <w:b/>
          <w:color w:val="auto"/>
          <w:sz w:val="24"/>
          <w:szCs w:val="24"/>
          <w:highlight w:val="none"/>
          <w:lang w:val="en-US" w:eastAsia="zh-CN"/>
        </w:rPr>
      </w:pPr>
      <w:bookmarkStart w:id="1694" w:name="_Toc4696"/>
      <w:bookmarkStart w:id="1695" w:name="_Toc30406"/>
    </w:p>
    <w:p>
      <w:pPr>
        <w:keepNext w:val="0"/>
        <w:keepLines w:val="0"/>
        <w:pageBreakBefore w:val="0"/>
        <w:kinsoku/>
        <w:wordWrap/>
        <w:overflowPunct/>
        <w:topLinePunct w:val="0"/>
        <w:bidi w:val="0"/>
        <w:spacing w:before="0" w:after="0" w:afterAutospacing="0" w:line="360" w:lineRule="auto"/>
        <w:ind w:left="719" w:leftChars="186" w:right="0" w:hanging="328" w:hangingChars="136"/>
        <w:outlineLvl w:val="0"/>
        <w:rPr>
          <w:rFonts w:hint="eastAsia" w:ascii="黑体" w:hAnsi="黑体" w:eastAsia="黑体" w:cs="黑体"/>
          <w:b/>
          <w:color w:val="auto"/>
          <w:sz w:val="24"/>
          <w:szCs w:val="24"/>
          <w:highlight w:val="none"/>
          <w:lang w:val="en-US" w:eastAsia="zh-CN"/>
        </w:rPr>
      </w:pPr>
      <w:bookmarkStart w:id="1696" w:name="_Toc8755"/>
      <w:r>
        <w:rPr>
          <w:rFonts w:hint="eastAsia" w:ascii="黑体" w:hAnsi="黑体" w:eastAsia="黑体" w:cs="黑体"/>
          <w:b/>
          <w:color w:val="auto"/>
          <w:sz w:val="24"/>
          <w:szCs w:val="24"/>
          <w:highlight w:val="none"/>
          <w:lang w:val="en-US" w:eastAsia="zh-CN"/>
        </w:rPr>
        <w:t>1 委外服务项目概况</w:t>
      </w:r>
      <w:bookmarkEnd w:id="1694"/>
      <w:bookmarkEnd w:id="1695"/>
      <w:bookmarkEnd w:id="1696"/>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697" w:name="_Toc26187"/>
      <w:bookmarkStart w:id="1698" w:name="_Toc32273"/>
      <w:r>
        <w:rPr>
          <w:rFonts w:hint="eastAsia" w:ascii="宋体" w:hAnsi="宋体" w:eastAsia="宋体" w:cs="Times New Roman"/>
          <w:b/>
          <w:color w:val="auto"/>
          <w:szCs w:val="21"/>
          <w:highlight w:val="none"/>
          <w:lang w:val="en-US" w:eastAsia="zh-CN"/>
        </w:rPr>
        <w:t>1.1委外服务项目名称</w:t>
      </w:r>
      <w:bookmarkEnd w:id="1697"/>
      <w:bookmarkEnd w:id="1698"/>
    </w:p>
    <w:p>
      <w:pPr>
        <w:pStyle w:val="8"/>
        <w:keepNext w:val="0"/>
        <w:keepLines w:val="0"/>
        <w:pageBreakBefore w:val="0"/>
        <w:numPr>
          <w:ilvl w:val="0"/>
          <w:numId w:val="0"/>
        </w:numPr>
        <w:kinsoku/>
        <w:wordWrap/>
        <w:overflowPunct/>
        <w:topLinePunct w:val="0"/>
        <w:bidi w:val="0"/>
        <w:spacing w:before="0" w:after="0" w:afterAutospacing="0" w:line="360" w:lineRule="auto"/>
        <w:ind w:left="0" w:right="0" w:firstLine="480" w:firstLineChars="200"/>
        <w:rPr>
          <w:rFonts w:hint="default"/>
          <w:color w:val="auto"/>
          <w:highlight w:val="none"/>
          <w:lang w:val="en-US" w:eastAsia="zh-CN"/>
        </w:rPr>
      </w:pPr>
      <w:r>
        <w:rPr>
          <w:rFonts w:hint="default"/>
          <w:color w:val="auto"/>
          <w:highlight w:val="none"/>
          <w:lang w:val="en-US" w:eastAsia="zh-CN"/>
        </w:rPr>
        <w:t>运营公司2024</w:t>
      </w:r>
      <w:r>
        <w:rPr>
          <w:rFonts w:hint="eastAsia"/>
          <w:color w:val="auto"/>
          <w:highlight w:val="none"/>
          <w:lang w:val="en-US" w:eastAsia="zh-CN"/>
        </w:rPr>
        <w:t>—</w:t>
      </w:r>
      <w:r>
        <w:rPr>
          <w:rFonts w:hint="default"/>
          <w:color w:val="auto"/>
          <w:highlight w:val="none"/>
          <w:lang w:val="en-US" w:eastAsia="zh-CN"/>
        </w:rPr>
        <w:t>2026年档案委外整理及数字化加工服务采购项目</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699" w:name="_Toc26768"/>
      <w:bookmarkStart w:id="1700" w:name="_Toc22215"/>
      <w:r>
        <w:rPr>
          <w:rFonts w:hint="eastAsia" w:ascii="宋体" w:hAnsi="宋体" w:eastAsia="宋体" w:cs="Times New Roman"/>
          <w:b/>
          <w:color w:val="auto"/>
          <w:szCs w:val="21"/>
          <w:highlight w:val="none"/>
          <w:lang w:val="en-US" w:eastAsia="zh-CN"/>
        </w:rPr>
        <w:t>1.2项目概况</w:t>
      </w:r>
      <w:bookmarkEnd w:id="1699"/>
      <w:bookmarkEnd w:id="1700"/>
    </w:p>
    <w:p>
      <w:pPr>
        <w:pStyle w:val="8"/>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en-US" w:eastAsia="zh-CN" w:bidi="zh-CN"/>
        </w:rPr>
        <w:t>本项目包括</w:t>
      </w:r>
      <w:r>
        <w:rPr>
          <w:rFonts w:hint="eastAsia" w:ascii="宋体" w:hAnsi="宋体" w:eastAsia="宋体" w:cs="宋体"/>
          <w:color w:val="auto"/>
          <w:kern w:val="0"/>
          <w:sz w:val="21"/>
          <w:szCs w:val="21"/>
          <w:highlight w:val="none"/>
          <w:lang w:val="zh-CN" w:eastAsia="zh-CN" w:bidi="zh-CN"/>
        </w:rPr>
        <w:t>2024—2026年运营公司文书档案、科技档案、会计档案、声像（照片、录音、录像）、实物档案、电子档案整理、档案数字化加工及图纸整理等（最终数量将按实际工作结果计算）。</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01" w:name="_Toc26274"/>
      <w:bookmarkStart w:id="1702" w:name="_Toc8199"/>
      <w:r>
        <w:rPr>
          <w:rFonts w:hint="eastAsia" w:ascii="宋体" w:hAnsi="宋体" w:eastAsia="宋体" w:cs="Times New Roman"/>
          <w:b/>
          <w:color w:val="auto"/>
          <w:szCs w:val="21"/>
          <w:highlight w:val="none"/>
          <w:lang w:val="en-US" w:eastAsia="zh-CN"/>
        </w:rPr>
        <w:t>1.3比选人及</w:t>
      </w:r>
      <w:bookmarkEnd w:id="1701"/>
      <w:bookmarkEnd w:id="1702"/>
      <w:r>
        <w:rPr>
          <w:rFonts w:hint="eastAsia" w:ascii="宋体" w:hAnsi="宋体" w:eastAsia="宋体" w:cs="Times New Roman"/>
          <w:b/>
          <w:color w:val="auto"/>
          <w:szCs w:val="21"/>
          <w:highlight w:val="none"/>
          <w:lang w:val="en-US" w:eastAsia="zh-CN"/>
        </w:rPr>
        <w:t>比选申请人</w:t>
      </w:r>
    </w:p>
    <w:p>
      <w:pPr>
        <w:pStyle w:val="8"/>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kern w:val="0"/>
          <w:sz w:val="21"/>
          <w:szCs w:val="21"/>
          <w:highlight w:val="none"/>
          <w:lang w:val="en-US" w:eastAsia="zh-CN" w:bidi="zh-CN"/>
        </w:rPr>
      </w:pPr>
      <w:r>
        <w:rPr>
          <w:rFonts w:hint="eastAsia" w:ascii="宋体" w:hAnsi="宋体" w:eastAsia="宋体" w:cs="宋体"/>
          <w:color w:val="auto"/>
          <w:kern w:val="0"/>
          <w:sz w:val="21"/>
          <w:szCs w:val="21"/>
          <w:highlight w:val="none"/>
          <w:lang w:val="en-US" w:eastAsia="zh-CN" w:bidi="zh-CN"/>
        </w:rPr>
        <w:t>比选人：南宁轨道交通运营有限公司。</w:t>
      </w:r>
    </w:p>
    <w:p>
      <w:pPr>
        <w:pStyle w:val="8"/>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kern w:val="0"/>
          <w:sz w:val="21"/>
          <w:szCs w:val="21"/>
          <w:highlight w:val="none"/>
          <w:lang w:val="en-US" w:eastAsia="zh-CN" w:bidi="zh-CN"/>
        </w:rPr>
      </w:pPr>
      <w:r>
        <w:rPr>
          <w:rFonts w:hint="eastAsia" w:ascii="宋体" w:hAnsi="宋体" w:eastAsia="宋体" w:cs="宋体"/>
          <w:color w:val="auto"/>
          <w:kern w:val="0"/>
          <w:sz w:val="21"/>
          <w:szCs w:val="21"/>
          <w:highlight w:val="none"/>
          <w:lang w:val="en-US" w:eastAsia="zh-CN" w:bidi="zh-CN"/>
        </w:rPr>
        <w:t>比选申请人：响应比选、参加比选申请竞争的法人。</w:t>
      </w:r>
    </w:p>
    <w:p>
      <w:pPr>
        <w:keepNext w:val="0"/>
        <w:keepLines w:val="0"/>
        <w:pageBreakBefore w:val="0"/>
        <w:kinsoku/>
        <w:wordWrap/>
        <w:overflowPunct/>
        <w:topLinePunct w:val="0"/>
        <w:bidi w:val="0"/>
        <w:spacing w:before="0" w:after="0" w:afterAutospacing="0" w:line="360" w:lineRule="auto"/>
        <w:ind w:left="719" w:leftChars="186" w:right="0" w:hanging="328" w:hangingChars="136"/>
        <w:outlineLvl w:val="0"/>
        <w:rPr>
          <w:rFonts w:hint="eastAsia" w:ascii="黑体" w:hAnsi="黑体" w:eastAsia="黑体" w:cs="黑体"/>
          <w:b/>
          <w:color w:val="auto"/>
          <w:sz w:val="24"/>
          <w:szCs w:val="24"/>
          <w:highlight w:val="none"/>
          <w:lang w:val="en-US" w:eastAsia="zh-CN"/>
        </w:rPr>
      </w:pPr>
      <w:bookmarkStart w:id="1703" w:name="_Toc24592"/>
      <w:bookmarkStart w:id="1704" w:name="_Toc14251"/>
      <w:bookmarkStart w:id="1705" w:name="_Toc5404"/>
      <w:r>
        <w:rPr>
          <w:rFonts w:hint="eastAsia" w:ascii="黑体" w:hAnsi="黑体" w:eastAsia="黑体" w:cs="黑体"/>
          <w:b/>
          <w:color w:val="auto"/>
          <w:sz w:val="24"/>
          <w:szCs w:val="24"/>
          <w:highlight w:val="none"/>
          <w:lang w:val="en-US" w:eastAsia="zh-CN"/>
        </w:rPr>
        <w:t>2 委外服务项目范围</w:t>
      </w:r>
      <w:bookmarkEnd w:id="1703"/>
      <w:bookmarkEnd w:id="1704"/>
      <w:bookmarkEnd w:id="1705"/>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06" w:name="_Toc5892"/>
      <w:bookmarkStart w:id="1707" w:name="_Toc8333"/>
      <w:r>
        <w:rPr>
          <w:rFonts w:hint="eastAsia" w:ascii="宋体" w:hAnsi="宋体" w:eastAsia="宋体" w:cs="Times New Roman"/>
          <w:b/>
          <w:color w:val="auto"/>
          <w:szCs w:val="21"/>
          <w:highlight w:val="none"/>
          <w:lang w:val="en-US" w:eastAsia="zh-CN"/>
        </w:rPr>
        <w:t>2.1委外服务项目地点</w:t>
      </w:r>
      <w:bookmarkEnd w:id="1706"/>
      <w:bookmarkEnd w:id="1707"/>
    </w:p>
    <w:p>
      <w:pPr>
        <w:pStyle w:val="32"/>
        <w:keepNext w:val="0"/>
        <w:keepLines w:val="0"/>
        <w:pageBreakBefore w:val="0"/>
        <w:kinsoku/>
        <w:wordWrap/>
        <w:overflowPunct/>
        <w:topLinePunct w:val="0"/>
        <w:bidi w:val="0"/>
        <w:spacing w:before="0" w:after="0" w:afterAutospacing="0" w:line="360" w:lineRule="auto"/>
        <w:ind w:left="0" w:leftChars="0" w:right="0" w:firstLine="420" w:firstLineChars="200"/>
        <w:rPr>
          <w:rFonts w:hint="eastAsia"/>
          <w:color w:val="auto"/>
          <w:highlight w:val="none"/>
          <w:lang w:val="en-US" w:eastAsia="zh-CN"/>
        </w:rPr>
      </w:pPr>
      <w:r>
        <w:rPr>
          <w:rFonts w:hint="eastAsia"/>
          <w:color w:val="auto"/>
          <w:highlight w:val="none"/>
          <w:lang w:val="en-US" w:eastAsia="zh-CN"/>
        </w:rPr>
        <w:t>南宁市青秀区云景路83号屯里车辆段</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default" w:ascii="宋体" w:hAnsi="宋体" w:eastAsia="宋体" w:cs="Times New Roman"/>
          <w:b/>
          <w:color w:val="auto"/>
          <w:szCs w:val="21"/>
          <w:highlight w:val="none"/>
          <w:lang w:val="en-US" w:eastAsia="zh-CN"/>
        </w:rPr>
      </w:pPr>
      <w:bookmarkStart w:id="1708" w:name="_Toc9490"/>
      <w:bookmarkStart w:id="1709" w:name="_Toc26268"/>
      <w:r>
        <w:rPr>
          <w:rFonts w:hint="eastAsia" w:ascii="宋体" w:hAnsi="宋体" w:eastAsia="宋体" w:cs="Times New Roman"/>
          <w:b/>
          <w:color w:val="auto"/>
          <w:szCs w:val="21"/>
          <w:highlight w:val="none"/>
          <w:lang w:val="en-US" w:eastAsia="zh-CN"/>
        </w:rPr>
        <w:t>2.2委外服务项目范围及内容</w:t>
      </w:r>
      <w:bookmarkEnd w:id="1708"/>
      <w:bookmarkEnd w:id="1709"/>
    </w:p>
    <w:p>
      <w:pPr>
        <w:pStyle w:val="8"/>
        <w:keepNext w:val="0"/>
        <w:keepLines w:val="0"/>
        <w:pageBreakBefore w:val="0"/>
        <w:kinsoku/>
        <w:wordWrap/>
        <w:overflowPunct/>
        <w:topLinePunct w:val="0"/>
        <w:bidi w:val="0"/>
        <w:spacing w:before="0" w:after="0" w:afterAutospacing="0" w:line="360" w:lineRule="auto"/>
        <w:ind w:left="0" w:right="0" w:firstLine="720" w:firstLineChars="300"/>
        <w:jc w:val="both"/>
        <w:rPr>
          <w:rFonts w:hint="eastAsia"/>
          <w:color w:val="auto"/>
          <w:highlight w:val="none"/>
          <w:lang w:val="en-US" w:eastAsia="zh-CN"/>
        </w:rPr>
      </w:pPr>
      <w:r>
        <w:rPr>
          <w:rFonts w:hint="eastAsia"/>
          <w:color w:val="auto"/>
          <w:highlight w:val="none"/>
          <w:lang w:val="en-US" w:eastAsia="zh-CN"/>
        </w:rPr>
        <w:t>运营公司2024</w:t>
      </w:r>
      <w:r>
        <w:rPr>
          <w:rFonts w:hint="eastAsia" w:ascii="宋体" w:hAnsi="宋体" w:eastAsia="宋体" w:cs="宋体"/>
          <w:color w:val="auto"/>
          <w:kern w:val="0"/>
          <w:sz w:val="21"/>
          <w:szCs w:val="21"/>
          <w:highlight w:val="none"/>
          <w:lang w:val="zh-CN" w:eastAsia="zh-CN" w:bidi="zh-CN"/>
        </w:rPr>
        <w:t>—</w:t>
      </w:r>
      <w:r>
        <w:rPr>
          <w:rFonts w:hint="eastAsia"/>
          <w:color w:val="auto"/>
          <w:highlight w:val="none"/>
          <w:lang w:val="en-US" w:eastAsia="zh-CN"/>
        </w:rPr>
        <w:t>2026年档案委外整理及数字化加工服务采购项目</w:t>
      </w:r>
    </w:p>
    <w:tbl>
      <w:tblPr>
        <w:tblStyle w:val="33"/>
        <w:tblW w:w="9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2"/>
        <w:gridCol w:w="1157"/>
        <w:gridCol w:w="4065"/>
        <w:gridCol w:w="992"/>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992" w:type="dxa"/>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1157" w:type="dxa"/>
            <w:tcBorders>
              <w:top w:val="single" w:color="000000" w:sz="8" w:space="0"/>
              <w:left w:val="nil"/>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服务名称</w:t>
            </w:r>
          </w:p>
        </w:tc>
        <w:tc>
          <w:tcPr>
            <w:tcW w:w="4065"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服务内容</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default"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992" w:type="dxa"/>
            <w:tcBorders>
              <w:top w:val="nil"/>
              <w:left w:val="single" w:color="000000" w:sz="8" w:space="0"/>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文书档案整理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按规范程序进行组件、分类、排列、编号、修整、编页、装订、编目、录入系统、装盒等</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30000</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科技档案整理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按规范程序进行组卷、修整、编页、编号、编目、录入系统、编制封面、装订、折图、装盒等</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157"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图纸整理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图纸折叠、编号、编目、录入系统、装盒等</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档案数字化加工</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按规范程序进行拆分、扫描、图像处理、质检、命名、数据存储、挂接系统、备份等</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页</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990000</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92" w:type="dxa"/>
            <w:tcBorders>
              <w:top w:val="nil"/>
              <w:left w:val="single" w:color="000000" w:sz="8" w:space="0"/>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会计档案整理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按规范程序进行盖章、编号、编目、装订、录入系统、装盒等</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盒</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1800</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15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声像、实物档案整理</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声像照片的洗晒、编号、编目、装盒等</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张/件</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270</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92"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157"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光盘刻录</w:t>
            </w:r>
          </w:p>
        </w:tc>
        <w:tc>
          <w:tcPr>
            <w:tcW w:w="4065"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从档案系统下载电子文件并刻录到光盘，制作光盘目录、标签等</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992"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bl>
    <w:p>
      <w:pPr>
        <w:pStyle w:val="8"/>
        <w:keepNext w:val="0"/>
        <w:keepLines w:val="0"/>
        <w:pageBreakBefore w:val="0"/>
        <w:kinsoku/>
        <w:wordWrap/>
        <w:overflowPunct/>
        <w:topLinePunct w:val="0"/>
        <w:bidi w:val="0"/>
        <w:spacing w:before="0" w:after="0" w:afterAutospacing="0" w:line="360" w:lineRule="auto"/>
        <w:ind w:left="0" w:right="0" w:firstLine="480" w:firstLineChars="200"/>
        <w:rPr>
          <w:rFonts w:hint="default"/>
          <w:color w:val="auto"/>
          <w:highlight w:val="none"/>
          <w:lang w:val="en-US" w:eastAsia="zh-CN"/>
        </w:rPr>
      </w:pPr>
    </w:p>
    <w:p>
      <w:pPr>
        <w:keepNext w:val="0"/>
        <w:keepLines w:val="0"/>
        <w:pageBreakBefore w:val="0"/>
        <w:kinsoku/>
        <w:wordWrap/>
        <w:overflowPunct/>
        <w:topLinePunct w:val="0"/>
        <w:bidi w:val="0"/>
        <w:spacing w:before="0" w:after="0" w:afterAutospacing="0" w:line="360" w:lineRule="auto"/>
        <w:ind w:left="0" w:right="0" w:firstLine="482" w:firstLineChars="200"/>
        <w:outlineLvl w:val="0"/>
        <w:rPr>
          <w:rFonts w:hint="eastAsia" w:ascii="黑体" w:hAnsi="黑体" w:eastAsia="黑体" w:cs="黑体"/>
          <w:b/>
          <w:color w:val="auto"/>
          <w:sz w:val="24"/>
          <w:highlight w:val="none"/>
          <w:lang w:val="en-US" w:eastAsia="zh-CN"/>
        </w:rPr>
      </w:pPr>
      <w:bookmarkStart w:id="1710" w:name="_Toc8697"/>
      <w:bookmarkStart w:id="1711" w:name="_Toc22414"/>
      <w:bookmarkStart w:id="1712" w:name="_Toc19529"/>
      <w:r>
        <w:rPr>
          <w:rFonts w:hint="eastAsia" w:ascii="黑体" w:hAnsi="黑体" w:eastAsia="黑体" w:cs="黑体"/>
          <w:b/>
          <w:color w:val="auto"/>
          <w:sz w:val="24"/>
          <w:szCs w:val="24"/>
          <w:highlight w:val="none"/>
          <w:lang w:val="en-US" w:eastAsia="zh-CN"/>
        </w:rPr>
        <w:t>3</w:t>
      </w:r>
      <w:bookmarkStart w:id="1713" w:name="_Toc29219"/>
      <w:bookmarkStart w:id="1714" w:name="_Toc47432095"/>
      <w:r>
        <w:rPr>
          <w:rFonts w:hint="eastAsia" w:ascii="黑体" w:hAnsi="黑体" w:eastAsia="黑体" w:cs="黑体"/>
          <w:b/>
          <w:color w:val="auto"/>
          <w:sz w:val="24"/>
          <w:szCs w:val="24"/>
          <w:highlight w:val="none"/>
          <w:lang w:val="en-US" w:eastAsia="zh-CN"/>
        </w:rPr>
        <w:t xml:space="preserve"> </w:t>
      </w:r>
      <w:r>
        <w:rPr>
          <w:rFonts w:hint="eastAsia" w:ascii="黑体" w:hAnsi="黑体" w:eastAsia="黑体" w:cs="黑体"/>
          <w:b/>
          <w:color w:val="auto"/>
          <w:sz w:val="24"/>
          <w:highlight w:val="none"/>
          <w:lang w:val="en-US" w:eastAsia="zh-CN"/>
        </w:rPr>
        <w:t>委外服务项目承包方式及服务期</w:t>
      </w:r>
      <w:bookmarkEnd w:id="1710"/>
      <w:bookmarkEnd w:id="1711"/>
      <w:bookmarkEnd w:id="1712"/>
      <w:bookmarkEnd w:id="1713"/>
      <w:bookmarkEnd w:id="1714"/>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15" w:name="_Toc13107"/>
      <w:bookmarkStart w:id="1716" w:name="_Toc8555"/>
      <w:r>
        <w:rPr>
          <w:rFonts w:hint="eastAsia" w:ascii="宋体" w:hAnsi="宋体" w:eastAsia="宋体" w:cs="Times New Roman"/>
          <w:b/>
          <w:color w:val="auto"/>
          <w:szCs w:val="21"/>
          <w:highlight w:val="none"/>
          <w:lang w:val="en-US" w:eastAsia="zh-CN"/>
        </w:rPr>
        <w:t>3.1承包方式</w:t>
      </w:r>
      <w:bookmarkEnd w:id="1715"/>
      <w:bookmarkEnd w:id="1716"/>
    </w:p>
    <w:p>
      <w:pPr>
        <w:pStyle w:val="32"/>
        <w:keepNext w:val="0"/>
        <w:keepLines w:val="0"/>
        <w:pageBreakBefore w:val="0"/>
        <w:kinsoku/>
        <w:wordWrap/>
        <w:overflowPunct/>
        <w:topLinePunct w:val="0"/>
        <w:bidi w:val="0"/>
        <w:spacing w:before="0" w:after="0" w:afterAutospacing="0" w:line="360" w:lineRule="auto"/>
        <w:ind w:left="0" w:leftChars="0" w:right="0" w:firstLine="420" w:firstLineChars="200"/>
        <w:rPr>
          <w:rFonts w:hint="eastAsia" w:ascii="宋体" w:hAnsi="宋体" w:eastAsia="宋体" w:cs="Times New Roman"/>
          <w:color w:val="auto"/>
          <w:szCs w:val="24"/>
          <w:highlight w:val="none"/>
          <w:lang w:val="en-US" w:eastAsia="zh-CN"/>
        </w:rPr>
      </w:pPr>
      <w:r>
        <w:rPr>
          <w:rFonts w:hint="eastAsia" w:ascii="Times New Roman" w:hAnsi="Times New Roman" w:eastAsia="宋体" w:cs="Times New Roman"/>
          <w:color w:val="auto"/>
          <w:highlight w:val="none"/>
          <w:lang w:val="en-US" w:eastAsia="zh-CN"/>
        </w:rPr>
        <w:t>本项目采用</w:t>
      </w:r>
      <w:r>
        <w:rPr>
          <w:rFonts w:hint="eastAsia" w:ascii="宋体" w:hAnsi="宋体" w:eastAsia="宋体" w:cs="Times New Roman"/>
          <w:color w:val="auto"/>
          <w:szCs w:val="24"/>
          <w:highlight w:val="none"/>
          <w:lang w:eastAsia="zh-CN"/>
        </w:rPr>
        <w:t>固定单价</w:t>
      </w:r>
      <w:r>
        <w:rPr>
          <w:rFonts w:hint="eastAsia" w:ascii="宋体" w:hAnsi="宋体" w:eastAsia="宋体" w:cs="Times New Roman"/>
          <w:color w:val="auto"/>
          <w:szCs w:val="24"/>
          <w:highlight w:val="none"/>
        </w:rPr>
        <w:t>，以发生的实际工作量结算</w:t>
      </w:r>
      <w:r>
        <w:rPr>
          <w:rFonts w:hint="eastAsia" w:ascii="宋体" w:hAnsi="宋体" w:eastAsia="宋体" w:cs="Times New Roman"/>
          <w:color w:val="auto"/>
          <w:szCs w:val="24"/>
          <w:highlight w:val="none"/>
          <w:lang w:eastAsia="zh-CN"/>
        </w:rPr>
        <w:t>。</w:t>
      </w:r>
      <w:r>
        <w:rPr>
          <w:rFonts w:hint="eastAsia" w:ascii="宋体" w:hAnsi="宋体" w:eastAsia="宋体" w:cs="Times New Roman"/>
          <w:color w:val="auto"/>
          <w:szCs w:val="24"/>
          <w:highlight w:val="none"/>
          <w:lang w:val="en-US" w:eastAsia="zh-CN"/>
        </w:rPr>
        <w:t>本项目不允许任何形式的转包或分包。</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default" w:ascii="宋体" w:hAnsi="宋体" w:eastAsia="宋体" w:cs="Times New Roman"/>
          <w:b/>
          <w:color w:val="auto"/>
          <w:szCs w:val="21"/>
          <w:highlight w:val="none"/>
          <w:lang w:val="en-US" w:eastAsia="zh-CN"/>
        </w:rPr>
      </w:pPr>
      <w:bookmarkStart w:id="1717" w:name="_Toc12738"/>
      <w:bookmarkStart w:id="1718" w:name="_Toc17632"/>
      <w:r>
        <w:rPr>
          <w:rFonts w:hint="eastAsia" w:ascii="宋体" w:hAnsi="宋体" w:eastAsia="宋体" w:cs="Times New Roman"/>
          <w:b/>
          <w:color w:val="auto"/>
          <w:szCs w:val="21"/>
          <w:highlight w:val="none"/>
          <w:lang w:val="en-US" w:eastAsia="zh-CN"/>
        </w:rPr>
        <w:t>3.2计划服务期</w:t>
      </w:r>
      <w:bookmarkEnd w:id="1717"/>
      <w:bookmarkEnd w:id="1718"/>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委外项目计划服务周期：2024年5月10日至2026年12月31日。</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default" w:ascii="宋体" w:hAnsi="宋体" w:eastAsia="宋体" w:cs="Times New Roman"/>
          <w:b/>
          <w:color w:val="auto"/>
          <w:szCs w:val="21"/>
          <w:highlight w:val="none"/>
          <w:lang w:val="en-US" w:eastAsia="zh-CN"/>
        </w:rPr>
      </w:pPr>
      <w:bookmarkStart w:id="1719" w:name="_Toc27345"/>
      <w:bookmarkStart w:id="1720" w:name="_Toc10336"/>
      <w:r>
        <w:rPr>
          <w:rFonts w:hint="eastAsia" w:ascii="宋体" w:hAnsi="宋体" w:eastAsia="宋体" w:cs="Times New Roman"/>
          <w:b/>
          <w:color w:val="auto"/>
          <w:szCs w:val="21"/>
          <w:highlight w:val="none"/>
          <w:lang w:val="en-US" w:eastAsia="zh-CN"/>
        </w:rPr>
        <w:t>3.3补充说明</w:t>
      </w:r>
      <w:bookmarkEnd w:id="1719"/>
      <w:bookmarkEnd w:id="1720"/>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3.3.1本项目不接受联合体比选申请。</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3.3.2用于本项目比选申请人提供的所有材料，必须复核国家标准与行业规范，确保其达到质量、安全、环保等要求。</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3.3.3合同执行期间如比选人取消项目范围内的工作内容，则比选人与比选申请人双方根据减少的工作量共同核算相应的费用，并办理合同变更调整项目范围。</w:t>
      </w:r>
    </w:p>
    <w:p>
      <w:pPr>
        <w:keepNext w:val="0"/>
        <w:keepLines w:val="0"/>
        <w:pageBreakBefore w:val="0"/>
        <w:kinsoku/>
        <w:wordWrap/>
        <w:overflowPunct/>
        <w:topLinePunct w:val="0"/>
        <w:bidi w:val="0"/>
        <w:spacing w:before="0" w:after="0" w:afterAutospacing="0" w:line="360" w:lineRule="auto"/>
        <w:ind w:left="0" w:right="0" w:firstLine="482" w:firstLineChars="200"/>
        <w:outlineLvl w:val="0"/>
        <w:rPr>
          <w:rFonts w:hint="eastAsia" w:ascii="黑体" w:hAnsi="黑体" w:eastAsia="黑体" w:cs="黑体"/>
          <w:b/>
          <w:color w:val="auto"/>
          <w:sz w:val="24"/>
          <w:highlight w:val="none"/>
          <w:lang w:val="en-US" w:eastAsia="zh-CN"/>
        </w:rPr>
      </w:pPr>
      <w:bookmarkStart w:id="1721" w:name="_Toc32544"/>
      <w:bookmarkStart w:id="1722" w:name="_Toc12531"/>
      <w:bookmarkStart w:id="1723" w:name="_Toc21823"/>
      <w:r>
        <w:rPr>
          <w:rFonts w:hint="eastAsia" w:ascii="黑体" w:hAnsi="黑体" w:eastAsia="黑体" w:cs="黑体"/>
          <w:b/>
          <w:color w:val="auto"/>
          <w:sz w:val="24"/>
          <w:highlight w:val="none"/>
          <w:lang w:val="en-US" w:eastAsia="zh-CN"/>
        </w:rPr>
        <w:t>4 委外服务项目技术标准、规范</w:t>
      </w:r>
      <w:bookmarkEnd w:id="1721"/>
      <w:bookmarkEnd w:id="1722"/>
      <w:bookmarkEnd w:id="1723"/>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24" w:name="_Toc10925"/>
      <w:bookmarkStart w:id="1725" w:name="_Toc26614"/>
      <w:r>
        <w:rPr>
          <w:rFonts w:hint="eastAsia" w:ascii="宋体" w:hAnsi="宋体" w:eastAsia="宋体" w:cs="Times New Roman"/>
          <w:b/>
          <w:color w:val="auto"/>
          <w:szCs w:val="21"/>
          <w:highlight w:val="none"/>
          <w:lang w:val="en-US" w:eastAsia="zh-CN"/>
        </w:rPr>
        <w:t>4.1标准适用原则</w:t>
      </w:r>
      <w:bookmarkEnd w:id="1724"/>
      <w:bookmarkEnd w:id="1725"/>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4.1.1本项目须满足各类国家及行业标准。</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4.1.2本项目需满足比选方单位的相关标准或要求：</w:t>
      </w:r>
    </w:p>
    <w:p>
      <w:pPr>
        <w:keepNext w:val="0"/>
        <w:keepLines w:val="0"/>
        <w:pageBreakBefore w:val="0"/>
        <w:numPr>
          <w:ilvl w:val="0"/>
          <w:numId w:val="15"/>
        </w:numPr>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比选方单位的企业标准；</w:t>
      </w:r>
    </w:p>
    <w:p>
      <w:pPr>
        <w:keepNext w:val="0"/>
        <w:keepLines w:val="0"/>
        <w:pageBreakBefore w:val="0"/>
        <w:numPr>
          <w:ilvl w:val="0"/>
          <w:numId w:val="15"/>
        </w:numPr>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比选方单位的规章制度；</w:t>
      </w:r>
    </w:p>
    <w:p>
      <w:pPr>
        <w:keepNext w:val="0"/>
        <w:keepLines w:val="0"/>
        <w:pageBreakBefore w:val="0"/>
        <w:numPr>
          <w:ilvl w:val="0"/>
          <w:numId w:val="15"/>
        </w:numPr>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比选方单位的各种会议纪要、决议、通知等；</w:t>
      </w:r>
    </w:p>
    <w:p>
      <w:pPr>
        <w:keepNext w:val="0"/>
        <w:keepLines w:val="0"/>
        <w:pageBreakBefore w:val="0"/>
        <w:numPr>
          <w:ilvl w:val="0"/>
          <w:numId w:val="15"/>
        </w:numPr>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比选方单位制定的设备检修规程、设备操作指南、故障处理指南、工作手册、规章制度等；</w:t>
      </w:r>
    </w:p>
    <w:p>
      <w:pPr>
        <w:keepNext w:val="0"/>
        <w:keepLines w:val="0"/>
        <w:pageBreakBefore w:val="0"/>
        <w:numPr>
          <w:ilvl w:val="0"/>
          <w:numId w:val="15"/>
        </w:numPr>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以上均未涉及的，由比选人与比选申请人共同商定。</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4.1.3本项目采用的各类标准或要求，如有最新版本，则按最新版本执行，同一权威等级取标准高者。</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4.1.4广西区、南宁市有关规程、规定及要求，未尽部分符合国家现行的有关标准和规范，且当上述标准的内容与其他文件或具体条款描述矛盾时，按较高要求执行。</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b/>
          <w:color w:val="auto"/>
          <w:szCs w:val="21"/>
          <w:highlight w:val="none"/>
          <w:lang w:val="en-US" w:eastAsia="zh-CN"/>
        </w:rPr>
      </w:pPr>
      <w:r>
        <w:rPr>
          <w:rFonts w:hint="eastAsia" w:ascii="宋体" w:hAnsi="宋体" w:eastAsia="宋体" w:cs="Times New Roman"/>
          <w:color w:val="auto"/>
          <w:highlight w:val="none"/>
          <w:lang w:val="en-US" w:eastAsia="zh-CN"/>
        </w:rPr>
        <w:t>4.1.5本项目所用的产品安装、安全至少满足下列标准、规范及相关引用标准和规范。如果有新的标准，则按照新的标准执行，比选申请人不能因此要求增加任何费用。</w:t>
      </w:r>
      <w:bookmarkStart w:id="1726" w:name="_Toc14796"/>
      <w:bookmarkStart w:id="1727" w:name="_Toc21227"/>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r>
        <w:rPr>
          <w:rFonts w:hint="eastAsia" w:ascii="宋体" w:hAnsi="宋体" w:eastAsia="宋体" w:cs="Times New Roman"/>
          <w:b/>
          <w:color w:val="auto"/>
          <w:szCs w:val="21"/>
          <w:highlight w:val="none"/>
          <w:lang w:val="en-US" w:eastAsia="zh-CN"/>
        </w:rPr>
        <w:t>4.2国家技术标准和行业规范</w:t>
      </w:r>
      <w:bookmarkEnd w:id="1726"/>
      <w:bookmarkEnd w:id="1727"/>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GBT 50328-2014                   建设工程文件归档规范</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GB/T 18                          档案著录规则</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GB/T 11821                       照片档案管理规范</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DA/T22-2015                      归档文件整理规则</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DA/T 28 -2002                    国家重大建设项目文件归档要求与档案整理规范</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zh-CN" w:eastAsia="zh-CN"/>
        </w:rPr>
      </w:pPr>
      <w:r>
        <w:rPr>
          <w:rFonts w:hint="default" w:ascii="宋体" w:hAnsi="宋体" w:eastAsia="宋体" w:cs="Times New Roman"/>
          <w:color w:val="auto"/>
          <w:highlight w:val="none"/>
          <w:lang w:val="zh-CN" w:eastAsia="zh-CN"/>
        </w:rPr>
        <w:t>DA/T 78—2019</w:t>
      </w:r>
      <w:r>
        <w:rPr>
          <w:rFonts w:hint="eastAsia" w:ascii="宋体" w:hAnsi="宋体" w:eastAsia="宋体" w:cs="Times New Roman"/>
          <w:color w:val="auto"/>
          <w:highlight w:val="none"/>
          <w:lang w:val="en-US" w:eastAsia="zh-CN"/>
        </w:rPr>
        <w:t xml:space="preserve">                    </w:t>
      </w:r>
      <w:r>
        <w:rPr>
          <w:rFonts w:hint="default" w:ascii="宋体" w:hAnsi="宋体" w:eastAsia="宋体" w:cs="Times New Roman"/>
          <w:color w:val="auto"/>
          <w:highlight w:val="none"/>
          <w:lang w:val="zh-CN" w:eastAsia="zh-CN"/>
        </w:rPr>
        <w:t>录音录像档案管理规范</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CJJ/T 180-2012                   城市轨道交通工程档案整理标准</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国家档案局第10号令              企业文件材料归档范围和档案保管期限规定</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zh-CN" w:eastAsia="zh-CN"/>
        </w:rPr>
      </w:pPr>
      <w:r>
        <w:rPr>
          <w:rFonts w:hint="eastAsia" w:ascii="宋体" w:hAnsi="宋体" w:eastAsia="宋体" w:cs="Times New Roman"/>
          <w:color w:val="auto"/>
          <w:highlight w:val="none"/>
          <w:lang w:val="en-US" w:eastAsia="zh-CN"/>
        </w:rPr>
        <w:t>财政部、国家档案局令第79号      会计档案管理办法</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28" w:name="_Toc7036"/>
      <w:bookmarkStart w:id="1729" w:name="_Toc13712"/>
      <w:r>
        <w:rPr>
          <w:rFonts w:hint="eastAsia" w:ascii="宋体" w:hAnsi="宋体" w:eastAsia="宋体" w:cs="Times New Roman"/>
          <w:b/>
          <w:color w:val="auto"/>
          <w:szCs w:val="21"/>
          <w:highlight w:val="none"/>
          <w:lang w:val="en-US" w:eastAsia="zh-CN"/>
        </w:rPr>
        <w:t>4.3档案管理相关规程</w:t>
      </w:r>
      <w:bookmarkEnd w:id="1728"/>
      <w:bookmarkEnd w:id="1729"/>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公司内部制度标准，包含但不限于：</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南宁轨道交通运营有限公司档案管理办法</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南宁轨道交通集团有限责任公司城市轨道交通工程档案管理实施细则</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Times New Roman"/>
          <w:color w:val="auto"/>
          <w:highlight w:val="none"/>
          <w:lang w:val="en-US" w:eastAsia="zh-CN"/>
        </w:rPr>
        <w:t>南宁轨道交通运营有限公司档案分类方案、文件材料归档范围和档案保管期限表三合一制度</w:t>
      </w:r>
    </w:p>
    <w:p>
      <w:pPr>
        <w:keepNext w:val="0"/>
        <w:keepLines w:val="0"/>
        <w:pageBreakBefore w:val="0"/>
        <w:kinsoku/>
        <w:wordWrap/>
        <w:overflowPunct/>
        <w:topLinePunct w:val="0"/>
        <w:bidi w:val="0"/>
        <w:spacing w:before="0" w:after="0" w:afterAutospacing="0" w:line="360" w:lineRule="auto"/>
        <w:ind w:left="0" w:right="0" w:firstLine="482" w:firstLineChars="200"/>
        <w:outlineLvl w:val="0"/>
        <w:rPr>
          <w:rFonts w:hint="eastAsia" w:ascii="黑体" w:hAnsi="黑体" w:eastAsia="黑体" w:cs="黑体"/>
          <w:b/>
          <w:color w:val="auto"/>
          <w:sz w:val="24"/>
          <w:highlight w:val="none"/>
          <w:lang w:val="en-US" w:eastAsia="zh-CN"/>
        </w:rPr>
      </w:pPr>
      <w:bookmarkStart w:id="1730" w:name="_Toc2396"/>
      <w:bookmarkStart w:id="1731" w:name="_Toc27535"/>
      <w:r>
        <w:rPr>
          <w:rFonts w:hint="eastAsia" w:ascii="黑体" w:hAnsi="黑体" w:eastAsia="黑体" w:cs="黑体"/>
          <w:b/>
          <w:color w:val="auto"/>
          <w:sz w:val="24"/>
          <w:highlight w:val="none"/>
          <w:lang w:val="en-US" w:eastAsia="zh-CN"/>
        </w:rPr>
        <w:t>5委外服务管理要求</w:t>
      </w:r>
      <w:bookmarkEnd w:id="1730"/>
      <w:bookmarkEnd w:id="1731"/>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32" w:name="_Toc8093"/>
      <w:bookmarkStart w:id="1733" w:name="_Toc32515"/>
      <w:r>
        <w:rPr>
          <w:rFonts w:hint="eastAsia" w:ascii="宋体" w:hAnsi="宋体" w:eastAsia="宋体" w:cs="Times New Roman"/>
          <w:b/>
          <w:color w:val="auto"/>
          <w:szCs w:val="21"/>
          <w:highlight w:val="none"/>
          <w:lang w:val="en-US" w:eastAsia="zh-CN"/>
        </w:rPr>
        <w:t>5.1比选申请人资质要求</w:t>
      </w:r>
      <w:bookmarkEnd w:id="1732"/>
      <w:bookmarkEnd w:id="1733"/>
    </w:p>
    <w:p>
      <w:pPr>
        <w:keepNext w:val="0"/>
        <w:keepLines w:val="0"/>
        <w:pageBreakBefore w:val="0"/>
        <w:kinsoku/>
        <w:wordWrap/>
        <w:overflowPunct/>
        <w:topLinePunct w:val="0"/>
        <w:bidi w:val="0"/>
        <w:spacing w:before="0" w:after="0" w:afterAutospacing="0" w:line="360" w:lineRule="auto"/>
        <w:ind w:left="0" w:right="0" w:firstLine="420" w:firstLineChars="200"/>
        <w:rPr>
          <w:rFonts w:ascii="宋体" w:hAnsi="宋体"/>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.1</w:t>
      </w:r>
      <w:r>
        <w:rPr>
          <w:rFonts w:hint="eastAsia" w:ascii="宋体" w:hAnsi="宋体" w:eastAsia="宋体" w:cs="Times New Roman"/>
          <w:color w:val="auto"/>
          <w:highlight w:val="none"/>
          <w:lang w:val="en-US" w:eastAsia="zh-CN"/>
        </w:rPr>
        <w:t>比选申请人</w:t>
      </w:r>
      <w:r>
        <w:rPr>
          <w:rFonts w:hint="eastAsia" w:ascii="宋体" w:hAnsi="宋体"/>
          <w:color w:val="auto"/>
          <w:highlight w:val="none"/>
        </w:rPr>
        <w:t>为中华人民共和国境内依法设立的法人或其他组织（若以分公司名义参与</w:t>
      </w:r>
      <w:r>
        <w:rPr>
          <w:rFonts w:hint="eastAsia" w:ascii="宋体" w:hAnsi="宋体"/>
          <w:color w:val="auto"/>
          <w:highlight w:val="none"/>
          <w:lang w:eastAsia="zh-CN"/>
        </w:rPr>
        <w:t>比选申请</w:t>
      </w:r>
      <w:r>
        <w:rPr>
          <w:rFonts w:hint="eastAsia" w:ascii="宋体" w:hAnsi="宋体"/>
          <w:color w:val="auto"/>
          <w:highlight w:val="none"/>
        </w:rPr>
        <w:t>，必须出具总公司授权参与的证明）。</w:t>
      </w:r>
    </w:p>
    <w:p>
      <w:pPr>
        <w:keepNext w:val="0"/>
        <w:keepLines w:val="0"/>
        <w:pageBreakBefore w:val="0"/>
        <w:kinsoku/>
        <w:wordWrap/>
        <w:overflowPunct/>
        <w:topLinePunct w:val="0"/>
        <w:bidi w:val="0"/>
        <w:spacing w:before="0" w:after="0" w:afterAutospacing="0" w:line="360" w:lineRule="auto"/>
        <w:ind w:left="0" w:right="0" w:firstLine="420" w:firstLineChars="200"/>
        <w:rPr>
          <w:rFonts w:ascii="宋体" w:hAnsi="宋体"/>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业绩要求：</w:t>
      </w:r>
      <w:r>
        <w:rPr>
          <w:rFonts w:hint="eastAsia" w:ascii="宋体" w:hAnsi="宋体"/>
          <w:color w:val="auto"/>
          <w:szCs w:val="21"/>
          <w:highlight w:val="none"/>
          <w:lang w:eastAsia="zh-CN"/>
        </w:rPr>
        <w:t>比选申请人</w:t>
      </w:r>
      <w:r>
        <w:rPr>
          <w:rFonts w:hint="eastAsia" w:ascii="宋体" w:hAnsi="宋体"/>
          <w:color w:val="auto"/>
          <w:szCs w:val="21"/>
          <w:highlight w:val="none"/>
        </w:rPr>
        <w:t>201</w:t>
      </w:r>
      <w:r>
        <w:rPr>
          <w:rFonts w:hint="eastAsia" w:ascii="宋体" w:hAnsi="宋体"/>
          <w:color w:val="auto"/>
          <w:szCs w:val="21"/>
          <w:highlight w:val="none"/>
          <w:lang w:val="en-US" w:eastAsia="zh-CN"/>
        </w:rPr>
        <w:t>9</w:t>
      </w:r>
      <w:r>
        <w:rPr>
          <w:rFonts w:hint="eastAsia" w:ascii="宋体" w:hAnsi="宋体"/>
          <w:color w:val="auto"/>
          <w:szCs w:val="21"/>
          <w:highlight w:val="none"/>
        </w:rPr>
        <w:t>年1月1日</w:t>
      </w:r>
      <w:r>
        <w:rPr>
          <w:rFonts w:hint="eastAsia" w:ascii="宋体" w:hAnsi="宋体"/>
          <w:color w:val="auto"/>
          <w:szCs w:val="21"/>
          <w:highlight w:val="none"/>
          <w:lang w:val="en-US" w:eastAsia="zh-CN"/>
        </w:rPr>
        <w:t>以来至少实施过一个</w:t>
      </w:r>
      <w:r>
        <w:rPr>
          <w:rFonts w:hint="eastAsia" w:ascii="宋体" w:hAnsi="宋体"/>
          <w:color w:val="auto"/>
          <w:szCs w:val="21"/>
          <w:highlight w:val="none"/>
        </w:rPr>
        <w:t>档案整理及数字化服务项目。</w:t>
      </w:r>
    </w:p>
    <w:p>
      <w:pPr>
        <w:keepNext w:val="0"/>
        <w:keepLines w:val="0"/>
        <w:pageBreakBefore w:val="0"/>
        <w:widowControl/>
        <w:kinsoku/>
        <w:wordWrap/>
        <w:overflowPunct/>
        <w:topLinePunct w:val="0"/>
        <w:bidi w:val="0"/>
        <w:spacing w:before="0" w:after="0" w:afterAutospacing="0" w:line="360" w:lineRule="auto"/>
        <w:ind w:left="0" w:right="0" w:firstLine="420" w:firstLineChars="200"/>
        <w:jc w:val="left"/>
        <w:rPr>
          <w:rFonts w:ascii="宋体" w:hAnsi="宋体"/>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lang w:eastAsia="zh-CN"/>
        </w:rPr>
        <w:t>比选申请人</w:t>
      </w:r>
      <w:r>
        <w:rPr>
          <w:rFonts w:hint="eastAsia" w:ascii="宋体" w:hAnsi="宋体"/>
          <w:color w:val="auto"/>
          <w:highlight w:val="none"/>
        </w:rPr>
        <w:t>没有处于被责令停业，或</w:t>
      </w:r>
      <w:r>
        <w:rPr>
          <w:rFonts w:hint="eastAsia" w:ascii="宋体" w:hAnsi="宋体"/>
          <w:color w:val="auto"/>
          <w:highlight w:val="none"/>
          <w:lang w:eastAsia="zh-CN"/>
        </w:rPr>
        <w:t>比选申请</w:t>
      </w:r>
      <w:r>
        <w:rPr>
          <w:rFonts w:hint="eastAsia" w:ascii="宋体" w:hAnsi="宋体"/>
          <w:color w:val="auto"/>
          <w:highlight w:val="none"/>
        </w:rPr>
        <w:t>资格被住建部、应急管理部（原国家安监总局）、广西区或南宁市建设行政主管部门取消，或财产被接管、冻结、破产状态；在</w:t>
      </w:r>
      <w:r>
        <w:rPr>
          <w:rFonts w:hint="eastAsia" w:ascii="宋体" w:hAnsi="宋体"/>
          <w:color w:val="auto"/>
          <w:highlight w:val="none"/>
          <w:lang w:eastAsia="zh-CN"/>
        </w:rPr>
        <w:t>比选申请</w:t>
      </w:r>
      <w:r>
        <w:rPr>
          <w:rFonts w:hint="eastAsia" w:ascii="宋体" w:hAnsi="宋体"/>
          <w:color w:val="auto"/>
          <w:highlight w:val="none"/>
        </w:rPr>
        <w:t>截止前3年内没有骗取中标、严重违约或重大安全质量事故。</w:t>
      </w:r>
    </w:p>
    <w:p>
      <w:pPr>
        <w:keepNext w:val="0"/>
        <w:keepLines w:val="0"/>
        <w:pageBreakBefore w:val="0"/>
        <w:kinsoku/>
        <w:wordWrap/>
        <w:overflowPunct/>
        <w:topLinePunct w:val="0"/>
        <w:bidi w:val="0"/>
        <w:spacing w:before="0" w:after="0" w:afterAutospacing="0" w:line="360" w:lineRule="auto"/>
        <w:ind w:left="0" w:right="0" w:firstLine="420" w:firstLineChars="200"/>
        <w:rPr>
          <w:rFonts w:ascii="宋体" w:hAnsi="宋体"/>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其他要求：单位负责人为同一人或者存在控股、管理关系的不同单位，不得参加同一标段</w:t>
      </w:r>
      <w:r>
        <w:rPr>
          <w:rFonts w:hint="eastAsia" w:ascii="宋体" w:hAnsi="宋体"/>
          <w:color w:val="auto"/>
          <w:highlight w:val="none"/>
          <w:lang w:eastAsia="zh-CN"/>
        </w:rPr>
        <w:t>比选申请</w:t>
      </w:r>
      <w:r>
        <w:rPr>
          <w:rFonts w:hint="eastAsia" w:ascii="宋体" w:hAnsi="宋体"/>
          <w:color w:val="auto"/>
          <w:highlight w:val="none"/>
        </w:rPr>
        <w:t>或者未划分标段的同一</w:t>
      </w:r>
      <w:r>
        <w:rPr>
          <w:rFonts w:hint="eastAsia" w:ascii="宋体" w:hAnsi="宋体"/>
          <w:color w:val="auto"/>
          <w:highlight w:val="none"/>
          <w:lang w:eastAsia="zh-CN"/>
        </w:rPr>
        <w:t>比选</w:t>
      </w:r>
      <w:r>
        <w:rPr>
          <w:rFonts w:hint="eastAsia" w:ascii="宋体" w:hAnsi="宋体"/>
          <w:color w:val="auto"/>
          <w:highlight w:val="none"/>
        </w:rPr>
        <w:t>项目</w:t>
      </w:r>
      <w:r>
        <w:rPr>
          <w:rFonts w:hint="eastAsia" w:ascii="宋体" w:hAnsi="宋体"/>
          <w:color w:val="auto"/>
          <w:highlight w:val="none"/>
          <w:lang w:eastAsia="zh-CN"/>
        </w:rPr>
        <w:t>比选申请</w:t>
      </w:r>
      <w:r>
        <w:rPr>
          <w:rFonts w:hint="eastAsia" w:ascii="宋体" w:hAnsi="宋体"/>
          <w:color w:val="auto"/>
          <w:highlight w:val="none"/>
        </w:rPr>
        <w:t>。</w:t>
      </w:r>
    </w:p>
    <w:p>
      <w:pPr>
        <w:keepNext w:val="0"/>
        <w:keepLines w:val="0"/>
        <w:pageBreakBefore w:val="0"/>
        <w:kinsoku/>
        <w:wordWrap/>
        <w:overflowPunct/>
        <w:topLinePunct w:val="0"/>
        <w:bidi w:val="0"/>
        <w:spacing w:before="0" w:after="0" w:afterAutospacing="0" w:line="360" w:lineRule="auto"/>
        <w:ind w:left="0" w:right="0" w:firstLine="420" w:firstLineChars="200"/>
        <w:rPr>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本次</w:t>
      </w:r>
      <w:r>
        <w:rPr>
          <w:rFonts w:hint="eastAsia" w:ascii="宋体" w:hAnsi="宋体"/>
          <w:color w:val="auto"/>
          <w:highlight w:val="none"/>
          <w:lang w:eastAsia="zh-CN"/>
        </w:rPr>
        <w:t>比选</w:t>
      </w:r>
      <w:r>
        <w:rPr>
          <w:rFonts w:hint="eastAsia" w:ascii="宋体" w:hAnsi="宋体"/>
          <w:color w:val="auto"/>
          <w:highlight w:val="none"/>
        </w:rPr>
        <w:t>不接受联合体</w:t>
      </w:r>
      <w:r>
        <w:rPr>
          <w:rFonts w:hint="eastAsia" w:ascii="宋体" w:hAnsi="宋体"/>
          <w:color w:val="auto"/>
          <w:highlight w:val="none"/>
          <w:lang w:eastAsia="zh-CN"/>
        </w:rPr>
        <w:t>比选申请</w:t>
      </w:r>
      <w:r>
        <w:rPr>
          <w:rFonts w:hint="eastAsia" w:ascii="宋体" w:hAnsi="宋体"/>
          <w:color w:val="auto"/>
          <w:highlight w:val="none"/>
        </w:rPr>
        <w:t>。</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34" w:name="_Toc525"/>
      <w:bookmarkStart w:id="1735" w:name="_Toc19325"/>
      <w:r>
        <w:rPr>
          <w:rFonts w:hint="eastAsia" w:ascii="宋体" w:hAnsi="宋体" w:eastAsia="宋体" w:cs="Times New Roman"/>
          <w:b/>
          <w:color w:val="auto"/>
          <w:szCs w:val="21"/>
          <w:highlight w:val="none"/>
          <w:lang w:val="en-US" w:eastAsia="zh-CN"/>
        </w:rPr>
        <w:t>5.2项目团队人员要求</w:t>
      </w:r>
      <w:bookmarkEnd w:id="1734"/>
      <w:bookmarkEnd w:id="1735"/>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5.2.1比选申请人应针对本项目配备最少一名驻场总项目负责人，总项目负责人要求项目管理、档案工作经验丰富，有承接过并较好地完成建设项目档案整理及数字化加工的工作经历。项目负责人不得随意更换，不得兼任外单位项目负责人，如必须更换则须书面报请比选人同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5.2.2项目实施人员应为比选申请人的正式员工，品行端正，熟悉档案相关工作流程和标准。比选申请人需提供详细的项目组成员名单并加盖公章，比选人将进行身份审查，且投入人员不得随意更换，如必须更换则须书面报请比选人同意。</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5.2.3比选申请人不能有外资背景和外籍工作人员；比选申请人必须对聘用人员进行身份审查和管理。</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5.2.4项目实施期间，工作人员如违反比选人管理制度的，比选人可要求比选申请人更换违纪人员，比选申请人不得对此提出异议。</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5.2.5比选申请人须向比选人提供一套参与本项目管理与实施人员的劳动合同书、身份证复印件，并加盖单位公章。</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5.2.6项目实施过程中，比选人根据工作量需要比选申请人增派实施人员进场时，比选申请人须在接到通知后5个工作日内安排实施人员进场工作。</w:t>
      </w:r>
    </w:p>
    <w:p>
      <w:pPr>
        <w:keepNext w:val="0"/>
        <w:keepLines w:val="0"/>
        <w:pageBreakBefore w:val="0"/>
        <w:kinsoku/>
        <w:wordWrap/>
        <w:overflowPunct/>
        <w:topLinePunct w:val="0"/>
        <w:bidi w:val="0"/>
        <w:spacing w:before="0" w:after="0" w:afterAutospacing="0" w:line="360" w:lineRule="auto"/>
        <w:ind w:left="0" w:right="0" w:firstLine="482" w:firstLineChars="200"/>
        <w:outlineLvl w:val="0"/>
        <w:rPr>
          <w:rFonts w:hint="default" w:ascii="黑体" w:hAnsi="黑体" w:eastAsia="黑体" w:cs="黑体"/>
          <w:b/>
          <w:color w:val="auto"/>
          <w:sz w:val="24"/>
          <w:highlight w:val="none"/>
          <w:lang w:val="en-US" w:eastAsia="zh-CN"/>
        </w:rPr>
      </w:pPr>
      <w:bookmarkStart w:id="1736" w:name="_Toc6247"/>
      <w:bookmarkStart w:id="1737" w:name="_Toc20784"/>
      <w:bookmarkStart w:id="1738" w:name="_Toc10109"/>
      <w:r>
        <w:rPr>
          <w:rFonts w:hint="eastAsia" w:ascii="黑体" w:hAnsi="黑体" w:eastAsia="黑体" w:cs="黑体"/>
          <w:b/>
          <w:color w:val="auto"/>
          <w:sz w:val="24"/>
          <w:highlight w:val="none"/>
          <w:lang w:val="en-US" w:eastAsia="zh-CN"/>
        </w:rPr>
        <w:t>6委外服务整理技术要求</w:t>
      </w:r>
      <w:bookmarkEnd w:id="1736"/>
      <w:bookmarkEnd w:id="1737"/>
      <w:bookmarkEnd w:id="1738"/>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39" w:name="_Toc26163"/>
      <w:bookmarkStart w:id="1740" w:name="_Toc16333"/>
      <w:r>
        <w:rPr>
          <w:rFonts w:hint="eastAsia" w:ascii="宋体" w:hAnsi="宋体" w:eastAsia="宋体" w:cs="Times New Roman"/>
          <w:b/>
          <w:color w:val="auto"/>
          <w:szCs w:val="21"/>
          <w:highlight w:val="none"/>
          <w:lang w:val="en-US" w:eastAsia="zh-CN"/>
        </w:rPr>
        <w:t>6.1文书档案整理</w:t>
      </w:r>
      <w:bookmarkEnd w:id="1739"/>
      <w:bookmarkEnd w:id="1740"/>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en-US" w:eastAsia="zh-CN"/>
        </w:rPr>
        <w:t>6.1.1参照标准：《企业文件材料归档范围和档案保管期限规定》（国家档案局第10号令）、《归档文件整理规则》（DA/T22-2015）、《南宁轨道交通运营有限公司档案管理办法》《南宁轨道交通运营有限公司档案分类方案、文件材料归档范围和档案保管期限表三合一制度》</w:t>
      </w:r>
      <w:r>
        <w:rPr>
          <w:rFonts w:hint="eastAsia" w:ascii="宋体" w:hAnsi="宋体" w:eastAsia="宋体" w:cs="Times New Roman"/>
          <w:color w:val="auto"/>
          <w:highlight w:val="none"/>
          <w:lang w:val="zh-CN" w:eastAsia="zh-CN"/>
        </w:rPr>
        <w:t>等有关文件精神。</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eastAsia="宋体" w:cs="宋体"/>
          <w:color w:val="auto"/>
          <w:sz w:val="21"/>
          <w:szCs w:val="21"/>
          <w:highlight w:val="none"/>
          <w:lang w:val="en-US" w:eastAsia="zh-CN"/>
        </w:rPr>
        <w:t>6.1.2</w:t>
      </w:r>
      <w:r>
        <w:rPr>
          <w:rFonts w:hint="eastAsia" w:ascii="宋体" w:hAnsi="宋体" w:eastAsia="宋体" w:cs="宋体"/>
          <w:color w:val="auto"/>
          <w:sz w:val="21"/>
          <w:szCs w:val="21"/>
          <w:highlight w:val="none"/>
        </w:rPr>
        <w:t>组件：按照以上标准要求对文件进行</w:t>
      </w:r>
      <w:r>
        <w:rPr>
          <w:rFonts w:hint="eastAsia" w:eastAsia="宋体" w:cs="宋体"/>
          <w:color w:val="auto"/>
          <w:sz w:val="21"/>
          <w:szCs w:val="21"/>
          <w:highlight w:val="none"/>
          <w:lang w:val="en-US" w:eastAsia="zh-CN"/>
        </w:rPr>
        <w:t>整理</w:t>
      </w:r>
      <w:r>
        <w:rPr>
          <w:rFonts w:hint="eastAsia" w:ascii="宋体" w:hAnsi="宋体" w:eastAsia="宋体" w:cs="宋体"/>
          <w:color w:val="auto"/>
          <w:sz w:val="21"/>
          <w:szCs w:val="21"/>
          <w:highlight w:val="none"/>
        </w:rPr>
        <w:t>组件。</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文件的构成：归档文件一般以每份文件为一件。正文、附件为一件；文件正本与定稿（包括重要文件的历次修改稿）为一件；转发文与被转发文为一件；原件与复制件为一件；正本与翻译本为一件；中文本与外文本为一件；报表、名册、图册等一册（本）为一件（作为文件附件时除外）；简报、周报等材料一期为一件；会议纪要、会议记录一般一次会议为一件，会议记录一年一本的，一本为一件；来文与复文（请示与批复、报告与批示、函与复函等）一般独立成件，也可为一件。有文件处理单或发文稿纸的，文件处理单或发文稿纸与相关文件为一件。</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件内文件排序：归档文件排序时，正文在前，附件在后；正本在前，定稿在后；转发文在前，被转发文在后；原件在前，复制件在后；不同文字的文本，无特殊规定的，汉文文本在前，少数民族文字文本在后；中文本在前，外文本在后；来文与复文作为一件时，复文在前，来文在后。有文件处理单或发文稿纸的，文件处理单在前，收文在后；正本在前，发文稿纸和定稿在后。</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6.1.3分类：归档文件应进行科学分类，分类方案应保持一致性和稳定性。依据《南宁轨道交通运营有限公司文件材料归档范围与保管期限表》对归档文件按照年度、保管期限等分类项进行分类。</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w:t>
      </w:r>
      <w:r>
        <w:rPr>
          <w:rFonts w:hint="eastAsia" w:ascii="宋体" w:hAnsi="宋体" w:eastAsia="宋体" w:cs="Times New Roman"/>
          <w:color w:val="auto"/>
          <w:highlight w:val="none"/>
          <w:lang w:val="en-US" w:eastAsia="zh-CN"/>
        </w:rPr>
        <w:t>1</w:t>
      </w:r>
      <w:r>
        <w:rPr>
          <w:rFonts w:hint="eastAsia" w:ascii="宋体" w:hAnsi="宋体" w:eastAsia="宋体" w:cs="Times New Roman"/>
          <w:color w:val="auto"/>
          <w:highlight w:val="none"/>
          <w:lang w:val="zh-CN" w:eastAsia="zh-CN"/>
        </w:rPr>
        <w:t>）按年度分类：将文件按其形成年度分类。跨年度一般应以文件签发日期为准。对于计划、总结、预算、统计报表、表彰先进等内容涉及不同年度的文件，统一按文件签发日期判定所属年度。跨年度形成的会议文件归入闭幕年。跨年度办理的文件归入办结年。当形成年度无法考证时，年度为其归档年度，并在附注项加以说明。</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（2）按保管期限分类：在同一年度内将文件按划定的保管期限分类。</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6.1.4排序：在分类方案的最低一级类目内，按时间结合事由排列；同一事由的文件，按文件形成先后顺序排列；会议文件、统计报表等成套性文件可集中排列。归档文件顺序，保持文件之间的有机联系。</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6.1.5编号：依分类方案和排列顺序编写归档文件的档号。档号编制应遵循唯一性、合理性、稳定性、扩充性、简单性原则。详细根据《南宁轨道交通运营有限公司档案分类方案、文件材料归档范围和档案保管期限表三合一管理规定》，文书档案档号结构为：全宗号－档案门类代码</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年度</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 xml:space="preserve">保管期限代码一件号，上、下位代码之间用短横线（短横）连接，同一级代码之间用间隔号“ </w:t>
      </w:r>
      <w:r>
        <w:rPr>
          <w:rFonts w:hint="eastAsia" w:ascii="宋体" w:hAnsi="宋体" w:eastAsia="宋体" w:cs="Times New Roman"/>
          <w:color w:val="auto"/>
          <w:highlight w:val="none"/>
          <w:lang w:val="en-US" w:eastAsia="en-US"/>
        </w:rPr>
        <w:t xml:space="preserve">• </w:t>
      </w:r>
      <w:r>
        <w:rPr>
          <w:rFonts w:hint="eastAsia" w:ascii="宋体" w:hAnsi="宋体" w:eastAsia="宋体" w:cs="Times New Roman"/>
          <w:color w:val="auto"/>
          <w:highlight w:val="none"/>
          <w:lang w:val="en-US" w:eastAsia="zh-CN"/>
        </w:rPr>
        <w:t>” （小圆点）隔开。如</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0000</w:t>
      </w:r>
      <w:r>
        <w:rPr>
          <w:rFonts w:hint="eastAsia" w:ascii="宋体" w:hAnsi="宋体" w:eastAsia="宋体" w:cs="Times New Roman"/>
          <w:color w:val="auto"/>
          <w:highlight w:val="none"/>
          <w:lang w:val="en-US" w:eastAsia="en-US"/>
        </w:rPr>
        <w:t>-WS • 2023-Y-0001”</w:t>
      </w:r>
      <w:r>
        <w:rPr>
          <w:rFonts w:hint="eastAsia" w:ascii="宋体" w:hAnsi="宋体" w:eastAsia="宋体" w:cs="Times New Roman"/>
          <w:color w:val="auto"/>
          <w:highlight w:val="none"/>
          <w:lang w:val="en-US" w:eastAsia="zh-CN"/>
        </w:rPr>
        <w:t>。</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（1）在归档文件应在首页右上端的空白位置加盖归档章并按要求填写相关内容。档号章的加盖必须清晰、整洁和端正。电子文件可以由系统生成归档章样式在归档文件上进行标识。</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color w:val="auto"/>
          <w:highlight w:val="none"/>
        </w:rPr>
      </w:pP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eastAsia="zh-CN"/>
        </w:rPr>
        <w:t>）归档章包含全宗号（</w:t>
      </w:r>
      <w:r>
        <w:rPr>
          <w:rFonts w:hint="eastAsia" w:ascii="宋体" w:hAnsi="宋体" w:eastAsia="宋体" w:cs="宋体"/>
          <w:color w:val="auto"/>
          <w:sz w:val="21"/>
          <w:szCs w:val="21"/>
          <w:highlight w:val="none"/>
          <w:lang w:val="en-US" w:eastAsia="zh-CN"/>
        </w:rPr>
        <w:t>运营公司无</w:t>
      </w:r>
      <w:r>
        <w:rPr>
          <w:rFonts w:hint="eastAsia" w:ascii="宋体" w:hAnsi="宋体" w:eastAsia="宋体" w:cs="宋体"/>
          <w:color w:val="auto"/>
          <w:sz w:val="21"/>
          <w:szCs w:val="21"/>
          <w:highlight w:val="none"/>
          <w:lang w:val="zh-CN" w:eastAsia="zh-CN"/>
        </w:rPr>
        <w:t>）、年度、保管期限、件号、页数的内容，式样</w:t>
      </w:r>
      <w:r>
        <w:rPr>
          <w:rFonts w:hint="eastAsia" w:ascii="宋体" w:hAnsi="宋体" w:eastAsia="宋体" w:cs="宋体"/>
          <w:color w:val="auto"/>
          <w:sz w:val="21"/>
          <w:szCs w:val="21"/>
          <w:highlight w:val="none"/>
          <w:lang w:val="en-US" w:eastAsia="zh-CN"/>
        </w:rPr>
        <w:t>及示例</w:t>
      </w:r>
      <w:r>
        <w:rPr>
          <w:rFonts w:hint="eastAsia" w:ascii="宋体" w:hAnsi="宋体" w:eastAsia="宋体" w:cs="宋体"/>
          <w:color w:val="auto"/>
          <w:sz w:val="21"/>
          <w:szCs w:val="21"/>
          <w:highlight w:val="none"/>
          <w:lang w:val="zh-CN" w:eastAsia="zh-CN"/>
        </w:rPr>
        <w:t>：</w:t>
      </w:r>
      <w:r>
        <w:rPr>
          <w:color w:val="auto"/>
          <w:highlight w:val="none"/>
        </w:rPr>
        <w:drawing>
          <wp:inline distT="0" distB="0" distL="114300" distR="114300">
            <wp:extent cx="3305175" cy="1200150"/>
            <wp:effectExtent l="0" t="0" r="952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20"/>
                    <a:stretch>
                      <a:fillRect/>
                    </a:stretch>
                  </pic:blipFill>
                  <pic:spPr>
                    <a:xfrm>
                      <a:off x="0" y="0"/>
                      <a:ext cx="3305175" cy="1200150"/>
                    </a:xfrm>
                    <a:prstGeom prst="rect">
                      <a:avLst/>
                    </a:prstGeom>
                    <a:noFill/>
                    <a:ln>
                      <a:noFill/>
                    </a:ln>
                  </pic:spPr>
                </pic:pic>
              </a:graphicData>
            </a:graphic>
          </wp:inline>
        </w:drawing>
      </w:r>
      <w:r>
        <w:rPr>
          <w:color w:val="auto"/>
          <w:highlight w:val="none"/>
        </w:rPr>
        <w:drawing>
          <wp:inline distT="0" distB="0" distL="114300" distR="114300">
            <wp:extent cx="1981200" cy="1152525"/>
            <wp:effectExtent l="0" t="0" r="0"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21"/>
                    <a:stretch>
                      <a:fillRect/>
                    </a:stretch>
                  </pic:blipFill>
                  <pic:spPr>
                    <a:xfrm>
                      <a:off x="0" y="0"/>
                      <a:ext cx="1981200" cy="1152525"/>
                    </a:xfrm>
                    <a:prstGeom prst="rect">
                      <a:avLst/>
                    </a:prstGeom>
                    <a:noFill/>
                    <a:ln>
                      <a:noFill/>
                    </a:ln>
                  </pic:spPr>
                </pic:pic>
              </a:graphicData>
            </a:graphic>
          </wp:inline>
        </w:drawing>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6.1.6修整：归档文件扫描、装订前，应对不符合要求的文件材料进行修整。归档文件已破损的，应按照《档案修裱技术规范》</w:t>
      </w:r>
      <w:r>
        <w:rPr>
          <w:rFonts w:hint="eastAsia" w:ascii="宋体" w:hAnsi="宋体" w:eastAsia="宋体" w:cs="Times New Roman"/>
          <w:color w:val="auto"/>
          <w:highlight w:val="none"/>
          <w:lang w:val="en-US" w:eastAsia="en-US"/>
        </w:rPr>
        <w:t>XDA/T25-2022）</w:t>
      </w:r>
      <w:r>
        <w:rPr>
          <w:rFonts w:hint="eastAsia" w:ascii="宋体" w:hAnsi="宋体" w:eastAsia="宋体" w:cs="Times New Roman"/>
          <w:color w:val="auto"/>
          <w:highlight w:val="none"/>
          <w:lang w:val="en-US" w:eastAsia="zh-CN"/>
        </w:rPr>
        <w:t>予以修复；字迹模糊或易退变的，应予复制；归档文件应去除易锈蚀、易氧化的金属或塑料装订用品；对于幅面过大的文件，应在不影响其日后使用效果的前提下折叠成A4幅面。幅面小于A4规格的须用空白A4纸张进行裱托。</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en-US" w:eastAsia="zh-CN"/>
        </w:rPr>
        <w:t>6.1.7</w:t>
      </w:r>
      <w:r>
        <w:rPr>
          <w:rFonts w:hint="eastAsia" w:ascii="宋体" w:hAnsi="宋体" w:eastAsia="宋体" w:cs="Times New Roman"/>
          <w:color w:val="auto"/>
          <w:highlight w:val="none"/>
          <w:lang w:val="zh-CN" w:eastAsia="zh-CN"/>
        </w:rPr>
        <w:t>编页：以件为单位编制页码，页码应逐页编制，宜用号码机标注在文件正面右下角或背面左下角的空白位置。文件材料已印制成册并编有页码的，拟编制页码与文件原有页码相同的，可以保持原有页码不变。</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6.1.8数字化扫描：归档文件应进行数字化全文扫描。扫描分辨率不小于</w:t>
      </w:r>
      <w:r>
        <w:rPr>
          <w:rFonts w:hint="eastAsia" w:ascii="宋体" w:hAnsi="宋体" w:eastAsia="宋体" w:cs="Times New Roman"/>
          <w:color w:val="auto"/>
          <w:highlight w:val="none"/>
          <w:lang w:val="en-US" w:eastAsia="en-US"/>
        </w:rPr>
        <w:t>300dpi</w:t>
      </w:r>
      <w:r>
        <w:rPr>
          <w:rFonts w:hint="eastAsia" w:ascii="宋体" w:hAnsi="宋体" w:eastAsia="宋体" w:cs="Times New Roman"/>
          <w:color w:val="auto"/>
          <w:highlight w:val="none"/>
          <w:lang w:val="en-US" w:eastAsia="zh-CN"/>
        </w:rPr>
        <w:t>，采用彩色扫描模式，保存为</w:t>
      </w:r>
      <w:r>
        <w:rPr>
          <w:rFonts w:hint="eastAsia" w:ascii="宋体" w:hAnsi="宋体" w:eastAsia="宋体" w:cs="Times New Roman"/>
          <w:color w:val="auto"/>
          <w:highlight w:val="none"/>
          <w:lang w:val="en-US" w:eastAsia="en-US"/>
        </w:rPr>
        <w:t>JPEG</w:t>
      </w:r>
      <w:r>
        <w:rPr>
          <w:rFonts w:hint="eastAsia" w:ascii="宋体" w:hAnsi="宋体" w:eastAsia="宋体" w:cs="Times New Roman"/>
          <w:color w:val="auto"/>
          <w:highlight w:val="none"/>
          <w:lang w:val="en-US" w:eastAsia="zh-CN"/>
        </w:rPr>
        <w:t>和双层</w:t>
      </w:r>
      <w:r>
        <w:rPr>
          <w:rFonts w:hint="eastAsia" w:ascii="宋体" w:hAnsi="宋体" w:eastAsia="宋体" w:cs="Times New Roman"/>
          <w:color w:val="auto"/>
          <w:highlight w:val="none"/>
          <w:lang w:val="en-US" w:eastAsia="en-US"/>
        </w:rPr>
        <w:t>PDF</w:t>
      </w:r>
      <w:r>
        <w:rPr>
          <w:rFonts w:hint="eastAsia" w:ascii="宋体" w:hAnsi="宋体" w:eastAsia="宋体" w:cs="Times New Roman"/>
          <w:color w:val="auto"/>
          <w:highlight w:val="none"/>
          <w:lang w:val="en-US" w:eastAsia="zh-CN"/>
        </w:rPr>
        <w:t>两种格式文件。扫描图像要清晰、完整、无色差、无变形、视觉上基本无偏斜，不影响档案利用。</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扫描文件命名为：档号（文件编号/文件标题），如</w:t>
      </w:r>
      <w:r>
        <w:rPr>
          <w:rFonts w:hint="eastAsia" w:ascii="宋体" w:hAnsi="宋体" w:eastAsia="宋体" w:cs="Times New Roman"/>
          <w:color w:val="auto"/>
          <w:highlight w:val="none"/>
          <w:lang w:val="en-US" w:eastAsia="zh-CN"/>
        </w:rPr>
        <w:br w:type="textWrapping"/>
      </w:r>
      <w:r>
        <w:rPr>
          <w:rFonts w:hint="eastAsia" w:ascii="宋体" w:hAnsi="宋体" w:eastAsia="宋体" w:cs="Times New Roman"/>
          <w:color w:val="auto"/>
          <w:highlight w:val="none"/>
          <w:lang w:val="en-US" w:eastAsia="en-US"/>
        </w:rPr>
        <w:t>“0</w:t>
      </w:r>
      <w:r>
        <w:rPr>
          <w:rFonts w:hint="eastAsia" w:ascii="宋体" w:hAnsi="宋体" w:eastAsia="宋体" w:cs="Times New Roman"/>
          <w:color w:val="auto"/>
          <w:highlight w:val="none"/>
          <w:lang w:val="en-US" w:eastAsia="zh-CN"/>
        </w:rPr>
        <w:t>000</w:t>
      </w:r>
      <w:r>
        <w:rPr>
          <w:rFonts w:hint="eastAsia" w:ascii="宋体" w:hAnsi="宋体" w:eastAsia="宋体" w:cs="Times New Roman"/>
          <w:color w:val="auto"/>
          <w:highlight w:val="none"/>
          <w:lang w:val="en-US" w:eastAsia="en-US"/>
        </w:rPr>
        <w:t>-WS</w:t>
      </w:r>
      <w:r>
        <w:rPr>
          <w:rFonts w:hint="eastAsia" w:ascii="宋体" w:hAnsi="宋体" w:eastAsia="宋体" w:cs="Times New Roman"/>
          <w:color w:val="auto"/>
          <w:highlight w:val="none"/>
          <w:lang w:val="en-US" w:eastAsia="zh-CN"/>
        </w:rPr>
        <w:t>・</w:t>
      </w:r>
      <w:r>
        <w:rPr>
          <w:rFonts w:hint="eastAsia" w:ascii="宋体" w:hAnsi="宋体" w:eastAsia="宋体" w:cs="Times New Roman"/>
          <w:color w:val="auto"/>
          <w:highlight w:val="none"/>
          <w:lang w:val="en-US" w:eastAsia="en-US"/>
        </w:rPr>
        <w:t xml:space="preserve">2023-Y-0001 </w:t>
      </w:r>
      <w:r>
        <w:rPr>
          <w:rFonts w:hint="eastAsia" w:ascii="宋体" w:hAnsi="宋体" w:eastAsia="宋体" w:cs="Times New Roman"/>
          <w:color w:val="auto"/>
          <w:highlight w:val="none"/>
          <w:lang w:val="en-US" w:eastAsia="zh-CN"/>
        </w:rPr>
        <w:t>（南轨运营发</w:t>
      </w:r>
      <w:r>
        <w:rPr>
          <w:rFonts w:hint="eastAsia" w:ascii="宋体" w:hAnsi="宋体" w:eastAsia="宋体" w:cs="宋体"/>
          <w:color w:val="auto"/>
          <w:highlight w:val="none"/>
          <w:lang w:val="en-US" w:eastAsia="zh-CN"/>
        </w:rPr>
        <w:t>[</w:t>
      </w:r>
      <w:r>
        <w:rPr>
          <w:rFonts w:hint="eastAsia" w:ascii="宋体" w:hAnsi="宋体" w:eastAsia="宋体" w:cs="Times New Roman"/>
          <w:color w:val="auto"/>
          <w:highlight w:val="none"/>
          <w:lang w:val="en-US" w:eastAsia="zh-CN"/>
        </w:rPr>
        <w:t>2016</w:t>
      </w:r>
      <w:r>
        <w:rPr>
          <w:rFonts w:hint="eastAsia" w:ascii="宋体" w:hAnsi="宋体" w:eastAsia="宋体" w:cs="宋体"/>
          <w:color w:val="auto"/>
          <w:highlight w:val="none"/>
          <w:lang w:val="en-US" w:eastAsia="zh-CN"/>
        </w:rPr>
        <w:t>]</w:t>
      </w:r>
      <w:r>
        <w:rPr>
          <w:rFonts w:hint="eastAsia" w:ascii="宋体" w:hAnsi="宋体" w:eastAsia="宋体" w:cs="Times New Roman"/>
          <w:color w:val="auto"/>
          <w:highlight w:val="none"/>
          <w:lang w:val="en-US" w:eastAsia="zh-CN"/>
        </w:rPr>
        <w:t xml:space="preserve"> 1 号，关于 XXX 等同志任职的通知）”。</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6.1.9装订：以件为单位，采用“三孔一线”棉线装订。页面靠左靠下对齐，采用装订针或打孔机在装订边打孔，孔距页面左边线为1cm，距上下边线为3cm，用棉线穿孔并拉紧实，在背面中孔打死结，装订好的归档文件不得出现松垮现象。归档文件装订应牢固、安全、简便，做到文件不损页、不倒页、不压字，装订后文件平整，尽量减少对归档文件本身影响，原装订方式符合要求的，应维持不变。</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en-US"/>
        </w:rPr>
      </w:pPr>
      <w:r>
        <w:rPr>
          <w:rFonts w:hint="eastAsia" w:ascii="宋体" w:hAnsi="宋体" w:eastAsia="宋体" w:cs="Times New Roman"/>
          <w:color w:val="auto"/>
          <w:highlight w:val="none"/>
          <w:lang w:val="en-US" w:eastAsia="zh-CN"/>
        </w:rPr>
        <w:t>6.1.10</w:t>
      </w:r>
      <w:r>
        <w:rPr>
          <w:rFonts w:hint="eastAsia" w:ascii="宋体" w:hAnsi="宋体" w:eastAsia="宋体" w:cs="Times New Roman"/>
          <w:color w:val="auto"/>
          <w:highlight w:val="none"/>
          <w:lang w:val="en-US" w:eastAsia="en-US"/>
        </w:rPr>
        <w:t>编目</w:t>
      </w:r>
      <w:r>
        <w:rPr>
          <w:rFonts w:hint="eastAsia" w:ascii="宋体" w:hAnsi="宋体" w:eastAsia="宋体" w:cs="Times New Roman"/>
          <w:color w:val="auto"/>
          <w:highlight w:val="none"/>
          <w:lang w:val="en-US" w:eastAsia="zh-CN"/>
        </w:rPr>
        <w:t>与扫描文件挂接</w:t>
      </w:r>
      <w:r>
        <w:rPr>
          <w:rFonts w:hint="eastAsia" w:ascii="宋体" w:hAnsi="宋体" w:eastAsia="宋体" w:cs="Times New Roman"/>
          <w:color w:val="auto"/>
          <w:highlight w:val="none"/>
          <w:lang w:val="en-US" w:eastAsia="en-US"/>
        </w:rPr>
        <w:t>：在</w:t>
      </w:r>
      <w:r>
        <w:rPr>
          <w:rFonts w:hint="eastAsia" w:ascii="宋体" w:hAnsi="宋体" w:eastAsia="宋体" w:cs="Times New Roman"/>
          <w:color w:val="auto"/>
          <w:highlight w:val="none"/>
          <w:lang w:val="en-US" w:eastAsia="zh-CN"/>
        </w:rPr>
        <w:t>比选人</w:t>
      </w:r>
      <w:r>
        <w:rPr>
          <w:rFonts w:hint="eastAsia" w:ascii="宋体" w:hAnsi="宋体" w:eastAsia="宋体" w:cs="Times New Roman"/>
          <w:color w:val="auto"/>
          <w:highlight w:val="none"/>
          <w:lang w:val="en-US" w:eastAsia="en-US"/>
        </w:rPr>
        <w:t>已有的档案信息化管理系统中依据档号顺序逐件编制归档文件目录。</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w:t>
      </w:r>
      <w:r>
        <w:rPr>
          <w:rFonts w:hint="eastAsia" w:ascii="宋体" w:hAnsi="宋体" w:eastAsia="宋体" w:cs="Times New Roman"/>
          <w:color w:val="auto"/>
          <w:highlight w:val="none"/>
          <w:lang w:val="en-US" w:eastAsia="en-US"/>
        </w:rPr>
        <w:t>归档文件应逐件编目，归档文件目录设置序号、档号、文号、责任者、题名、日期、密级、页数、备注等项目</w:t>
      </w:r>
      <w:r>
        <w:rPr>
          <w:rFonts w:hint="eastAsia" w:ascii="宋体" w:hAnsi="宋体" w:eastAsia="宋体" w:cs="Times New Roman"/>
          <w:color w:val="auto"/>
          <w:highlight w:val="none"/>
          <w:lang w:val="en-US" w:eastAsia="zh-CN"/>
        </w:rPr>
        <w:t>，</w:t>
      </w:r>
      <w:r>
        <w:rPr>
          <w:rFonts w:hint="eastAsia" w:ascii="宋体" w:hAnsi="宋体" w:eastAsia="宋体" w:cs="Times New Roman"/>
          <w:color w:val="auto"/>
          <w:highlight w:val="none"/>
          <w:lang w:val="en-US" w:eastAsia="en-US"/>
        </w:rPr>
        <w:t>归档文件目录样式应符合</w:t>
      </w:r>
      <w:r>
        <w:rPr>
          <w:rFonts w:hint="eastAsia" w:ascii="宋体" w:hAnsi="宋体" w:eastAsia="宋体" w:cs="Times New Roman"/>
          <w:color w:val="auto"/>
          <w:highlight w:val="none"/>
          <w:lang w:val="en-US" w:eastAsia="zh-CN"/>
        </w:rPr>
        <w:t>比选人</w:t>
      </w:r>
      <w:r>
        <w:rPr>
          <w:rFonts w:hint="eastAsia" w:ascii="宋体" w:hAnsi="宋体" w:eastAsia="宋体" w:cs="Times New Roman"/>
          <w:color w:val="auto"/>
          <w:highlight w:val="none"/>
          <w:lang w:val="en-US" w:eastAsia="en-US"/>
        </w:rPr>
        <w:t>要求。归档文件目录应排列在盒内归档文件首页之前</w:t>
      </w:r>
      <w:r>
        <w:rPr>
          <w:rFonts w:hint="eastAsia" w:ascii="宋体" w:hAnsi="宋体" w:eastAsia="宋体" w:cs="Times New Roman"/>
          <w:color w:val="auto"/>
          <w:highlight w:val="none"/>
          <w:lang w:val="en-US" w:eastAsia="zh-CN"/>
        </w:rPr>
        <w:t>。</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（2）关于题名要求，对于</w:t>
      </w:r>
      <w:r>
        <w:rPr>
          <w:rFonts w:hint="eastAsia" w:ascii="宋体" w:hAnsi="宋体" w:eastAsia="宋体" w:cs="Times New Roman"/>
          <w:color w:val="auto"/>
          <w:highlight w:val="none"/>
          <w:lang w:val="en-US" w:eastAsia="en-US"/>
        </w:rPr>
        <w:t>没有标题、标题不规范，或者标题不能反映文件主要内容、不方便检索的，应全部或部分自拟标题，自拟内容外加方括号“</w:t>
      </w:r>
      <w:r>
        <w:rPr>
          <w:rFonts w:hint="eastAsia" w:ascii="宋体" w:hAnsi="宋体" w:eastAsia="宋体" w:cs="Times New Roman"/>
          <w:color w:val="auto"/>
          <w:highlight w:val="none"/>
          <w:lang w:val="en-US" w:eastAsia="zh-CN"/>
        </w:rPr>
        <w:t>[]</w:t>
      </w:r>
      <w:r>
        <w:rPr>
          <w:rFonts w:hint="eastAsia" w:ascii="宋体" w:hAnsi="宋体" w:eastAsia="宋体" w:cs="Times New Roman"/>
          <w:color w:val="auto"/>
          <w:highlight w:val="none"/>
          <w:lang w:val="en-US" w:eastAsia="en-US"/>
        </w:rPr>
        <w:t>”。来文与复文作为一件时，对复文的编目应体现来文内容。</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en-US"/>
        </w:rPr>
      </w:pPr>
      <w:r>
        <w:rPr>
          <w:rFonts w:hint="eastAsia" w:ascii="宋体" w:hAnsi="宋体" w:eastAsia="宋体" w:cs="Times New Roman"/>
          <w:color w:val="auto"/>
          <w:highlight w:val="none"/>
          <w:lang w:val="en-US" w:eastAsia="zh-CN"/>
        </w:rPr>
        <w:t>（3）归档文件目录著录的信息</w:t>
      </w:r>
      <w:r>
        <w:rPr>
          <w:rFonts w:hint="eastAsia" w:ascii="宋体" w:hAnsi="宋体" w:eastAsia="宋体" w:cs="Times New Roman"/>
          <w:color w:val="auto"/>
          <w:highlight w:val="none"/>
          <w:lang w:val="en-US" w:eastAsia="en-US"/>
        </w:rPr>
        <w:t>应准确、详细，便于检索</w:t>
      </w:r>
      <w:r>
        <w:rPr>
          <w:rFonts w:hint="eastAsia" w:ascii="宋体" w:hAnsi="宋体" w:eastAsia="宋体" w:cs="Times New Roman"/>
          <w:color w:val="auto"/>
          <w:highlight w:val="none"/>
          <w:lang w:val="en-US" w:eastAsia="zh-CN"/>
        </w:rPr>
        <w:t>，</w:t>
      </w:r>
      <w:r>
        <w:rPr>
          <w:rFonts w:hint="eastAsia" w:ascii="宋体" w:hAnsi="宋体" w:eastAsia="宋体" w:cs="Times New Roman"/>
          <w:color w:val="auto"/>
          <w:highlight w:val="none"/>
          <w:lang w:val="en-US" w:eastAsia="en-US"/>
        </w:rPr>
        <w:t>编目完成后应将目录上传至公司档案</w:t>
      </w:r>
      <w:r>
        <w:rPr>
          <w:rFonts w:hint="eastAsia" w:ascii="宋体" w:hAnsi="宋体" w:eastAsia="宋体" w:cs="Times New Roman"/>
          <w:color w:val="auto"/>
          <w:highlight w:val="none"/>
          <w:lang w:val="en-US" w:eastAsia="zh-CN"/>
        </w:rPr>
        <w:t>管理</w:t>
      </w:r>
      <w:r>
        <w:rPr>
          <w:rFonts w:hint="eastAsia" w:ascii="宋体" w:hAnsi="宋体" w:eastAsia="宋体" w:cs="Times New Roman"/>
          <w:color w:val="auto"/>
          <w:highlight w:val="none"/>
          <w:lang w:val="en-US" w:eastAsia="en-US"/>
        </w:rPr>
        <w:t>系统</w:t>
      </w:r>
      <w:r>
        <w:rPr>
          <w:rFonts w:hint="eastAsia" w:ascii="宋体" w:hAnsi="宋体" w:eastAsia="宋体" w:cs="Times New Roman"/>
          <w:color w:val="auto"/>
          <w:highlight w:val="none"/>
          <w:lang w:val="en-US" w:eastAsia="zh-CN"/>
        </w:rPr>
        <w:t>，</w:t>
      </w:r>
      <w:r>
        <w:rPr>
          <w:rFonts w:hint="eastAsia" w:ascii="宋体" w:hAnsi="宋体" w:eastAsia="宋体" w:cs="Times New Roman"/>
          <w:color w:val="auto"/>
          <w:highlight w:val="none"/>
          <w:lang w:val="en-US" w:eastAsia="en-US"/>
        </w:rPr>
        <w:t>档案数字化扫描文件应逐件、准确挂接到公司档案</w:t>
      </w:r>
      <w:r>
        <w:rPr>
          <w:rFonts w:hint="eastAsia" w:ascii="宋体" w:hAnsi="宋体" w:eastAsia="宋体" w:cs="Times New Roman"/>
          <w:color w:val="auto"/>
          <w:highlight w:val="none"/>
          <w:lang w:val="en-US" w:eastAsia="zh-CN"/>
        </w:rPr>
        <w:t>管理</w:t>
      </w:r>
      <w:r>
        <w:rPr>
          <w:rFonts w:hint="eastAsia" w:ascii="宋体" w:hAnsi="宋体" w:eastAsia="宋体" w:cs="Times New Roman"/>
          <w:color w:val="auto"/>
          <w:highlight w:val="none"/>
          <w:lang w:val="en-US" w:eastAsia="en-US"/>
        </w:rPr>
        <w:t>系统对应的条目中。</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en-US"/>
        </w:rPr>
      </w:pPr>
      <w:r>
        <w:rPr>
          <w:rFonts w:hint="eastAsia" w:ascii="宋体" w:hAnsi="宋体" w:eastAsia="宋体" w:cs="Times New Roman"/>
          <w:color w:val="auto"/>
          <w:highlight w:val="none"/>
          <w:lang w:val="en-US" w:eastAsia="zh-CN"/>
        </w:rPr>
        <w:t>6.1.11</w:t>
      </w:r>
      <w:r>
        <w:rPr>
          <w:rFonts w:hint="eastAsia" w:ascii="宋体" w:hAnsi="宋体" w:eastAsia="宋体" w:cs="Times New Roman"/>
          <w:color w:val="auto"/>
          <w:highlight w:val="none"/>
          <w:lang w:val="en-US" w:eastAsia="en-US"/>
        </w:rPr>
        <w:t>装盒：将归档文件按顺序装入档案盒，并编制档案盒盒脊及备考表</w:t>
      </w:r>
      <w:r>
        <w:rPr>
          <w:rFonts w:hint="eastAsia" w:ascii="宋体" w:hAnsi="宋体" w:eastAsia="宋体" w:cs="Times New Roman"/>
          <w:color w:val="auto"/>
          <w:highlight w:val="none"/>
          <w:lang w:val="en-US" w:eastAsia="zh-CN"/>
        </w:rPr>
        <w:t>，</w:t>
      </w:r>
      <w:r>
        <w:rPr>
          <w:rFonts w:hint="eastAsia" w:ascii="宋体" w:hAnsi="宋体" w:eastAsia="宋体" w:cs="Times New Roman"/>
          <w:color w:val="auto"/>
          <w:highlight w:val="none"/>
          <w:lang w:val="en-US" w:eastAsia="en-US"/>
        </w:rPr>
        <w:t>不同年度、保管期限的归档文件不能装入同一个档案盒。档案盒封面应标明全宗全称</w:t>
      </w:r>
      <w:r>
        <w:rPr>
          <w:rFonts w:hint="eastAsia" w:ascii="宋体" w:hAnsi="宋体" w:eastAsia="宋体" w:cs="Times New Roman"/>
          <w:color w:val="auto"/>
          <w:highlight w:val="none"/>
          <w:lang w:val="en-US" w:eastAsia="zh-CN"/>
        </w:rPr>
        <w:t>，</w:t>
      </w:r>
      <w:r>
        <w:rPr>
          <w:rFonts w:hint="eastAsia" w:ascii="宋体" w:hAnsi="宋体" w:eastAsia="宋体" w:cs="Times New Roman"/>
          <w:color w:val="auto"/>
          <w:highlight w:val="none"/>
          <w:lang w:val="en-US" w:eastAsia="en-US"/>
        </w:rPr>
        <w:t>归档文件装盒厚度一般不超过30mm，装订成册的资料或图纸根据实际选择合适厚度的档案盒装盒。归档文件前面放置本盒归档文件目录，归档文件后面放置本盒备考表。</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6.1.12排架：归档文件整理完毕装盒后，按年度、保管期限依次上架，便于实体管理。排架方法应避免频繁倒架。</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41" w:name="_Toc25027"/>
      <w:bookmarkStart w:id="1742" w:name="_Toc11511"/>
      <w:r>
        <w:rPr>
          <w:rFonts w:hint="eastAsia" w:ascii="宋体" w:hAnsi="宋体" w:eastAsia="宋体" w:cs="Times New Roman"/>
          <w:b/>
          <w:color w:val="auto"/>
          <w:szCs w:val="21"/>
          <w:highlight w:val="none"/>
          <w:lang w:val="en-US" w:eastAsia="zh-CN"/>
        </w:rPr>
        <w:t>6.2科技档案整理（含图纸整理）</w:t>
      </w:r>
      <w:bookmarkEnd w:id="1741"/>
      <w:bookmarkEnd w:id="1742"/>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en-US"/>
        </w:rPr>
      </w:pPr>
      <w:r>
        <w:rPr>
          <w:rFonts w:hint="eastAsia" w:ascii="宋体" w:hAnsi="宋体" w:eastAsia="宋体" w:cs="Times New Roman"/>
          <w:color w:val="auto"/>
          <w:highlight w:val="none"/>
          <w:lang w:val="en-US" w:eastAsia="zh-CN"/>
        </w:rPr>
        <w:t>6.2.1</w:t>
      </w:r>
      <w:r>
        <w:rPr>
          <w:rFonts w:hint="eastAsia" w:ascii="宋体" w:hAnsi="宋体" w:eastAsia="宋体" w:cs="Times New Roman"/>
          <w:color w:val="auto"/>
          <w:highlight w:val="none"/>
          <w:lang w:val="en-US" w:eastAsia="en-US"/>
        </w:rPr>
        <w:t>参照标准：《国家重大建设项目文件归档要求与档案整理规范》（DA/T 28 -2002）、《建设工程文件归档规范》（GBT 50328-2014）、《城市轨道交通工程档案整理标准》（CJJ/T 180-2012），《南宁轨道交通集团有限责任公司城市轨道交通工程档案管理实施细则》以及南宁市城建档案馆的整理要求（由</w:t>
      </w:r>
      <w:r>
        <w:rPr>
          <w:rFonts w:hint="eastAsia" w:ascii="宋体" w:hAnsi="宋体" w:eastAsia="宋体" w:cs="Times New Roman"/>
          <w:color w:val="auto"/>
          <w:highlight w:val="none"/>
          <w:lang w:val="en-US" w:eastAsia="zh-CN"/>
        </w:rPr>
        <w:t>比选申请人</w:t>
      </w:r>
      <w:r>
        <w:rPr>
          <w:rFonts w:hint="eastAsia" w:ascii="宋体" w:hAnsi="宋体" w:eastAsia="宋体" w:cs="Times New Roman"/>
          <w:color w:val="auto"/>
          <w:highlight w:val="none"/>
          <w:lang w:val="en-US" w:eastAsia="en-US"/>
        </w:rPr>
        <w:t>与档案馆对接落实具体要求）。</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6.2.2</w:t>
      </w:r>
      <w:r>
        <w:rPr>
          <w:rFonts w:hint="eastAsia" w:ascii="宋体" w:hAnsi="宋体" w:eastAsia="宋体" w:cs="Times New Roman"/>
          <w:color w:val="auto"/>
          <w:highlight w:val="none"/>
          <w:lang w:val="en-US" w:eastAsia="en-US"/>
        </w:rPr>
        <w:t>组卷</w:t>
      </w:r>
      <w:r>
        <w:rPr>
          <w:rFonts w:hint="eastAsia" w:ascii="宋体" w:hAnsi="宋体" w:eastAsia="宋体" w:cs="Times New Roman"/>
          <w:color w:val="auto"/>
          <w:highlight w:val="none"/>
          <w:lang w:val="en-US" w:eastAsia="zh-CN"/>
        </w:rPr>
        <w:t>及分类</w:t>
      </w:r>
      <w:r>
        <w:rPr>
          <w:rFonts w:hint="eastAsia" w:ascii="宋体" w:hAnsi="宋体" w:eastAsia="宋体" w:cs="Times New Roman"/>
          <w:color w:val="auto"/>
          <w:highlight w:val="none"/>
          <w:lang w:val="en-US" w:eastAsia="en-US"/>
        </w:rPr>
        <w:t>：科技档案按“卷”进行归档整理</w:t>
      </w:r>
      <w:r>
        <w:rPr>
          <w:rFonts w:hint="eastAsia" w:ascii="宋体" w:hAnsi="宋体" w:eastAsia="宋体" w:cs="Times New Roman"/>
          <w:color w:val="auto"/>
          <w:highlight w:val="none"/>
          <w:lang w:val="en-US" w:eastAsia="zh-CN"/>
        </w:rPr>
        <w:t>，</w:t>
      </w:r>
      <w:r>
        <w:rPr>
          <w:rFonts w:hint="eastAsia" w:ascii="宋体" w:hAnsi="宋体" w:eastAsia="宋体" w:cs="Times New Roman"/>
          <w:color w:val="auto"/>
          <w:highlight w:val="none"/>
          <w:lang w:val="en-US" w:eastAsia="en-US"/>
        </w:rPr>
        <w:t>科技档案二级类目分为科研（KJ·KY）、基建（KJ·JJ）、设备仪器（KJ·SB）共3类。</w:t>
      </w:r>
      <w:r>
        <w:rPr>
          <w:rFonts w:hint="eastAsia" w:ascii="宋体" w:hAnsi="宋体" w:eastAsia="宋体" w:cs="Times New Roman"/>
          <w:color w:val="auto"/>
          <w:highlight w:val="none"/>
          <w:lang w:val="en-US" w:eastAsia="zh-CN"/>
        </w:rPr>
        <w:t>科研课题</w:t>
      </w:r>
      <w:r>
        <w:rPr>
          <w:rFonts w:hint="eastAsia" w:ascii="宋体" w:hAnsi="宋体" w:eastAsia="宋体" w:cs="Times New Roman"/>
          <w:color w:val="auto"/>
          <w:highlight w:val="none"/>
          <w:lang w:val="en-US" w:eastAsia="en-US"/>
        </w:rPr>
        <w:t>、建设项目、设备仪器方面的科技文件，应按其项目、结构、阶段或台（套）等分别组卷</w:t>
      </w:r>
      <w:r>
        <w:rPr>
          <w:rFonts w:hint="eastAsia" w:ascii="宋体" w:hAnsi="宋体" w:eastAsia="宋体" w:cs="Times New Roman"/>
          <w:color w:val="auto"/>
          <w:highlight w:val="none"/>
          <w:lang w:val="en-US" w:eastAsia="zh-CN"/>
        </w:rPr>
        <w:t>。</w:t>
      </w:r>
      <w:r>
        <w:rPr>
          <w:rFonts w:hint="eastAsia" w:ascii="宋体" w:hAnsi="宋体" w:eastAsia="宋体" w:cs="Times New Roman"/>
          <w:color w:val="auto"/>
          <w:highlight w:val="none"/>
          <w:lang w:val="en-US" w:eastAsia="en-US"/>
        </w:rPr>
        <w:t>立项文件、征地拆迁文件、</w:t>
      </w:r>
      <w:r>
        <w:rPr>
          <w:rFonts w:hint="eastAsia" w:ascii="宋体" w:hAnsi="宋体" w:cs="Times New Roman"/>
          <w:color w:val="auto"/>
          <w:highlight w:val="none"/>
          <w:lang w:val="en-US" w:eastAsia="zh-CN"/>
        </w:rPr>
        <w:t>比选</w:t>
      </w:r>
      <w:r>
        <w:rPr>
          <w:rFonts w:hint="eastAsia" w:ascii="宋体" w:hAnsi="宋体" w:eastAsia="宋体" w:cs="Times New Roman"/>
          <w:color w:val="auto"/>
          <w:highlight w:val="none"/>
          <w:lang w:val="en-US" w:eastAsia="en-US"/>
        </w:rPr>
        <w:t>文件、合同协议按建设程序、专业、时间顺序进行组卷；勘察测量文件按单位工程进行组卷；初步设计、施工图设计按单位工程、分专业进行组卷。科研</w:t>
      </w:r>
      <w:r>
        <w:rPr>
          <w:rFonts w:hint="eastAsia" w:ascii="宋体" w:hAnsi="宋体" w:eastAsia="宋体" w:cs="Times New Roman"/>
          <w:color w:val="auto"/>
          <w:highlight w:val="none"/>
          <w:lang w:val="en-US" w:eastAsia="zh-CN"/>
        </w:rPr>
        <w:t>档案。</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6.2.3排序：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en-US"/>
        </w:rPr>
      </w:pPr>
      <w:r>
        <w:rPr>
          <w:rFonts w:hint="eastAsia" w:ascii="宋体" w:hAnsi="宋体" w:eastAsia="宋体" w:cs="Times New Roman"/>
          <w:color w:val="auto"/>
          <w:highlight w:val="none"/>
          <w:lang w:val="en-US" w:eastAsia="zh-CN"/>
        </w:rPr>
        <w:t>（1）</w:t>
      </w:r>
      <w:r>
        <w:rPr>
          <w:rFonts w:hint="eastAsia" w:ascii="宋体" w:hAnsi="宋体" w:eastAsia="宋体" w:cs="Times New Roman"/>
          <w:color w:val="auto"/>
          <w:highlight w:val="none"/>
          <w:lang w:val="en-US" w:eastAsia="en-US"/>
        </w:rPr>
        <w:t>科研类案卷宜按课题可行性研究立项、方案论证、研究实验、总结鉴定、成果和知识产权申报、推广应用等阶段排列。</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en-US"/>
        </w:rPr>
      </w:pPr>
      <w:r>
        <w:rPr>
          <w:rFonts w:hint="eastAsia" w:ascii="宋体" w:hAnsi="宋体" w:eastAsia="宋体" w:cs="Times New Roman"/>
          <w:color w:val="auto"/>
          <w:highlight w:val="none"/>
          <w:lang w:val="en-US" w:eastAsia="zh-CN"/>
        </w:rPr>
        <w:t>（2）</w:t>
      </w:r>
      <w:r>
        <w:rPr>
          <w:rFonts w:hint="eastAsia" w:ascii="宋体" w:hAnsi="宋体" w:eastAsia="宋体" w:cs="Times New Roman"/>
          <w:color w:val="auto"/>
          <w:highlight w:val="none"/>
          <w:lang w:val="en-US" w:eastAsia="en-US"/>
        </w:rPr>
        <w:t>建设项目类案卷宜按项目前期、项目设计、项目施工、项目监理、项目竣工、项目验收及项目后评估等阶段排列。</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w:t>
      </w:r>
      <w:r>
        <w:rPr>
          <w:rFonts w:hint="eastAsia" w:ascii="宋体" w:hAnsi="宋体" w:eastAsia="宋体" w:cs="Times New Roman"/>
          <w:color w:val="auto"/>
          <w:highlight w:val="none"/>
          <w:lang w:val="en-US" w:eastAsia="en-US"/>
        </w:rPr>
        <w:t>设备仪器类案卷宜按设备仪器立项审批、外购设备仪器开箱验收（自制设备仪器的设计、制造、验收）、设备仪器安装调试、随机文件材料、设备仪器运行、设备仪器维护等阶段或工作程序排列。</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6.2.4编页：以“卷”为单位，有书写内容的页面均要用阿拉伯数字从“1”起，依次编写页码。单面书写的文件在右下角；双面书写的文件，正面在右下角，背面在左下角。案卷封面、卷内目录、卷内备考表不编写页号。页码统一使用自动号码机以及不易褪色的黑色印油编制。</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6.2.5编号：依分类方案和排列顺序编写案卷的档号。档号编制应遵循唯一性、合理性的原则。设计图卷应以“张”为单位逐张图纸加盖档号章，档号章应加盖在折叠后的图纸正面右上角。</w:t>
      </w:r>
      <w:r>
        <w:rPr>
          <w:rFonts w:hint="eastAsia" w:ascii="宋体" w:hAnsi="宋体" w:cs="Times New Roman"/>
          <w:color w:val="auto"/>
          <w:highlight w:val="none"/>
          <w:lang w:val="en-US" w:eastAsia="zh-CN"/>
        </w:rPr>
        <w:t>比选文件</w:t>
      </w:r>
      <w:r>
        <w:rPr>
          <w:rFonts w:hint="eastAsia" w:ascii="宋体" w:hAnsi="宋体" w:eastAsia="宋体" w:cs="Times New Roman"/>
          <w:color w:val="auto"/>
          <w:highlight w:val="none"/>
          <w:lang w:val="en-US" w:eastAsia="zh-CN"/>
        </w:rPr>
        <w:t>、合同等资料以“份”为单位加盖档号章。档号章的加盖必须清晰、整洁和端正。</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（1）科研档案档号结构为：全宗号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档案门类代码·二级门类代码·课题号-案卷号。</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科研档号编制示例：</w:t>
      </w:r>
      <w:r>
        <w:rPr>
          <w:rFonts w:hint="eastAsia" w:ascii="仿宋" w:hAnsi="仿宋" w:eastAsia="仿宋" w:cs="仿宋"/>
          <w:snapToGrid w:val="0"/>
          <w:color w:val="auto"/>
          <w:highlight w:val="none"/>
        </w:rPr>
        <w:t>0000-KJ</w:t>
      </w:r>
      <w:r>
        <w:rPr>
          <w:rFonts w:hint="eastAsia" w:ascii="仿宋" w:hAnsi="仿宋" w:eastAsia="仿宋" w:cs="仿宋"/>
          <w:color w:val="auto"/>
          <w:highlight w:val="none"/>
        </w:rPr>
        <w:t>·KY·</w:t>
      </w:r>
      <w:r>
        <w:rPr>
          <w:rFonts w:hint="eastAsia" w:ascii="仿宋" w:hAnsi="仿宋" w:eastAsia="仿宋" w:cs="仿宋"/>
          <w:snapToGrid w:val="0"/>
          <w:color w:val="auto"/>
          <w:highlight w:val="none"/>
        </w:rPr>
        <w:t>0001-001</w:t>
      </w:r>
    </w:p>
    <w:tbl>
      <w:tblPr>
        <w:tblStyle w:val="33"/>
        <w:tblpPr w:leftFromText="180" w:rightFromText="180" w:vertAnchor="text" w:horzAnchor="page" w:tblpX="4276"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档  号</w:t>
            </w:r>
          </w:p>
        </w:tc>
        <w:tc>
          <w:tcPr>
            <w:tcW w:w="13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序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9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仿宋" w:hAnsi="仿宋" w:eastAsia="仿宋" w:cs="仿宋"/>
                <w:snapToGrid w:val="0"/>
                <w:color w:val="auto"/>
                <w:highlight w:val="none"/>
              </w:rPr>
              <w:t>KJ</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KY</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1-1</w:t>
            </w:r>
          </w:p>
        </w:tc>
        <w:tc>
          <w:tcPr>
            <w:tcW w:w="13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1</w:t>
            </w:r>
          </w:p>
        </w:tc>
      </w:tr>
    </w:tbl>
    <w:p>
      <w:pPr>
        <w:keepNext w:val="0"/>
        <w:keepLines w:val="0"/>
        <w:pageBreakBefore w:val="0"/>
        <w:kinsoku/>
        <w:wordWrap/>
        <w:overflowPunct/>
        <w:topLinePunct w:val="0"/>
        <w:bidi w:val="0"/>
        <w:adjustRightInd w:val="0"/>
        <w:snapToGrid w:val="0"/>
        <w:spacing w:before="0" w:after="0" w:afterAutospacing="0" w:line="360" w:lineRule="auto"/>
        <w:ind w:left="0" w:right="0" w:firstLine="420" w:firstLineChars="200"/>
        <w:rPr>
          <w:rFonts w:hint="eastAsia" w:ascii="仿宋" w:hAnsi="仿宋" w:eastAsia="仿宋" w:cs="仿宋"/>
          <w:snapToGrid w:val="0"/>
          <w:color w:val="auto"/>
          <w:highlight w:val="none"/>
        </w:rPr>
      </w:pPr>
      <w:r>
        <w:rPr>
          <w:rFonts w:hint="eastAsia" w:ascii="仿宋" w:hAnsi="仿宋" w:eastAsia="仿宋" w:cs="仿宋"/>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1580515</wp:posOffset>
                </wp:positionH>
                <wp:positionV relativeFrom="paragraph">
                  <wp:posOffset>165735</wp:posOffset>
                </wp:positionV>
                <wp:extent cx="635" cy="1057275"/>
                <wp:effectExtent l="48895" t="0" r="64770" b="9525"/>
                <wp:wrapNone/>
                <wp:docPr id="10" name="直接连接符 10"/>
                <wp:cNvGraphicFramePr/>
                <a:graphic xmlns:a="http://schemas.openxmlformats.org/drawingml/2006/main">
                  <a:graphicData uri="http://schemas.microsoft.com/office/word/2010/wordprocessingShape">
                    <wps:wsp>
                      <wps:cNvCnPr/>
                      <wps:spPr>
                        <a:xfrm>
                          <a:off x="0" y="0"/>
                          <a:ext cx="635" cy="105727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24.45pt;margin-top:13.05pt;height:83.25pt;width:0.05pt;z-index:251659264;mso-width-relative:page;mso-height-relative:page;" filled="f" stroked="t" coordsize="21600,21600" o:gfxdata="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RFWeTbAAAACgEAAA8AAAAAAAAAAQAgAAAAIgAAAGRycy9kb3ducmV2Lnht&#10;bFBLAQIUABQAAAAIAIdO4kAH2qhG9gEAAOoDAAAOAAAAAAAAAAEAIAAAACoBAABkcnMvZTJvRG9j&#10;LnhtbFBLBQYAAAAABgAGAFkBAACSBQAAAAA=&#10;">
                <v:fill on="f" focussize="0,0"/>
                <v:stroke color="#000000" joinstyle="round" startarrow="open" endarrow="open"/>
                <v:imagedata o:title=""/>
                <o:lock v:ext="edit" aspectratio="f"/>
              </v:line>
            </w:pict>
          </mc:Fallback>
        </mc:AlternateContent>
      </w:r>
    </w:p>
    <w:p>
      <w:pPr>
        <w:keepNext w:val="0"/>
        <w:keepLines w:val="0"/>
        <w:pageBreakBefore w:val="0"/>
        <w:kinsoku/>
        <w:wordWrap/>
        <w:overflowPunct/>
        <w:topLinePunct w:val="0"/>
        <w:bidi w:val="0"/>
        <w:adjustRightInd w:val="0"/>
        <w:snapToGrid w:val="0"/>
        <w:spacing w:before="0" w:after="0" w:afterAutospacing="0" w:line="360" w:lineRule="auto"/>
        <w:ind w:left="0" w:right="0" w:firstLine="420" w:firstLineChars="200"/>
        <w:rPr>
          <w:rFonts w:hint="eastAsia" w:ascii="仿宋" w:hAnsi="仿宋" w:eastAsia="仿宋" w:cs="仿宋"/>
          <w:snapToGrid w:val="0"/>
          <w:color w:val="auto"/>
          <w:highlight w:val="none"/>
        </w:rPr>
      </w:pPr>
    </w:p>
    <w:p>
      <w:pPr>
        <w:keepNext w:val="0"/>
        <w:keepLines w:val="0"/>
        <w:pageBreakBefore w:val="0"/>
        <w:kinsoku/>
        <w:wordWrap/>
        <w:overflowPunct/>
        <w:topLinePunct w:val="0"/>
        <w:bidi w:val="0"/>
        <w:adjustRightInd w:val="0"/>
        <w:snapToGrid w:val="0"/>
        <w:spacing w:before="0" w:after="0" w:afterAutospacing="0" w:line="360" w:lineRule="auto"/>
        <w:ind w:left="0" w:right="0" w:firstLine="1680" w:firstLineChars="800"/>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2*10</w:t>
      </w:r>
      <w:r>
        <w:rPr>
          <w:rFonts w:hint="eastAsia" w:ascii="宋体" w:hAnsi="宋体" w:eastAsia="宋体" w:cs="宋体"/>
          <w:color w:val="auto"/>
          <w:kern w:val="0"/>
          <w:sz w:val="21"/>
          <w:szCs w:val="21"/>
          <w:highlight w:val="none"/>
          <w:lang w:val="en" w:eastAsia="zh-CN" w:bidi="zh-CN"/>
        </w:rPr>
        <w:t>mm</w:t>
      </w: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20" w:firstLineChars="200"/>
        <w:textAlignment w:val="auto"/>
        <w:rPr>
          <w:rFonts w:hint="default" w:ascii="仿宋" w:hAnsi="仿宋" w:eastAsia="仿宋" w:cs="仿宋"/>
          <w:snapToGrid w:val="0"/>
          <w:color w:val="auto"/>
          <w:highlight w:val="none"/>
          <w:lang w:val="en-US"/>
        </w:rPr>
      </w:pP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20" w:firstLineChars="200"/>
        <w:textAlignment w:val="auto"/>
        <w:rPr>
          <w:rFonts w:hint="eastAsia" w:ascii="宋体" w:hAnsi="宋体" w:eastAsia="宋体" w:cs="宋体"/>
          <w:color w:val="auto"/>
          <w:kern w:val="0"/>
          <w:sz w:val="21"/>
          <w:szCs w:val="21"/>
          <w:highlight w:val="none"/>
          <w:lang w:val="zh-CN" w:eastAsia="zh-CN" w:bidi="zh-CN"/>
        </w:rPr>
      </w:pP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20" w:firstLineChars="200"/>
        <w:textAlignment w:val="auto"/>
        <w:rPr>
          <w:rFonts w:hint="eastAsia" w:ascii="宋体" w:hAnsi="宋体" w:eastAsia="宋体" w:cs="宋体"/>
          <w:color w:val="auto"/>
          <w:kern w:val="0"/>
          <w:sz w:val="21"/>
          <w:szCs w:val="21"/>
          <w:highlight w:val="none"/>
          <w:lang w:val="zh-CN" w:eastAsia="zh-CN" w:bidi="zh-CN"/>
        </w:rPr>
      </w:pPr>
      <w:r>
        <w:rPr>
          <w:rFonts w:hint="eastAsia" w:ascii="仿宋" w:hAnsi="仿宋" w:eastAsia="仿宋" w:cs="仿宋"/>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1713865</wp:posOffset>
                </wp:positionH>
                <wp:positionV relativeFrom="paragraph">
                  <wp:posOffset>80010</wp:posOffset>
                </wp:positionV>
                <wp:extent cx="2790825" cy="635"/>
                <wp:effectExtent l="0" t="48895" r="9525" b="64770"/>
                <wp:wrapNone/>
                <wp:docPr id="11" name="直接连接符 11"/>
                <wp:cNvGraphicFramePr/>
                <a:graphic xmlns:a="http://schemas.openxmlformats.org/drawingml/2006/main">
                  <a:graphicData uri="http://schemas.microsoft.com/office/word/2010/wordprocessingShape">
                    <wps:wsp>
                      <wps:cNvCnPr/>
                      <wps:spPr>
                        <a:xfrm>
                          <a:off x="0" y="0"/>
                          <a:ext cx="2790825" cy="63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34.95pt;margin-top:6.3pt;height:0.05pt;width:219.75pt;z-index:251660288;mso-width-relative:page;mso-height-relative:page;" filled="f" stroked="t" coordsize="21600,21600" o:gfxdata="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s8eWXbAAAACQEAAA8AAAAAAAAAAQAgAAAAIgAAAGRycy9kb3ducmV2Lnht&#10;bFBLAQIUABQAAAAIAIdO4kCr7pvi9gEAAOoDAAAOAAAAAAAAAAEAIAAAACoBAABkcnMvZTJvRG9j&#10;LnhtbFBLBQYAAAAABgAGAFkBAACSBQAAAAA=&#10;">
                <v:fill on="f" focussize="0,0"/>
                <v:stroke color="#000000" joinstyle="round" startarrow="open" endarrow="open"/>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410" w:firstLineChars="2100"/>
        <w:textAlignment w:val="auto"/>
        <w:rPr>
          <w:rFonts w:hint="eastAsia" w:ascii="宋体" w:hAnsi="宋体" w:eastAsia="宋体" w:cs="宋体"/>
          <w:color w:val="auto"/>
          <w:kern w:val="0"/>
          <w:sz w:val="21"/>
          <w:szCs w:val="21"/>
          <w:highlight w:val="none"/>
          <w:lang w:val="en" w:eastAsia="zh-CN" w:bidi="zh-CN"/>
        </w:rPr>
      </w:pPr>
      <w:r>
        <w:rPr>
          <w:rFonts w:hint="eastAsia" w:ascii="宋体" w:hAnsi="宋体" w:eastAsia="宋体" w:cs="宋体"/>
          <w:color w:val="auto"/>
          <w:kern w:val="0"/>
          <w:sz w:val="21"/>
          <w:szCs w:val="21"/>
          <w:highlight w:val="none"/>
          <w:lang w:val="zh-CN" w:eastAsia="zh-CN" w:bidi="zh-CN"/>
        </w:rPr>
        <w:t>35</w:t>
      </w:r>
      <w:r>
        <w:rPr>
          <w:rFonts w:hint="eastAsia" w:ascii="宋体" w:hAnsi="宋体" w:eastAsia="宋体" w:cs="宋体"/>
          <w:color w:val="auto"/>
          <w:kern w:val="0"/>
          <w:sz w:val="21"/>
          <w:szCs w:val="21"/>
          <w:highlight w:val="none"/>
          <w:lang w:val="en" w:eastAsia="zh-CN" w:bidi="zh-CN"/>
        </w:rPr>
        <w:t>mm</w:t>
      </w:r>
      <w:r>
        <w:rPr>
          <w:rFonts w:hint="eastAsia" w:ascii="宋体" w:hAnsi="宋体" w:eastAsia="宋体" w:cs="宋体"/>
          <w:color w:val="auto"/>
          <w:kern w:val="0"/>
          <w:sz w:val="21"/>
          <w:szCs w:val="21"/>
          <w:highlight w:val="none"/>
          <w:lang w:val="zh-CN" w:eastAsia="zh-CN" w:bidi="zh-CN"/>
        </w:rPr>
        <w:t>+15</w:t>
      </w:r>
      <w:r>
        <w:rPr>
          <w:rFonts w:hint="eastAsia" w:ascii="宋体" w:hAnsi="宋体" w:eastAsia="宋体" w:cs="宋体"/>
          <w:color w:val="auto"/>
          <w:kern w:val="0"/>
          <w:sz w:val="21"/>
          <w:szCs w:val="21"/>
          <w:highlight w:val="none"/>
          <w:lang w:val="en" w:eastAsia="zh-CN" w:bidi="zh-CN"/>
        </w:rPr>
        <w:t>mm</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2）基建档案档号结构为：全宗号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档案门类代码·二级门类代码·项目号·性质代码·性质代码-案卷号。</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基建档号编制示例：</w:t>
      </w:r>
      <w:r>
        <w:rPr>
          <w:rFonts w:hint="eastAsia" w:ascii="仿宋" w:hAnsi="仿宋" w:eastAsia="仿宋" w:cs="仿宋"/>
          <w:snapToGrid w:val="0"/>
          <w:color w:val="auto"/>
          <w:spacing w:val="-11"/>
          <w:highlight w:val="none"/>
          <w:lang w:val="en-US" w:eastAsia="zh-CN"/>
        </w:rPr>
        <w:t>0000</w:t>
      </w:r>
      <w:r>
        <w:rPr>
          <w:rFonts w:hint="eastAsia" w:ascii="仿宋" w:hAnsi="仿宋" w:eastAsia="仿宋" w:cs="仿宋"/>
          <w:snapToGrid w:val="0"/>
          <w:color w:val="auto"/>
          <w:spacing w:val="-11"/>
          <w:highlight w:val="none"/>
        </w:rPr>
        <w:t>-</w:t>
      </w:r>
      <w:r>
        <w:rPr>
          <w:rFonts w:hint="eastAsia" w:ascii="仿宋" w:hAnsi="仿宋" w:eastAsia="仿宋" w:cs="仿宋"/>
          <w:snapToGrid w:val="0"/>
          <w:color w:val="auto"/>
          <w:highlight w:val="none"/>
        </w:rPr>
        <w:t>KJ</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JJ</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0001</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01</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01-001</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仿宋" w:hAnsi="仿宋" w:eastAsia="仿宋" w:cs="仿宋"/>
          <w:snapToGrid w:val="0"/>
          <w:color w:val="auto"/>
          <w:highlight w:val="none"/>
        </w:rPr>
      </w:pPr>
      <w:r>
        <w:rPr>
          <w:rFonts w:hint="eastAsia" w:ascii="宋体" w:hAnsi="宋体" w:eastAsia="宋体" w:cs="宋体"/>
          <w:color w:val="auto"/>
          <w:sz w:val="21"/>
          <w:szCs w:val="21"/>
          <w:highlight w:val="none"/>
        </w:rPr>
        <w:t>档号章填写示例：</w:t>
      </w:r>
    </w:p>
    <w:tbl>
      <w:tblPr>
        <w:tblStyle w:val="33"/>
        <w:tblpPr w:leftFromText="180" w:rightFromText="180" w:vertAnchor="text" w:horzAnchor="page" w:tblpX="4276"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档  号</w:t>
            </w:r>
          </w:p>
        </w:tc>
        <w:tc>
          <w:tcPr>
            <w:tcW w:w="13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序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9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仿宋" w:hAnsi="仿宋" w:eastAsia="仿宋" w:cs="仿宋"/>
                <w:color w:val="auto"/>
                <w:highlight w:val="none"/>
              </w:rPr>
              <w:t>KJ·JJ·1·1·1-1</w:t>
            </w:r>
          </w:p>
        </w:tc>
        <w:tc>
          <w:tcPr>
            <w:tcW w:w="13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1</w:t>
            </w:r>
          </w:p>
        </w:tc>
      </w:tr>
    </w:tbl>
    <w:p>
      <w:pPr>
        <w:keepNext w:val="0"/>
        <w:keepLines w:val="0"/>
        <w:pageBreakBefore w:val="0"/>
        <w:kinsoku/>
        <w:wordWrap/>
        <w:overflowPunct/>
        <w:topLinePunct w:val="0"/>
        <w:bidi w:val="0"/>
        <w:adjustRightInd w:val="0"/>
        <w:snapToGrid w:val="0"/>
        <w:spacing w:before="0" w:after="0" w:afterAutospacing="0" w:line="360" w:lineRule="auto"/>
        <w:ind w:left="0" w:right="0" w:firstLine="420" w:firstLineChars="200"/>
        <w:rPr>
          <w:rFonts w:hint="eastAsia" w:ascii="仿宋" w:hAnsi="仿宋" w:eastAsia="仿宋" w:cs="仿宋"/>
          <w:snapToGrid w:val="0"/>
          <w:color w:val="auto"/>
          <w:highlight w:val="none"/>
        </w:rPr>
      </w:pPr>
      <w:r>
        <w:rPr>
          <w:rFonts w:hint="eastAsia" w:ascii="仿宋" w:hAnsi="仿宋" w:eastAsia="仿宋" w:cs="仿宋"/>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1561465</wp:posOffset>
                </wp:positionH>
                <wp:positionV relativeFrom="paragraph">
                  <wp:posOffset>203835</wp:posOffset>
                </wp:positionV>
                <wp:extent cx="635" cy="1038225"/>
                <wp:effectExtent l="48895" t="0" r="64770" b="9525"/>
                <wp:wrapNone/>
                <wp:docPr id="12" name="直接连接符 12"/>
                <wp:cNvGraphicFramePr/>
                <a:graphic xmlns:a="http://schemas.openxmlformats.org/drawingml/2006/main">
                  <a:graphicData uri="http://schemas.microsoft.com/office/word/2010/wordprocessingShape">
                    <wps:wsp>
                      <wps:cNvCnPr/>
                      <wps:spPr>
                        <a:xfrm>
                          <a:off x="0" y="0"/>
                          <a:ext cx="635" cy="103822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22.95pt;margin-top:16.05pt;height:81.75pt;width:0.05pt;z-index:251661312;mso-width-relative:page;mso-height-relative:page;" filled="f" stroked="t" coordsize="21600,21600" o:gfxdata="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vquX9wAAAAKAQAADwAAAAAAAAABACAAAAAiAAAAZHJzL2Rvd25yZXYu&#10;eG1sUEsBAhQAFAAAAAgAh07iQNClKZn3AQAA6gMAAA4AAAAAAAAAAQAgAAAAKwEAAGRycy9lMm9E&#10;b2MueG1sUEsFBgAAAAAGAAYAWQEAAJQFAAAAAA==&#10;">
                <v:fill on="f" focussize="0,0"/>
                <v:stroke color="#000000" joinstyle="round" startarrow="open" endarrow="open"/>
                <v:imagedata o:title=""/>
                <o:lock v:ext="edit" aspectratio="f"/>
              </v:line>
            </w:pict>
          </mc:Fallback>
        </mc:AlternateContent>
      </w:r>
    </w:p>
    <w:p>
      <w:pPr>
        <w:keepNext w:val="0"/>
        <w:keepLines w:val="0"/>
        <w:pageBreakBefore w:val="0"/>
        <w:kinsoku/>
        <w:wordWrap/>
        <w:overflowPunct/>
        <w:topLinePunct w:val="0"/>
        <w:bidi w:val="0"/>
        <w:adjustRightInd w:val="0"/>
        <w:snapToGrid w:val="0"/>
        <w:spacing w:before="0" w:after="0" w:afterAutospacing="0" w:line="360" w:lineRule="auto"/>
        <w:ind w:left="0" w:right="0" w:firstLine="1260" w:firstLineChars="600"/>
        <w:rPr>
          <w:rFonts w:hint="eastAsia" w:ascii="宋体" w:hAnsi="宋体" w:eastAsia="宋体" w:cs="宋体"/>
          <w:color w:val="auto"/>
          <w:kern w:val="0"/>
          <w:sz w:val="21"/>
          <w:szCs w:val="21"/>
          <w:highlight w:val="none"/>
          <w:lang w:val="zh-CN" w:eastAsia="zh-CN" w:bidi="zh-CN"/>
        </w:rPr>
      </w:pPr>
    </w:p>
    <w:p>
      <w:pPr>
        <w:keepNext w:val="0"/>
        <w:keepLines w:val="0"/>
        <w:pageBreakBefore w:val="0"/>
        <w:kinsoku/>
        <w:wordWrap/>
        <w:overflowPunct/>
        <w:topLinePunct w:val="0"/>
        <w:bidi w:val="0"/>
        <w:adjustRightInd w:val="0"/>
        <w:snapToGrid w:val="0"/>
        <w:spacing w:before="0" w:after="0" w:afterAutospacing="0" w:line="360" w:lineRule="auto"/>
        <w:ind w:left="0" w:right="0" w:firstLine="1260" w:firstLineChars="600"/>
        <w:rPr>
          <w:rFonts w:hint="eastAsia" w:ascii="仿宋" w:hAnsi="仿宋" w:eastAsia="仿宋" w:cs="仿宋"/>
          <w:snapToGrid w:val="0"/>
          <w:color w:val="auto"/>
          <w:highlight w:val="none"/>
        </w:rPr>
      </w:pPr>
      <w:r>
        <w:rPr>
          <w:rFonts w:hint="eastAsia" w:ascii="宋体" w:hAnsi="宋体" w:eastAsia="宋体" w:cs="宋体"/>
          <w:color w:val="auto"/>
          <w:kern w:val="0"/>
          <w:sz w:val="21"/>
          <w:szCs w:val="21"/>
          <w:highlight w:val="none"/>
          <w:lang w:val="zh-CN" w:eastAsia="zh-CN" w:bidi="zh-CN"/>
        </w:rPr>
        <w:t>2*10</w:t>
      </w:r>
      <w:r>
        <w:rPr>
          <w:rFonts w:hint="eastAsia" w:ascii="宋体" w:hAnsi="宋体" w:eastAsia="宋体" w:cs="宋体"/>
          <w:color w:val="auto"/>
          <w:kern w:val="0"/>
          <w:sz w:val="21"/>
          <w:szCs w:val="21"/>
          <w:highlight w:val="none"/>
          <w:lang w:val="en" w:eastAsia="zh-CN" w:bidi="zh-CN"/>
        </w:rPr>
        <w:t>mm</w:t>
      </w:r>
    </w:p>
    <w:p>
      <w:pPr>
        <w:keepNext w:val="0"/>
        <w:keepLines w:val="0"/>
        <w:pageBreakBefore w:val="0"/>
        <w:kinsoku/>
        <w:wordWrap/>
        <w:overflowPunct/>
        <w:topLinePunct w:val="0"/>
        <w:bidi w:val="0"/>
        <w:adjustRightInd w:val="0"/>
        <w:snapToGrid w:val="0"/>
        <w:spacing w:before="0" w:after="0" w:afterAutospacing="0" w:line="360" w:lineRule="auto"/>
        <w:ind w:left="0" w:right="0" w:firstLine="420" w:firstLineChars="200"/>
        <w:rPr>
          <w:rFonts w:hint="eastAsia" w:ascii="仿宋" w:hAnsi="仿宋" w:eastAsia="仿宋" w:cs="仿宋"/>
          <w:snapToGrid w:val="0"/>
          <w:color w:val="auto"/>
          <w:highlight w:val="none"/>
          <w:lang w:val="en"/>
        </w:rPr>
      </w:pP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20" w:firstLineChars="200"/>
        <w:textAlignment w:val="auto"/>
        <w:rPr>
          <w:rFonts w:hint="eastAsia" w:ascii="仿宋" w:hAnsi="仿宋" w:eastAsia="仿宋" w:cs="仿宋"/>
          <w:snapToGrid w:val="0"/>
          <w:color w:val="auto"/>
          <w:highlight w:val="none"/>
          <w:lang w:val="en"/>
        </w:rPr>
      </w:pP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20" w:firstLineChars="200"/>
        <w:textAlignment w:val="auto"/>
        <w:rPr>
          <w:rFonts w:hint="eastAsia" w:ascii="仿宋" w:hAnsi="仿宋" w:eastAsia="仿宋" w:cs="仿宋"/>
          <w:snapToGrid w:val="0"/>
          <w:color w:val="auto"/>
          <w:highlight w:val="none"/>
          <w:lang w:val="en"/>
        </w:rPr>
      </w:pPr>
      <w:r>
        <w:rPr>
          <w:rFonts w:hint="eastAsia" w:ascii="仿宋" w:hAnsi="仿宋" w:eastAsia="仿宋" w:cs="仿宋"/>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1723390</wp:posOffset>
                </wp:positionH>
                <wp:positionV relativeFrom="paragraph">
                  <wp:posOffset>169545</wp:posOffset>
                </wp:positionV>
                <wp:extent cx="2790825" cy="635"/>
                <wp:effectExtent l="0" t="48895" r="9525" b="64770"/>
                <wp:wrapNone/>
                <wp:docPr id="13" name="直接连接符 13"/>
                <wp:cNvGraphicFramePr/>
                <a:graphic xmlns:a="http://schemas.openxmlformats.org/drawingml/2006/main">
                  <a:graphicData uri="http://schemas.microsoft.com/office/word/2010/wordprocessingShape">
                    <wps:wsp>
                      <wps:cNvCnPr/>
                      <wps:spPr>
                        <a:xfrm>
                          <a:off x="0" y="0"/>
                          <a:ext cx="2790825" cy="63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35.7pt;margin-top:13.35pt;height:0.05pt;width:219.75pt;z-index:251662336;mso-width-relative:page;mso-height-relative:page;" filled="f" stroked="t" coordsize="21600,21600" o:gfxdata="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Rts2wAAAAkBAAAPAAAAAAAAAAEAIAAAACIAAABkcnMvZG93bnJldi54&#10;bWxQSwECFAAUAAAACACHTuJAe5uC8/cBAADqAwAADgAAAAAAAAABACAAAAAqAQAAZHJzL2Uyb0Rv&#10;Yy54bWxQSwUGAAAAAAYABgBZAQAAkwUAAAAA&#10;">
                <v:fill on="f" focussize="0,0"/>
                <v:stroke color="#000000" joinstyle="round" startarrow="open" endarrow="open"/>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firstLine="4620" w:firstLineChars="2200"/>
        <w:textAlignment w:val="auto"/>
        <w:rPr>
          <w:rFonts w:hint="eastAsia" w:ascii="宋体" w:hAnsi="宋体" w:eastAsia="宋体" w:cs="宋体"/>
          <w:color w:val="auto"/>
          <w:kern w:val="0"/>
          <w:sz w:val="21"/>
          <w:szCs w:val="21"/>
          <w:highlight w:val="none"/>
          <w:lang w:val="en" w:eastAsia="zh-CN" w:bidi="zh-CN"/>
        </w:rPr>
      </w:pPr>
      <w:r>
        <w:rPr>
          <w:rFonts w:hint="eastAsia" w:ascii="宋体" w:hAnsi="宋体" w:eastAsia="宋体" w:cs="宋体"/>
          <w:color w:val="auto"/>
          <w:kern w:val="0"/>
          <w:sz w:val="21"/>
          <w:szCs w:val="21"/>
          <w:highlight w:val="none"/>
          <w:lang w:val="zh-CN" w:eastAsia="zh-CN" w:bidi="zh-CN"/>
        </w:rPr>
        <w:t>35</w:t>
      </w:r>
      <w:r>
        <w:rPr>
          <w:rFonts w:hint="eastAsia" w:ascii="宋体" w:hAnsi="宋体" w:eastAsia="宋体" w:cs="宋体"/>
          <w:color w:val="auto"/>
          <w:kern w:val="0"/>
          <w:sz w:val="21"/>
          <w:szCs w:val="21"/>
          <w:highlight w:val="none"/>
          <w:lang w:val="en" w:eastAsia="zh-CN" w:bidi="zh-CN"/>
        </w:rPr>
        <w:t>mm</w:t>
      </w:r>
      <w:r>
        <w:rPr>
          <w:rFonts w:hint="eastAsia" w:ascii="宋体" w:hAnsi="宋体" w:eastAsia="宋体" w:cs="宋体"/>
          <w:color w:val="auto"/>
          <w:kern w:val="0"/>
          <w:sz w:val="21"/>
          <w:szCs w:val="21"/>
          <w:highlight w:val="none"/>
          <w:lang w:val="zh-CN" w:eastAsia="zh-CN" w:bidi="zh-CN"/>
        </w:rPr>
        <w:t>+15</w:t>
      </w:r>
      <w:r>
        <w:rPr>
          <w:rFonts w:hint="eastAsia" w:ascii="宋体" w:hAnsi="宋体" w:eastAsia="宋体" w:cs="宋体"/>
          <w:color w:val="auto"/>
          <w:kern w:val="0"/>
          <w:sz w:val="21"/>
          <w:szCs w:val="21"/>
          <w:highlight w:val="none"/>
          <w:lang w:val="en" w:eastAsia="zh-CN" w:bidi="zh-CN"/>
        </w:rPr>
        <w:t>mm</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 w:eastAsia="zh-CN"/>
        </w:rPr>
        <w:t>（</w:t>
      </w:r>
      <w:r>
        <w:rPr>
          <w:rFonts w:hint="eastAsia" w:ascii="宋体" w:hAnsi="宋体" w:eastAsia="宋体" w:cs="宋体"/>
          <w:color w:val="auto"/>
          <w:sz w:val="21"/>
          <w:szCs w:val="21"/>
          <w:highlight w:val="none"/>
          <w:lang w:val="zh-CN" w:eastAsia="zh-CN"/>
        </w:rPr>
        <w:t>3</w:t>
      </w:r>
      <w:r>
        <w:rPr>
          <w:rFonts w:hint="eastAsia" w:ascii="宋体" w:hAnsi="宋体" w:eastAsia="宋体" w:cs="宋体"/>
          <w:color w:val="auto"/>
          <w:sz w:val="21"/>
          <w:szCs w:val="21"/>
          <w:highlight w:val="none"/>
          <w:lang w:val="en" w:eastAsia="zh-CN"/>
        </w:rPr>
        <w:t>）设备仪器</w:t>
      </w:r>
      <w:r>
        <w:rPr>
          <w:rFonts w:hint="eastAsia" w:ascii="宋体" w:hAnsi="宋体" w:eastAsia="宋体" w:cs="宋体"/>
          <w:color w:val="auto"/>
          <w:sz w:val="21"/>
          <w:szCs w:val="21"/>
          <w:highlight w:val="none"/>
          <w:lang w:val="zh-CN" w:eastAsia="zh-CN"/>
        </w:rPr>
        <w:t>档案档号结构为：全宗号－档案门类代码·二级门类代码·设备仪器</w:t>
      </w:r>
      <w:r>
        <w:rPr>
          <w:rFonts w:hint="eastAsia" w:ascii="宋体" w:hAnsi="宋体" w:eastAsia="宋体" w:cs="宋体"/>
          <w:color w:val="auto"/>
          <w:sz w:val="21"/>
          <w:szCs w:val="21"/>
          <w:highlight w:val="none"/>
          <w:lang w:val="en-US" w:eastAsia="zh-CN"/>
        </w:rPr>
        <w:t>类别号</w:t>
      </w:r>
      <w:r>
        <w:rPr>
          <w:rFonts w:hint="eastAsia" w:ascii="宋体" w:hAnsi="宋体" w:eastAsia="宋体" w:cs="宋体"/>
          <w:color w:val="auto"/>
          <w:sz w:val="21"/>
          <w:szCs w:val="21"/>
          <w:highlight w:val="none"/>
          <w:lang w:val="zh-CN" w:eastAsia="zh-CN"/>
        </w:rPr>
        <w:t>-案卷号。</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设备仪器</w:t>
      </w:r>
      <w:r>
        <w:rPr>
          <w:rFonts w:hint="eastAsia" w:ascii="宋体" w:hAnsi="宋体" w:eastAsia="宋体" w:cs="宋体"/>
          <w:color w:val="auto"/>
          <w:sz w:val="21"/>
          <w:szCs w:val="21"/>
          <w:highlight w:val="none"/>
          <w:lang w:val="zh-CN" w:eastAsia="zh-CN"/>
        </w:rPr>
        <w:t>档号编制示例：</w:t>
      </w:r>
      <w:r>
        <w:rPr>
          <w:rFonts w:hint="eastAsia" w:ascii="仿宋" w:hAnsi="仿宋" w:eastAsia="仿宋" w:cs="仿宋"/>
          <w:snapToGrid w:val="0"/>
          <w:color w:val="auto"/>
          <w:spacing w:val="-11"/>
          <w:highlight w:val="none"/>
          <w:lang w:val="en-US" w:eastAsia="zh-CN"/>
        </w:rPr>
        <w:t>0000</w:t>
      </w:r>
      <w:r>
        <w:rPr>
          <w:rFonts w:hint="eastAsia" w:ascii="仿宋" w:hAnsi="仿宋" w:eastAsia="仿宋" w:cs="仿宋"/>
          <w:snapToGrid w:val="0"/>
          <w:color w:val="auto"/>
          <w:spacing w:val="-11"/>
          <w:highlight w:val="none"/>
        </w:rPr>
        <w:t>-</w:t>
      </w:r>
      <w:r>
        <w:rPr>
          <w:rFonts w:hint="eastAsia" w:ascii="仿宋" w:hAnsi="仿宋" w:eastAsia="仿宋" w:cs="仿宋"/>
          <w:snapToGrid w:val="0"/>
          <w:color w:val="auto"/>
          <w:highlight w:val="none"/>
        </w:rPr>
        <w:t>KJ</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SB</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0001-001</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档号章填写示例：</w:t>
      </w:r>
    </w:p>
    <w:tbl>
      <w:tblPr>
        <w:tblStyle w:val="33"/>
        <w:tblpPr w:leftFromText="180" w:rightFromText="180" w:vertAnchor="text" w:horzAnchor="page" w:tblpX="4276"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档  号</w:t>
            </w:r>
          </w:p>
        </w:tc>
        <w:tc>
          <w:tcPr>
            <w:tcW w:w="13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序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9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仿宋" w:hAnsi="仿宋" w:eastAsia="仿宋" w:cs="仿宋"/>
                <w:snapToGrid w:val="0"/>
                <w:color w:val="auto"/>
                <w:highlight w:val="none"/>
              </w:rPr>
              <w:t>KJ</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SB</w:t>
            </w:r>
            <w:r>
              <w:rPr>
                <w:rFonts w:hint="eastAsia" w:ascii="仿宋" w:hAnsi="仿宋" w:eastAsia="仿宋" w:cs="仿宋"/>
                <w:color w:val="auto"/>
                <w:highlight w:val="none"/>
              </w:rPr>
              <w:t>·</w:t>
            </w:r>
            <w:r>
              <w:rPr>
                <w:rFonts w:hint="eastAsia" w:ascii="仿宋" w:hAnsi="仿宋" w:eastAsia="仿宋" w:cs="仿宋"/>
                <w:snapToGrid w:val="0"/>
                <w:color w:val="auto"/>
                <w:highlight w:val="none"/>
              </w:rPr>
              <w:t>1-1</w:t>
            </w:r>
          </w:p>
        </w:tc>
        <w:tc>
          <w:tcPr>
            <w:tcW w:w="1365" w:type="dxa"/>
            <w:noWrap w:val="0"/>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firstLine="420" w:firstLineChars="200"/>
              <w:jc w:val="center"/>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1</w:t>
            </w:r>
          </w:p>
        </w:tc>
      </w:tr>
    </w:tbl>
    <w:p>
      <w:pPr>
        <w:keepNext w:val="0"/>
        <w:keepLines w:val="0"/>
        <w:pageBreakBefore w:val="0"/>
        <w:kinsoku/>
        <w:wordWrap/>
        <w:overflowPunct/>
        <w:topLinePunct w:val="0"/>
        <w:bidi w:val="0"/>
        <w:adjustRightInd w:val="0"/>
        <w:snapToGrid w:val="0"/>
        <w:spacing w:before="0" w:after="0" w:afterAutospacing="0" w:line="360" w:lineRule="auto"/>
        <w:ind w:left="0" w:right="0" w:firstLine="420" w:firstLineChars="200"/>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mc:AlternateContent>
          <mc:Choice Requires="wps">
            <w:drawing>
              <wp:anchor distT="0" distB="0" distL="114300" distR="114300" simplePos="0" relativeHeight="251663360" behindDoc="0" locked="0" layoutInCell="1" allowOverlap="1">
                <wp:simplePos x="0" y="0"/>
                <wp:positionH relativeFrom="column">
                  <wp:posOffset>1561465</wp:posOffset>
                </wp:positionH>
                <wp:positionV relativeFrom="paragraph">
                  <wp:posOffset>203835</wp:posOffset>
                </wp:positionV>
                <wp:extent cx="635" cy="1038225"/>
                <wp:effectExtent l="48895" t="0" r="64770" b="9525"/>
                <wp:wrapNone/>
                <wp:docPr id="14" name="直接连接符 14"/>
                <wp:cNvGraphicFramePr/>
                <a:graphic xmlns:a="http://schemas.openxmlformats.org/drawingml/2006/main">
                  <a:graphicData uri="http://schemas.microsoft.com/office/word/2010/wordprocessingShape">
                    <wps:wsp>
                      <wps:cNvCnPr/>
                      <wps:spPr>
                        <a:xfrm>
                          <a:off x="0" y="0"/>
                          <a:ext cx="635" cy="103822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22.95pt;margin-top:16.05pt;height:81.75pt;width:0.05pt;z-index:251663360;mso-width-relative:page;mso-height-relative:page;" filled="f" stroked="t" coordsize="21600,21600" o:gfxdata="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76rl/cAAAACgEAAA8AAAAAAAAAAQAgAAAAIgAAAGRycy9kb3ducmV2&#10;LnhtbFBLAQIUABQAAAAIAIdO4kCgOwKq+AEAAOoDAAAOAAAAAAAAAAEAIAAAACsBAABkcnMvZTJv&#10;RG9jLnhtbFBLBQYAAAAABgAGAFkBAACVBQAAAAA=&#10;">
                <v:fill on="f" focussize="0,0"/>
                <v:stroke color="#000000" joinstyle="round" startarrow="open" endarrow="open"/>
                <v:imagedata o:title=""/>
                <o:lock v:ext="edit" aspectratio="f"/>
              </v:line>
            </w:pict>
          </mc:Fallback>
        </mc:AlternateContent>
      </w:r>
    </w:p>
    <w:p>
      <w:pPr>
        <w:keepNext w:val="0"/>
        <w:keepLines w:val="0"/>
        <w:pageBreakBefore w:val="0"/>
        <w:kinsoku/>
        <w:wordWrap/>
        <w:overflowPunct/>
        <w:topLinePunct w:val="0"/>
        <w:bidi w:val="0"/>
        <w:adjustRightInd w:val="0"/>
        <w:snapToGrid w:val="0"/>
        <w:spacing w:before="0" w:after="0" w:afterAutospacing="0" w:line="360" w:lineRule="auto"/>
        <w:ind w:left="0" w:right="0" w:firstLine="1680" w:firstLineChars="800"/>
        <w:rPr>
          <w:rFonts w:hint="eastAsia" w:ascii="宋体" w:hAnsi="宋体" w:eastAsia="宋体" w:cs="宋体"/>
          <w:color w:val="auto"/>
          <w:kern w:val="0"/>
          <w:sz w:val="21"/>
          <w:szCs w:val="21"/>
          <w:highlight w:val="none"/>
          <w:lang w:val="zh-CN" w:eastAsia="zh-CN" w:bidi="zh-CN"/>
        </w:rPr>
      </w:pPr>
    </w:p>
    <w:p>
      <w:pPr>
        <w:keepNext w:val="0"/>
        <w:keepLines w:val="0"/>
        <w:pageBreakBefore w:val="0"/>
        <w:kinsoku/>
        <w:wordWrap/>
        <w:overflowPunct/>
        <w:topLinePunct w:val="0"/>
        <w:bidi w:val="0"/>
        <w:adjustRightInd w:val="0"/>
        <w:snapToGrid w:val="0"/>
        <w:spacing w:before="0" w:after="0" w:afterAutospacing="0" w:line="360" w:lineRule="auto"/>
        <w:ind w:left="0" w:right="0" w:firstLine="1680" w:firstLineChars="800"/>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2*10</w:t>
      </w:r>
      <w:r>
        <w:rPr>
          <w:rFonts w:hint="eastAsia" w:ascii="宋体" w:hAnsi="宋体" w:eastAsia="宋体" w:cs="宋体"/>
          <w:color w:val="auto"/>
          <w:kern w:val="0"/>
          <w:sz w:val="21"/>
          <w:szCs w:val="21"/>
          <w:highlight w:val="none"/>
          <w:lang w:val="en" w:eastAsia="zh-CN" w:bidi="zh-CN"/>
        </w:rPr>
        <w:t>mm</w:t>
      </w:r>
    </w:p>
    <w:p>
      <w:pPr>
        <w:keepNext w:val="0"/>
        <w:keepLines w:val="0"/>
        <w:pageBreakBefore w:val="0"/>
        <w:kinsoku/>
        <w:wordWrap/>
        <w:overflowPunct/>
        <w:topLinePunct w:val="0"/>
        <w:bidi w:val="0"/>
        <w:adjustRightInd w:val="0"/>
        <w:snapToGrid w:val="0"/>
        <w:spacing w:before="0" w:after="0" w:afterAutospacing="0" w:line="360" w:lineRule="auto"/>
        <w:ind w:left="0" w:right="0" w:firstLine="420" w:firstLineChars="200"/>
        <w:rPr>
          <w:rFonts w:hint="eastAsia" w:ascii="宋体" w:hAnsi="宋体" w:eastAsia="宋体" w:cs="宋体"/>
          <w:color w:val="auto"/>
          <w:kern w:val="0"/>
          <w:sz w:val="21"/>
          <w:szCs w:val="21"/>
          <w:highlight w:val="none"/>
          <w:lang w:val="en" w:eastAsia="zh-CN" w:bidi="zh-CN"/>
        </w:rPr>
      </w:pP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20" w:firstLineChars="200"/>
        <w:textAlignment w:val="auto"/>
        <w:rPr>
          <w:rFonts w:hint="eastAsia" w:ascii="宋体" w:hAnsi="宋体" w:eastAsia="宋体" w:cs="宋体"/>
          <w:color w:val="auto"/>
          <w:kern w:val="0"/>
          <w:sz w:val="21"/>
          <w:szCs w:val="21"/>
          <w:highlight w:val="none"/>
          <w:lang w:val="en" w:eastAsia="zh-CN" w:bidi="zh-CN"/>
        </w:rPr>
      </w:pP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20" w:firstLineChars="200"/>
        <w:textAlignment w:val="auto"/>
        <w:rPr>
          <w:rFonts w:hint="eastAsia" w:ascii="宋体" w:hAnsi="宋体" w:eastAsia="宋体" w:cs="宋体"/>
          <w:color w:val="auto"/>
          <w:kern w:val="0"/>
          <w:sz w:val="21"/>
          <w:szCs w:val="21"/>
          <w:highlight w:val="none"/>
          <w:lang w:val="en" w:eastAsia="zh-CN" w:bidi="zh-CN"/>
        </w:rPr>
      </w:pPr>
      <w:r>
        <w:rPr>
          <w:rFonts w:hint="eastAsia" w:ascii="宋体" w:hAnsi="宋体" w:eastAsia="宋体" w:cs="宋体"/>
          <w:color w:val="auto"/>
          <w:kern w:val="0"/>
          <w:sz w:val="21"/>
          <w:szCs w:val="21"/>
          <w:highlight w:val="none"/>
          <w:lang w:val="zh-CN" w:eastAsia="zh-CN" w:bidi="zh-CN"/>
        </w:rPr>
        <mc:AlternateContent>
          <mc:Choice Requires="wps">
            <w:drawing>
              <wp:anchor distT="0" distB="0" distL="114300" distR="114300" simplePos="0" relativeHeight="251664384" behindDoc="0" locked="0" layoutInCell="1" allowOverlap="1">
                <wp:simplePos x="0" y="0"/>
                <wp:positionH relativeFrom="column">
                  <wp:posOffset>1723390</wp:posOffset>
                </wp:positionH>
                <wp:positionV relativeFrom="paragraph">
                  <wp:posOffset>118745</wp:posOffset>
                </wp:positionV>
                <wp:extent cx="2790825" cy="635"/>
                <wp:effectExtent l="0" t="48895" r="9525" b="64770"/>
                <wp:wrapNone/>
                <wp:docPr id="15" name="直接连接符 15"/>
                <wp:cNvGraphicFramePr/>
                <a:graphic xmlns:a="http://schemas.openxmlformats.org/drawingml/2006/main">
                  <a:graphicData uri="http://schemas.microsoft.com/office/word/2010/wordprocessingShape">
                    <wps:wsp>
                      <wps:cNvCnPr/>
                      <wps:spPr>
                        <a:xfrm>
                          <a:off x="0" y="0"/>
                          <a:ext cx="2790825" cy="63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35.7pt;margin-top:9.35pt;height:0.05pt;width:219.75pt;z-index:251664384;mso-width-relative:page;mso-height-relative:page;" filled="f" stroked="t" coordsize="21600,21600" o:gfxdata="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53Er2gAAAAkBAAAPAAAAAAAAAAEAIAAAACIAAABkcnMvZG93bnJldi54&#10;bWxQSwECFAAUAAAACACHTuJACwWpwPgBAADqAwAADgAAAAAAAAABACAAAAApAQAAZHJzL2Uyb0Rv&#10;Yy54bWxQSwUGAAAAAAYABgBZAQAAkwUAAAAA&#10;">
                <v:fill on="f" focussize="0,0"/>
                <v:stroke color="#000000" joinstyle="round" startarrow="open" endarrow="open"/>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620" w:firstLineChars="2200"/>
        <w:textAlignment w:val="auto"/>
        <w:rPr>
          <w:rFonts w:hint="eastAsia" w:ascii="宋体" w:hAnsi="宋体" w:eastAsia="宋体" w:cs="宋体"/>
          <w:color w:val="auto"/>
          <w:kern w:val="0"/>
          <w:sz w:val="21"/>
          <w:szCs w:val="21"/>
          <w:highlight w:val="none"/>
          <w:lang w:val="en" w:eastAsia="zh-CN" w:bidi="zh-CN"/>
        </w:rPr>
      </w:pPr>
      <w:r>
        <w:rPr>
          <w:rFonts w:hint="eastAsia" w:ascii="宋体" w:hAnsi="宋体" w:eastAsia="宋体" w:cs="宋体"/>
          <w:color w:val="auto"/>
          <w:kern w:val="0"/>
          <w:sz w:val="21"/>
          <w:szCs w:val="21"/>
          <w:highlight w:val="none"/>
          <w:lang w:val="zh-CN" w:eastAsia="zh-CN" w:bidi="zh-CN"/>
        </w:rPr>
        <w:t>35</w:t>
      </w:r>
      <w:r>
        <w:rPr>
          <w:rFonts w:hint="eastAsia" w:ascii="宋体" w:hAnsi="宋体" w:eastAsia="宋体" w:cs="宋体"/>
          <w:color w:val="auto"/>
          <w:kern w:val="0"/>
          <w:sz w:val="21"/>
          <w:szCs w:val="21"/>
          <w:highlight w:val="none"/>
          <w:lang w:val="en" w:eastAsia="zh-CN" w:bidi="zh-CN"/>
        </w:rPr>
        <w:t>mm</w:t>
      </w:r>
      <w:r>
        <w:rPr>
          <w:rFonts w:hint="eastAsia" w:ascii="宋体" w:hAnsi="宋体" w:eastAsia="宋体" w:cs="宋体"/>
          <w:color w:val="auto"/>
          <w:kern w:val="0"/>
          <w:sz w:val="21"/>
          <w:szCs w:val="21"/>
          <w:highlight w:val="none"/>
          <w:lang w:val="zh-CN" w:eastAsia="zh-CN" w:bidi="zh-CN"/>
        </w:rPr>
        <w:t>+15</w:t>
      </w:r>
      <w:r>
        <w:rPr>
          <w:rFonts w:hint="eastAsia" w:ascii="宋体" w:hAnsi="宋体" w:eastAsia="宋体" w:cs="宋体"/>
          <w:color w:val="auto"/>
          <w:kern w:val="0"/>
          <w:sz w:val="21"/>
          <w:szCs w:val="21"/>
          <w:highlight w:val="none"/>
          <w:lang w:val="en" w:eastAsia="zh-CN" w:bidi="zh-CN"/>
        </w:rPr>
        <w:t>mm</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
        </w:rPr>
        <w:t>（注：科技档号章规格为长</w:t>
      </w:r>
      <w:r>
        <w:rPr>
          <w:rFonts w:hint="eastAsia" w:ascii="宋体" w:hAnsi="宋体" w:eastAsia="宋体" w:cs="宋体"/>
          <w:color w:val="auto"/>
          <w:sz w:val="21"/>
          <w:szCs w:val="21"/>
          <w:highlight w:val="none"/>
        </w:rPr>
        <w:t>35</w:t>
      </w:r>
      <w:r>
        <w:rPr>
          <w:rFonts w:hint="eastAsia" w:ascii="宋体" w:hAnsi="宋体" w:eastAsia="宋体" w:cs="宋体"/>
          <w:color w:val="auto"/>
          <w:sz w:val="21"/>
          <w:szCs w:val="21"/>
          <w:highlight w:val="none"/>
          <w:lang w:val="en"/>
        </w:rPr>
        <w:t>mm</w:t>
      </w: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
        </w:rPr>
        <w:t>mm，宽为</w:t>
      </w:r>
      <w:r>
        <w:rPr>
          <w:rFonts w:hint="eastAsia" w:ascii="宋体" w:hAnsi="宋体" w:eastAsia="宋体" w:cs="宋体"/>
          <w:color w:val="auto"/>
          <w:sz w:val="21"/>
          <w:szCs w:val="21"/>
          <w:highlight w:val="none"/>
        </w:rPr>
        <w:t>2*10</w:t>
      </w:r>
      <w:r>
        <w:rPr>
          <w:rFonts w:hint="eastAsia" w:ascii="宋体" w:hAnsi="宋体" w:eastAsia="宋体" w:cs="宋体"/>
          <w:color w:val="auto"/>
          <w:sz w:val="21"/>
          <w:szCs w:val="21"/>
          <w:highlight w:val="none"/>
          <w:lang w:val="en"/>
        </w:rPr>
        <w:t>mm，不可随意改动规格大小。）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 w:eastAsia="zh-CN"/>
        </w:rPr>
      </w:pPr>
      <w:r>
        <w:rPr>
          <w:rFonts w:hint="eastAsia" w:ascii="宋体" w:hAnsi="宋体" w:eastAsia="宋体" w:cs="Times New Roman"/>
          <w:color w:val="auto"/>
          <w:highlight w:val="none"/>
          <w:lang w:val="en-US" w:eastAsia="zh-CN"/>
        </w:rPr>
        <w:t>6.2.6数字化扫描：</w:t>
      </w:r>
      <w:r>
        <w:rPr>
          <w:rFonts w:hint="eastAsia" w:ascii="宋体" w:hAnsi="宋体" w:eastAsia="宋体" w:cs="Times New Roman"/>
          <w:color w:val="auto"/>
          <w:highlight w:val="none"/>
          <w:lang w:val="en" w:eastAsia="zh-CN"/>
        </w:rPr>
        <w:t>所有纸质工程文件均应逐份进行数字化扫描，形成电子文件。扫描图像要清晰、完整、无色差、无变形，视觉上基本无偏斜，不影响档案利用。数字化扫描应在文件材料完成编目工作后进行。</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 w:eastAsia="zh-CN"/>
        </w:rPr>
      </w:pPr>
      <w:r>
        <w:rPr>
          <w:rFonts w:hint="eastAsia" w:ascii="宋体" w:hAnsi="宋体" w:eastAsia="宋体" w:cs="Times New Roman"/>
          <w:color w:val="auto"/>
          <w:highlight w:val="none"/>
          <w:lang w:val="en" w:eastAsia="zh-CN"/>
        </w:rPr>
        <w:t>（</w:t>
      </w:r>
      <w:r>
        <w:rPr>
          <w:rFonts w:hint="eastAsia" w:ascii="宋体" w:hAnsi="宋体" w:eastAsia="宋体" w:cs="Times New Roman"/>
          <w:color w:val="auto"/>
          <w:highlight w:val="none"/>
          <w:lang w:val="en-US" w:eastAsia="zh-CN"/>
        </w:rPr>
        <w:t>1</w:t>
      </w:r>
      <w:r>
        <w:rPr>
          <w:rFonts w:hint="eastAsia" w:ascii="宋体" w:hAnsi="宋体" w:eastAsia="宋体" w:cs="Times New Roman"/>
          <w:color w:val="auto"/>
          <w:highlight w:val="none"/>
          <w:lang w:val="en" w:eastAsia="zh-CN"/>
        </w:rPr>
        <w:t>）扫描参数</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 w:eastAsia="zh-CN"/>
        </w:rPr>
      </w:pPr>
      <w:r>
        <w:rPr>
          <w:rFonts w:hint="eastAsia" w:ascii="宋体" w:hAnsi="宋体" w:eastAsia="宋体" w:cs="Times New Roman"/>
          <w:color w:val="auto"/>
          <w:highlight w:val="none"/>
          <w:lang w:val="en" w:eastAsia="zh-CN"/>
        </w:rPr>
        <w:t>竣工图：要求扫描分辨率不小于300DPI，采用彩色扫描模式，保存为JPEG格式。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 w:eastAsia="zh-CN"/>
        </w:rPr>
      </w:pPr>
      <w:r>
        <w:rPr>
          <w:rFonts w:hint="eastAsia" w:ascii="宋体" w:hAnsi="宋体" w:eastAsia="宋体" w:cs="Times New Roman"/>
          <w:color w:val="auto"/>
          <w:highlight w:val="none"/>
          <w:lang w:val="en" w:eastAsia="zh-CN"/>
        </w:rPr>
        <w:t>文字材料：要求扫描分辨率不小于300DPI，采用彩色扫描模式，保存为PDF格式文件。</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 w:eastAsia="zh-CN"/>
        </w:rPr>
        <w:t>（</w:t>
      </w:r>
      <w:r>
        <w:rPr>
          <w:rFonts w:hint="eastAsia" w:ascii="宋体" w:hAnsi="宋体" w:eastAsia="宋体" w:cs="Times New Roman"/>
          <w:color w:val="auto"/>
          <w:highlight w:val="none"/>
          <w:lang w:val="en-US" w:eastAsia="zh-CN"/>
        </w:rPr>
        <w:t>2</w:t>
      </w:r>
      <w:r>
        <w:rPr>
          <w:rFonts w:hint="eastAsia" w:ascii="宋体" w:hAnsi="宋体" w:eastAsia="宋体" w:cs="Times New Roman"/>
          <w:color w:val="auto"/>
          <w:highlight w:val="none"/>
          <w:lang w:val="en" w:eastAsia="zh-CN"/>
        </w:rPr>
        <w:t>）</w:t>
      </w:r>
      <w:r>
        <w:rPr>
          <w:rFonts w:hint="eastAsia" w:ascii="宋体" w:hAnsi="宋体" w:eastAsia="宋体" w:cs="Times New Roman"/>
          <w:color w:val="auto"/>
          <w:highlight w:val="none"/>
          <w:lang w:val="en-US" w:eastAsia="zh-CN"/>
        </w:rPr>
        <w:t>扫描形成的电子文件命名格式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 w:eastAsia="zh-CN"/>
        </w:rPr>
      </w:pPr>
      <w:r>
        <w:rPr>
          <w:rFonts w:hint="eastAsia" w:ascii="宋体" w:hAnsi="宋体" w:eastAsia="宋体" w:cs="Times New Roman"/>
          <w:color w:val="auto"/>
          <w:highlight w:val="none"/>
          <w:lang w:val="en-US" w:eastAsia="zh-CN"/>
        </w:rPr>
        <w:t xml:space="preserve">扫描文件名称由档号、序号以及文件题名组成，格式：档号－序号（文件题名）。 </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示例：1·2·3·17-5-2（主体结构分部工程质量验收纪要）。</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6.2.7编目：</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（1）编制卷内目录：在比选人已有的档案信息化管理系统中以单份文件为著录对象，按文件在卷内的排列顺序录入档案信息，目录样式宜符合比选人的要求。</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（2）填写卷内备考表：应注明本案卷的文件材料的总页数，以及文字材料页数、图样材料页数、照片的张数。卷内备考表采用120g的无酸牛皮纸打印，样式宜符合比选人的要求。</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（3）编制案卷内封面：案卷应用120g的无酸牛皮纸编制案卷内封面，封面要求机打制作。封面样式宜符合比选人要求。</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（4）编制案卷目录：在比选人已有的档案信息化管理系统中按案卷的排列顺序逐项著录案卷信息，样式宜符合比选人的要求。</w:t>
      </w:r>
    </w:p>
    <w:p>
      <w:pPr>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（5）档案盒脊背：打印并粘贴档案盒脊背贴条，填写档案盒封面，样式符合比选人的要求。</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6.2.8图纸折叠：设计图纸应逐张按A4幅面，采用“手风琴”式内折法，先上下，后左右的方式进行折叠，图标外翻。</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6.2.9装订：以“卷”或“件”为单位对档案资料进行装订。装订时必须去除文件材料上的金属、塑料等不符合归档要求的材料，靠左靠下对齐页面，在距左边线1厘米，距上下边线距3厘米处等分三孔，用棉线装订，在背面中孔打死结，装订好的文件资料不得出现松垮现象。</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6.2.10装盒：每个档案盒内只装一卷档案，文件材料卷的厚度不宜超过30mm，图纸卷不宜超过50mm。</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43" w:name="_Toc24615"/>
      <w:bookmarkStart w:id="1744" w:name="_Toc11181"/>
      <w:r>
        <w:rPr>
          <w:rFonts w:hint="eastAsia" w:ascii="宋体" w:hAnsi="宋体" w:eastAsia="宋体" w:cs="Times New Roman"/>
          <w:b/>
          <w:color w:val="auto"/>
          <w:szCs w:val="21"/>
          <w:highlight w:val="none"/>
          <w:lang w:val="en-US" w:eastAsia="zh-CN"/>
        </w:rPr>
        <w:t>6.3会计档案整理</w:t>
      </w:r>
      <w:bookmarkEnd w:id="1743"/>
      <w:bookmarkEnd w:id="1744"/>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6.3.1参照标准：《会计档案管理办法》（财政部、国家档案局令第79号）。</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6.3.2组卷及分类</w:t>
      </w:r>
      <w:r>
        <w:rPr>
          <w:rFonts w:hint="eastAsia" w:ascii="宋体" w:hAnsi="宋体" w:eastAsia="宋体" w:cs="Times New Roman"/>
          <w:color w:val="auto"/>
          <w:highlight w:val="none"/>
          <w:lang w:val="zh-CN" w:eastAsia="zh-CN"/>
        </w:rPr>
        <w:t>：会计档案按照类别、机构、年度、保管期限等分类项进行分类，按“卷”进行归档整理。</w:t>
      </w:r>
      <w:r>
        <w:rPr>
          <w:rFonts w:hint="eastAsia" w:ascii="宋体" w:hAnsi="宋体" w:eastAsia="宋体" w:cs="Times New Roman"/>
          <w:color w:val="auto"/>
          <w:highlight w:val="none"/>
          <w:lang w:val="en-US" w:eastAsia="zh-CN"/>
        </w:rPr>
        <w:t>会计档案二级类目分为凭证</w:t>
      </w:r>
      <w:r>
        <w:rPr>
          <w:rFonts w:hint="eastAsia" w:ascii="宋体" w:hAnsi="宋体" w:eastAsia="宋体" w:cs="Times New Roman"/>
          <w:color w:val="auto"/>
          <w:highlight w:val="none"/>
          <w:lang w:val="en-US" w:eastAsia="en-US"/>
        </w:rPr>
        <w:t>（K</w:t>
      </w:r>
      <w:r>
        <w:rPr>
          <w:rFonts w:hint="eastAsia" w:ascii="宋体" w:hAnsi="宋体" w:eastAsia="宋体" w:cs="Times New Roman"/>
          <w:color w:val="auto"/>
          <w:highlight w:val="none"/>
          <w:lang w:val="en-US" w:eastAsia="zh-CN"/>
        </w:rPr>
        <w:t>U</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01</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账簿</w:t>
      </w:r>
      <w:r>
        <w:rPr>
          <w:rFonts w:hint="eastAsia" w:ascii="宋体" w:hAnsi="宋体" w:eastAsia="宋体" w:cs="Times New Roman"/>
          <w:color w:val="auto"/>
          <w:highlight w:val="none"/>
          <w:lang w:val="en-US" w:eastAsia="en-US"/>
        </w:rPr>
        <w:t>（K</w:t>
      </w:r>
      <w:r>
        <w:rPr>
          <w:rFonts w:hint="eastAsia" w:ascii="宋体" w:hAnsi="宋体" w:eastAsia="宋体" w:cs="Times New Roman"/>
          <w:color w:val="auto"/>
          <w:highlight w:val="none"/>
          <w:lang w:val="en-US" w:eastAsia="zh-CN"/>
        </w:rPr>
        <w:t>U</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02</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财务报告</w:t>
      </w:r>
      <w:r>
        <w:rPr>
          <w:rFonts w:hint="eastAsia" w:ascii="宋体" w:hAnsi="宋体" w:eastAsia="宋体" w:cs="Times New Roman"/>
          <w:color w:val="auto"/>
          <w:highlight w:val="none"/>
          <w:lang w:val="en-US" w:eastAsia="en-US"/>
        </w:rPr>
        <w:t>（K</w:t>
      </w:r>
      <w:r>
        <w:rPr>
          <w:rFonts w:hint="eastAsia" w:ascii="宋体" w:hAnsi="宋体" w:eastAsia="宋体" w:cs="Times New Roman"/>
          <w:color w:val="auto"/>
          <w:highlight w:val="none"/>
          <w:lang w:val="en-US" w:eastAsia="zh-CN"/>
        </w:rPr>
        <w:t>U</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03</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、其他会计资料</w:t>
      </w:r>
      <w:r>
        <w:rPr>
          <w:rFonts w:hint="eastAsia" w:ascii="宋体" w:hAnsi="宋体" w:eastAsia="宋体" w:cs="Times New Roman"/>
          <w:color w:val="auto"/>
          <w:highlight w:val="none"/>
          <w:lang w:val="en-US" w:eastAsia="en-US"/>
        </w:rPr>
        <w:t>（K</w:t>
      </w:r>
      <w:r>
        <w:rPr>
          <w:rFonts w:hint="eastAsia" w:ascii="宋体" w:hAnsi="宋体" w:eastAsia="宋体" w:cs="Times New Roman"/>
          <w:color w:val="auto"/>
          <w:highlight w:val="none"/>
          <w:lang w:val="en-US" w:eastAsia="zh-CN"/>
        </w:rPr>
        <w:t>U</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04</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共4类。会计凭证按照记账的先后顺序组卷。</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6.3.3编页码：会计报表、工资表卷内文件材料均按有书写内容的页面编写页码。每卷单独编页，页号从“1”开始。</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6.3.4鉴定保管期限：按要求将会计档案的保管期限分为永久和定期两类，定期保管期限分为10年和30年。</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en-US" w:eastAsia="zh-CN"/>
        </w:rPr>
        <w:t>6.3.5</w:t>
      </w:r>
      <w:r>
        <w:rPr>
          <w:rFonts w:hint="eastAsia" w:ascii="宋体" w:hAnsi="宋体" w:eastAsia="宋体" w:cs="Times New Roman"/>
          <w:color w:val="auto"/>
          <w:highlight w:val="none"/>
          <w:lang w:val="zh-CN" w:eastAsia="zh-CN"/>
        </w:rPr>
        <w:t>编号：同一类别下的案卷按形成时间先后顺序编制一个顺序号。档号结构为：全宗号－档案门类代码·会计档案类别代码·年度－保管期限代码-案卷号。</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会计档号编制示例：</w:t>
      </w:r>
      <w:r>
        <w:rPr>
          <w:rFonts w:hint="eastAsia" w:ascii="宋体" w:hAnsi="宋体" w:eastAsia="宋体" w:cs="Times New Roman"/>
          <w:color w:val="auto"/>
          <w:highlight w:val="none"/>
          <w:lang w:val="en-US" w:eastAsia="zh-CN"/>
        </w:rPr>
        <w:t>0000</w:t>
      </w:r>
      <w:r>
        <w:rPr>
          <w:rFonts w:hint="eastAsia" w:ascii="宋体" w:hAnsi="宋体" w:eastAsia="宋体" w:cs="Times New Roman"/>
          <w:color w:val="auto"/>
          <w:highlight w:val="none"/>
          <w:lang w:val="zh-CN" w:eastAsia="zh-CN"/>
        </w:rPr>
        <w:t>- KU·01·2022-Y-001</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档号章填写示例：</w:t>
      </w:r>
    </w:p>
    <w:tbl>
      <w:tblPr>
        <w:tblStyle w:val="33"/>
        <w:tblpPr w:leftFromText="180" w:rightFromText="180" w:vertAnchor="text" w:horzAnchor="page" w:tblpX="4141" w:tblpY="54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5"/>
        <w:gridCol w:w="1372"/>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noWrap w:val="0"/>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全宗号</w:t>
            </w:r>
          </w:p>
        </w:tc>
        <w:tc>
          <w:tcPr>
            <w:tcW w:w="1372" w:type="dxa"/>
            <w:noWrap w:val="0"/>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类别号</w:t>
            </w:r>
          </w:p>
        </w:tc>
        <w:tc>
          <w:tcPr>
            <w:tcW w:w="1470" w:type="dxa"/>
            <w:noWrap w:val="0"/>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年度</w:t>
            </w:r>
          </w:p>
        </w:tc>
        <w:tc>
          <w:tcPr>
            <w:tcW w:w="1470" w:type="dxa"/>
            <w:noWrap w:val="0"/>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46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CN" w:eastAsia="zh-CN"/>
              </w:rPr>
            </w:pPr>
          </w:p>
        </w:tc>
        <w:tc>
          <w:tcPr>
            <w:tcW w:w="1372"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en" w:eastAsia="zh-CN"/>
              </w:rPr>
              <w:t>K</w:t>
            </w:r>
            <w:r>
              <w:rPr>
                <w:rFonts w:hint="eastAsia" w:ascii="宋体" w:hAnsi="宋体" w:eastAsia="宋体" w:cs="Times New Roman"/>
                <w:color w:val="auto"/>
                <w:highlight w:val="none"/>
                <w:lang w:val="zh-CN" w:eastAsia="zh-CN"/>
              </w:rPr>
              <w:t>U·0</w:t>
            </w:r>
            <w:r>
              <w:rPr>
                <w:rFonts w:hint="eastAsia" w:ascii="宋体" w:hAnsi="宋体" w:eastAsia="宋体" w:cs="Times New Roman"/>
                <w:color w:val="auto"/>
                <w:highlight w:val="none"/>
                <w:lang w:val="en" w:eastAsia="zh-CN"/>
              </w:rPr>
              <w:t>1</w:t>
            </w:r>
          </w:p>
        </w:tc>
        <w:tc>
          <w:tcPr>
            <w:tcW w:w="1470"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2022</w:t>
            </w:r>
          </w:p>
        </w:tc>
        <w:tc>
          <w:tcPr>
            <w:tcW w:w="1470"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1</w:t>
            </w:r>
          </w:p>
        </w:tc>
      </w:tr>
    </w:tbl>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mc:AlternateContent>
          <mc:Choice Requires="wps">
            <w:drawing>
              <wp:anchor distT="0" distB="0" distL="114300" distR="114300" simplePos="0" relativeHeight="251665408" behindDoc="0" locked="0" layoutInCell="1" allowOverlap="1">
                <wp:simplePos x="0" y="0"/>
                <wp:positionH relativeFrom="column">
                  <wp:posOffset>1504950</wp:posOffset>
                </wp:positionH>
                <wp:positionV relativeFrom="paragraph">
                  <wp:posOffset>27940</wp:posOffset>
                </wp:positionV>
                <wp:extent cx="18415" cy="1047750"/>
                <wp:effectExtent l="47625" t="0" r="48260" b="0"/>
                <wp:wrapNone/>
                <wp:docPr id="16" name="直接连接符 16"/>
                <wp:cNvGraphicFramePr/>
                <a:graphic xmlns:a="http://schemas.openxmlformats.org/drawingml/2006/main">
                  <a:graphicData uri="http://schemas.microsoft.com/office/word/2010/wordprocessingShape">
                    <wps:wsp>
                      <wps:cNvCnPr/>
                      <wps:spPr>
                        <a:xfrm>
                          <a:off x="0" y="0"/>
                          <a:ext cx="18415" cy="1047750"/>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18.5pt;margin-top:2.2pt;height:82.5pt;width:1.45pt;z-index:251665408;mso-width-relative:page;mso-height-relative:page;" filled="f" stroked="t" coordsize="21600,21600" o:gfxdata="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pfso3AAAAAkBAAAPAAAAAAAAAAEAIAAAACIAAABkcnMvZG93&#10;bnJldi54bWxQSwECFAAUAAAACACHTuJA6ggzJPwBAADsAwAADgAAAAAAAAABACAAAAArAQAAZHJz&#10;L2Uyb0RvYy54bWxQSwUGAAAAAAYABgBZAQAAmQUAAAAA&#10;">
                <v:fill on="f" focussize="0,0"/>
                <v:stroke color="#000000" joinstyle="round" startarrow="open" endarrow="open"/>
                <v:imagedata o:title=""/>
                <o:lock v:ext="edit" aspectratio="f"/>
              </v:line>
            </w:pict>
          </mc:Fallback>
        </mc:AlternateContent>
      </w:r>
    </w:p>
    <w:p>
      <w:pPr>
        <w:keepNext w:val="0"/>
        <w:keepLines w:val="0"/>
        <w:pageBreakBefore w:val="0"/>
        <w:kinsoku/>
        <w:wordWrap/>
        <w:overflowPunct/>
        <w:topLinePunct w:val="0"/>
        <w:bidi w:val="0"/>
        <w:spacing w:before="0" w:after="0" w:afterAutospacing="0" w:line="360" w:lineRule="auto"/>
        <w:ind w:left="0" w:right="0" w:firstLine="1680" w:firstLineChars="8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2*10</w:t>
      </w:r>
      <w:r>
        <w:rPr>
          <w:rFonts w:hint="eastAsia" w:ascii="宋体" w:hAnsi="宋体" w:eastAsia="宋体" w:cs="Times New Roman"/>
          <w:color w:val="auto"/>
          <w:highlight w:val="none"/>
          <w:lang w:val="en" w:eastAsia="zh-CN"/>
        </w:rPr>
        <w:t>mm</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mc:AlternateContent>
          <mc:Choice Requires="wps">
            <w:drawing>
              <wp:anchor distT="0" distB="0" distL="114300" distR="114300" simplePos="0" relativeHeight="251666432" behindDoc="0" locked="0" layoutInCell="1" allowOverlap="1">
                <wp:simplePos x="0" y="0"/>
                <wp:positionH relativeFrom="column">
                  <wp:posOffset>1666240</wp:posOffset>
                </wp:positionH>
                <wp:positionV relativeFrom="paragraph">
                  <wp:posOffset>323215</wp:posOffset>
                </wp:positionV>
                <wp:extent cx="3686175" cy="9525"/>
                <wp:effectExtent l="0" t="48895" r="9525" b="55880"/>
                <wp:wrapNone/>
                <wp:docPr id="17" name="直接连接符 17"/>
                <wp:cNvGraphicFramePr/>
                <a:graphic xmlns:a="http://schemas.openxmlformats.org/drawingml/2006/main">
                  <a:graphicData uri="http://schemas.microsoft.com/office/word/2010/wordprocessingShape">
                    <wps:wsp>
                      <wps:cNvCnPr/>
                      <wps:spPr>
                        <a:xfrm>
                          <a:off x="0" y="0"/>
                          <a:ext cx="3686175" cy="952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31.2pt;margin-top:25.45pt;height:0.75pt;width:290.25pt;z-index:251666432;mso-width-relative:page;mso-height-relative:page;" filled="f" stroked="t" coordsize="21600,21600" o:gfxdata="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lZ2StoAAAAJAQAADwAAAAAAAAABACAAAAAiAAAAZHJzL2Rvd25yZXYueG1s&#10;UEsBAhQAFAAAAAgAh07iQFnvBXf2AQAA6wMAAA4AAAAAAAAAAQAgAAAAKQEAAGRycy9lMm9Eb2Mu&#10;eG1sUEsFBgAAAAAGAAYAWQEAAJEFAAAAAA==&#10;">
                <v:fill on="f" focussize="0,0"/>
                <v:stroke color="#000000" joinstyle="round" startarrow="open" endarrow="open"/>
                <v:imagedata o:title=""/>
                <o:lock v:ext="edit" aspectratio="f"/>
              </v:line>
            </w:pict>
          </mc:Fallback>
        </mc:AlternateConten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p>
    <w:p>
      <w:pPr>
        <w:keepNext w:val="0"/>
        <w:keepLines w:val="0"/>
        <w:pageBreakBefore w:val="0"/>
        <w:kinsoku/>
        <w:wordWrap/>
        <w:overflowPunct/>
        <w:topLinePunct w:val="0"/>
        <w:bidi w:val="0"/>
        <w:spacing w:before="0" w:after="0" w:afterAutospacing="0" w:line="360" w:lineRule="auto"/>
        <w:ind w:left="0" w:right="0" w:firstLine="5670" w:firstLineChars="27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zh-CN" w:eastAsia="zh-CN"/>
        </w:rPr>
        <w:t>4*18</w:t>
      </w:r>
      <w:r>
        <w:rPr>
          <w:rFonts w:hint="eastAsia" w:ascii="宋体" w:hAnsi="宋体" w:eastAsia="宋体" w:cs="Times New Roman"/>
          <w:color w:val="auto"/>
          <w:highlight w:val="none"/>
          <w:lang w:val="en" w:eastAsia="zh-CN"/>
        </w:rPr>
        <w:t>mm</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 w:eastAsia="zh-CN"/>
        </w:rPr>
        <w:t>（注：会计档号章规格为</w:t>
      </w:r>
      <w:r>
        <w:rPr>
          <w:rFonts w:hint="eastAsia" w:ascii="宋体" w:hAnsi="宋体" w:eastAsia="宋体" w:cs="Times New Roman"/>
          <w:color w:val="auto"/>
          <w:highlight w:val="none"/>
          <w:lang w:val="zh-CN" w:eastAsia="zh-CN"/>
        </w:rPr>
        <w:t>长4*18</w:t>
      </w:r>
      <w:r>
        <w:rPr>
          <w:rFonts w:hint="eastAsia" w:ascii="宋体" w:hAnsi="宋体" w:eastAsia="宋体" w:cs="Times New Roman"/>
          <w:color w:val="auto"/>
          <w:highlight w:val="none"/>
          <w:lang w:val="en" w:eastAsia="zh-CN"/>
        </w:rPr>
        <w:t>mm、宽</w:t>
      </w:r>
      <w:r>
        <w:rPr>
          <w:rFonts w:hint="eastAsia" w:ascii="宋体" w:hAnsi="宋体" w:eastAsia="宋体" w:cs="Times New Roman"/>
          <w:color w:val="auto"/>
          <w:highlight w:val="none"/>
          <w:lang w:val="zh-CN" w:eastAsia="zh-CN"/>
        </w:rPr>
        <w:t>2*10</w:t>
      </w:r>
      <w:r>
        <w:rPr>
          <w:rFonts w:hint="eastAsia" w:ascii="宋体" w:hAnsi="宋体" w:eastAsia="宋体" w:cs="Times New Roman"/>
          <w:color w:val="auto"/>
          <w:highlight w:val="none"/>
          <w:lang w:val="en" w:eastAsia="zh-CN"/>
        </w:rPr>
        <w:t>mm，不可随意改动规格大小。）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6.3.6编制案卷目录：以单卷文件为著录对象著录案卷信息，目录样式宜符合比选人的要求。</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6.3.7编制案卷封面和备考表：按照比选人要求的格式编制案卷封面和备考表。会计凭证使用国家统一标准的“会计档案凭证软封面”，封面按项目填写。</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6.3.8数据导入：在比选人已有的档案信息化管理系统中导入卷内文件目录、案卷目录。</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6.3.9装订：以“册”为单位，取适当厚度并按照案卷封面－卷内文件材料－备考表的排列整齐后，采用三孔一线方法，齐下齐左，在案卷的左侧装订，装订好的文件资料不得出现松垮、压字等现象。</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6.3.10装盒：按案卷号顺序每个档案盒装一册会计资料，不同类的档案不能混装一盒。以盖章方式填写档案盒封面信息。</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45" w:name="_Toc4863"/>
      <w:bookmarkStart w:id="1746" w:name="_Toc16270"/>
      <w:r>
        <w:rPr>
          <w:rFonts w:hint="eastAsia" w:ascii="宋体" w:hAnsi="宋体" w:eastAsia="宋体" w:cs="Times New Roman"/>
          <w:b/>
          <w:color w:val="auto"/>
          <w:szCs w:val="21"/>
          <w:highlight w:val="none"/>
          <w:lang w:val="en-US" w:eastAsia="zh-CN"/>
        </w:rPr>
        <w:t>6.4照片档案整理</w:t>
      </w:r>
      <w:bookmarkEnd w:id="1745"/>
      <w:bookmarkEnd w:id="1746"/>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6.4.1参考标准：《档案著录规则》（GB/T 18）、《照片档案管理规范》（GB/T 11821）</w:t>
      </w:r>
      <w:r>
        <w:rPr>
          <w:rFonts w:hint="eastAsia" w:ascii="宋体" w:hAnsi="宋体" w:eastAsia="宋体" w:cs="Times New Roman"/>
          <w:color w:val="auto"/>
          <w:highlight w:val="none"/>
          <w:lang w:val="zh-CN" w:eastAsia="zh-CN"/>
        </w:rPr>
        <w:t>。</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6.4.2组卷：照片档案的整理应遵循照片档案的有机联系、便于保管和利用。照片档案的底片、照片应存放在照片盒内，数字照片的光盘，移动硬盘应单独存放。</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6.4.3分类：照片档案按形成年度、保管期限等分类项进行分类，按“件”进行归档整理。基建档案的工程照片随基建档案一同编排，不按此规则编制。照片的保管期限是按照片的价值划定的存留年限，分为永久、30年、10年三种。</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6.4.4排列：应在分类方案的最低一级类目内，照片在全宗、年度、类别内按时间、重要程度等进行排列。为便于提供利用，照片排列及入册时应同时考虑不同保密等级照片的定位。</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6.4.5编号：在照片背面按照片排列顺序逐张编号。照片号是固定和反映每张照片在全宗内分类与排列顺序的一组字符代码。</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（1）传统照片</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档号结构为：全宗号-档案门类代码·年度-保管期限代码-册号一件号。</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档号编制示例：0000-ZP·2022-Y-001-0001</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档号章填写示例：</w:t>
      </w:r>
    </w:p>
    <w:tbl>
      <w:tblPr>
        <w:tblStyle w:val="33"/>
        <w:tblpPr w:leftFromText="180" w:rightFromText="180" w:vertAnchor="text" w:horzAnchor="page" w:tblpX="4276"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505" w:type="dxa"/>
            <w:noWrap w:val="0"/>
            <w:vAlign w:val="center"/>
          </w:tcPr>
          <w:p>
            <w:pPr>
              <w:pStyle w:val="73"/>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档  号</w:t>
            </w:r>
          </w:p>
        </w:tc>
        <w:tc>
          <w:tcPr>
            <w:tcW w:w="1215" w:type="dxa"/>
            <w:noWrap w:val="0"/>
            <w:vAlign w:val="center"/>
          </w:tcPr>
          <w:p>
            <w:pPr>
              <w:pStyle w:val="73"/>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505" w:type="dxa"/>
            <w:noWrap w:val="0"/>
            <w:vAlign w:val="center"/>
          </w:tcPr>
          <w:p>
            <w:pPr>
              <w:pStyle w:val="73"/>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ZP·2022-Y-1</w:t>
            </w:r>
          </w:p>
        </w:tc>
        <w:tc>
          <w:tcPr>
            <w:tcW w:w="1215" w:type="dxa"/>
            <w:noWrap w:val="0"/>
            <w:vAlign w:val="center"/>
          </w:tcPr>
          <w:p>
            <w:pPr>
              <w:pStyle w:val="73"/>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r>
    </w:tbl>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p>
    <w:p>
      <w:pPr>
        <w:pStyle w:val="73"/>
        <w:keepNext w:val="0"/>
        <w:keepLines w:val="0"/>
        <w:pageBreakBefore w:val="0"/>
        <w:kinsoku/>
        <w:wordWrap/>
        <w:overflowPunct/>
        <w:topLinePunct w:val="0"/>
        <w:bidi w:val="0"/>
        <w:spacing w:before="0" w:after="0" w:afterAutospacing="0" w:line="360" w:lineRule="auto"/>
        <w:ind w:left="0" w:right="0" w:firstLine="1890" w:firstLineChars="9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2*10</w:t>
      </w:r>
      <w:r>
        <w:rPr>
          <w:rFonts w:hint="eastAsia" w:ascii="宋体" w:hAnsi="宋体" w:eastAsia="宋体" w:cs="宋体"/>
          <w:color w:val="auto"/>
          <w:sz w:val="21"/>
          <w:szCs w:val="21"/>
          <w:highlight w:val="none"/>
          <w:lang w:val="en" w:eastAsia="zh-CN"/>
        </w:rPr>
        <w:t>mm</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 w:eastAsia="zh-CN"/>
        </w:rPr>
      </w:pP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 w:eastAsia="zh-CN"/>
        </w:rPr>
      </w:pP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mc:AlternateContent>
          <mc:Choice Requires="wps">
            <w:drawing>
              <wp:anchor distT="0" distB="0" distL="114300" distR="114300" simplePos="0" relativeHeight="251667456" behindDoc="0" locked="0" layoutInCell="1" allowOverlap="1">
                <wp:simplePos x="0" y="0"/>
                <wp:positionH relativeFrom="column">
                  <wp:posOffset>1704975</wp:posOffset>
                </wp:positionH>
                <wp:positionV relativeFrom="paragraph">
                  <wp:posOffset>123825</wp:posOffset>
                </wp:positionV>
                <wp:extent cx="2496185" cy="2540"/>
                <wp:effectExtent l="0" t="48895" r="18415" b="62865"/>
                <wp:wrapNone/>
                <wp:docPr id="18" name="直接连接符 18"/>
                <wp:cNvGraphicFramePr/>
                <a:graphic xmlns:a="http://schemas.openxmlformats.org/drawingml/2006/main">
                  <a:graphicData uri="http://schemas.microsoft.com/office/word/2010/wordprocessingShape">
                    <wps:wsp>
                      <wps:cNvCnPr/>
                      <wps:spPr>
                        <a:xfrm>
                          <a:off x="0" y="0"/>
                          <a:ext cx="2496185" cy="2540"/>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34.25pt;margin-top:9.75pt;height:0.2pt;width:196.55pt;z-index:251667456;mso-width-relative:page;mso-height-relative:page;" filled="f" stroked="t" coordsize="21600,21600" o:gfxdata="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ueHd2gAAAAkBAAAPAAAAAAAAAAEAIAAAACIAAABkcnMvZG93bnJl&#10;di54bWxQSwECFAAUAAAACACHTuJAkxtmcPsBAADrAwAADgAAAAAAAAABACAAAAApAQAAZHJzL2Uy&#10;b0RvYy54bWxQSwUGAAAAAAYABgBZAQAAlgUAAAAA&#10;">
                <v:fill on="f" focussize="0,0"/>
                <v:stroke color="#000000" joinstyle="round" startarrow="open" endarrow="open"/>
                <v:imagedata o:title=""/>
                <o:lock v:ext="edit" aspectratio="f"/>
              </v:line>
            </w:pict>
          </mc:Fallback>
        </mc:AlternateContent>
      </w:r>
    </w:p>
    <w:p>
      <w:pPr>
        <w:pStyle w:val="73"/>
        <w:keepNext w:val="0"/>
        <w:keepLines w:val="0"/>
        <w:pageBreakBefore w:val="0"/>
        <w:kinsoku/>
        <w:wordWrap/>
        <w:overflowPunct/>
        <w:topLinePunct w:val="0"/>
        <w:bidi w:val="0"/>
        <w:spacing w:before="0" w:after="0" w:afterAutospacing="0" w:line="360" w:lineRule="auto"/>
        <w:ind w:left="0" w:right="0" w:firstLine="4410" w:firstLineChars="2100"/>
        <w:rPr>
          <w:rFonts w:hint="eastAsia" w:ascii="宋体" w:hAnsi="宋体" w:eastAsia="宋体" w:cs="宋体"/>
          <w:color w:val="auto"/>
          <w:sz w:val="21"/>
          <w:szCs w:val="21"/>
          <w:highlight w:val="none"/>
          <w:lang w:val="en" w:eastAsia="zh-CN"/>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lang w:val="en" w:eastAsia="zh-CN"/>
        </w:rPr>
        <w:t>mm</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val="en" w:eastAsia="zh-CN"/>
        </w:rPr>
        <w:t>mm</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 w:eastAsia="zh-CN"/>
        </w:rPr>
      </w:pPr>
      <w:r>
        <w:rPr>
          <w:rFonts w:hint="eastAsia" w:ascii="宋体" w:hAnsi="宋体" w:eastAsia="宋体" w:cs="宋体"/>
          <w:color w:val="auto"/>
          <w:sz w:val="21"/>
          <w:szCs w:val="21"/>
          <w:highlight w:val="none"/>
          <w:lang w:val="en" w:eastAsia="zh-CN"/>
        </w:rPr>
        <w:t>（注：照片档号章规格为长</w:t>
      </w: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lang w:val="en" w:eastAsia="zh-CN"/>
        </w:rPr>
        <w:t>mm</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val="en" w:eastAsia="zh-CN"/>
        </w:rPr>
        <w:t>mm，宽为</w:t>
      </w:r>
      <w:r>
        <w:rPr>
          <w:rFonts w:hint="eastAsia" w:ascii="宋体" w:hAnsi="宋体" w:eastAsia="宋体" w:cs="宋体"/>
          <w:color w:val="auto"/>
          <w:sz w:val="21"/>
          <w:szCs w:val="21"/>
          <w:highlight w:val="none"/>
          <w:lang w:val="en-US" w:eastAsia="zh-CN"/>
        </w:rPr>
        <w:t>2*10</w:t>
      </w:r>
      <w:r>
        <w:rPr>
          <w:rFonts w:hint="eastAsia" w:ascii="宋体" w:hAnsi="宋体" w:eastAsia="宋体" w:cs="宋体"/>
          <w:color w:val="auto"/>
          <w:sz w:val="21"/>
          <w:szCs w:val="21"/>
          <w:highlight w:val="none"/>
          <w:lang w:val="en" w:eastAsia="zh-CN"/>
        </w:rPr>
        <w:t>mm，不可随意改动规格大小。）</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（2）数码照片档案（以电子形式存档的）</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档号结构为：全宗号-档案门类代码-保管期限代码-年度-照片组号一件号。</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档号示例：0000-ZP-Y-2022-0001-0001</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仿宋" w:hAnsi="仿宋" w:eastAsia="仿宋" w:cs="仿宋"/>
          <w:snapToGrid w:val="0"/>
          <w:color w:val="auto"/>
          <w:highlight w:val="none"/>
        </w:rPr>
      </w:pPr>
      <w:r>
        <w:rPr>
          <w:rFonts w:hint="eastAsia" w:ascii="宋体" w:hAnsi="宋体" w:eastAsia="宋体" w:cs="宋体"/>
          <w:color w:val="auto"/>
          <w:sz w:val="21"/>
          <w:szCs w:val="21"/>
          <w:highlight w:val="none"/>
          <w:lang w:val="en-US" w:eastAsia="zh-CN"/>
        </w:rPr>
        <w:t>（注：照片命名时需加上.</w:t>
      </w:r>
      <w:r>
        <w:rPr>
          <w:rFonts w:hint="eastAsia" w:ascii="宋体" w:hAnsi="宋体" w:eastAsia="宋体" w:cs="宋体"/>
          <w:color w:val="auto"/>
          <w:sz w:val="21"/>
          <w:szCs w:val="21"/>
          <w:highlight w:val="none"/>
          <w:lang w:val="en" w:eastAsia="zh-CN"/>
        </w:rPr>
        <w:t>jpg的后缀</w:t>
      </w:r>
      <w:r>
        <w:rPr>
          <w:rFonts w:hint="eastAsia" w:ascii="宋体" w:hAnsi="宋体" w:eastAsia="宋体" w:cs="宋体"/>
          <w:color w:val="auto"/>
          <w:sz w:val="21"/>
          <w:szCs w:val="21"/>
          <w:highlight w:val="none"/>
          <w:lang w:val="en-US" w:eastAsia="zh-CN"/>
        </w:rPr>
        <w:t>，命名格式为ZP-Y-2022-0001-0001.</w:t>
      </w:r>
      <w:r>
        <w:rPr>
          <w:rFonts w:hint="eastAsia" w:ascii="宋体" w:hAnsi="宋体" w:eastAsia="宋体" w:cs="宋体"/>
          <w:color w:val="auto"/>
          <w:sz w:val="21"/>
          <w:szCs w:val="21"/>
          <w:highlight w:val="none"/>
          <w:lang w:val="en" w:eastAsia="zh-CN"/>
        </w:rPr>
        <w:t>jpg）</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6.4.6照片的入册：应按照分类、排列顺序即照片号顺序将照片固定在芯页上，组成照片册。</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6.4.7照片册的封面：照片册的封面应印制“照片档案”字样。</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6.4.8照片册的册脊：照片册册脊项目包括：全宗号、保管期限、类别、册号、起止账号。</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6.4.9照片册的排列：照片册按照全宗号、保管期限、册号的顺序排列，上架保存。</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6.4.10目录编制：册内目录设置照片号、题名、摄影者、拍摄时间、参见号、备注等项目。册内目录的条目应按照片号排序。册内目录位于册内最前面。</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6.4.11册内备考表：包括本册情况说明、立册人、检查人、立册时间。册内备考表应放在册内最后位置。</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47" w:name="_Toc18464"/>
      <w:bookmarkStart w:id="1748" w:name="_Toc20615"/>
      <w:r>
        <w:rPr>
          <w:rFonts w:hint="eastAsia" w:ascii="宋体" w:hAnsi="宋体" w:eastAsia="宋体" w:cs="Times New Roman"/>
          <w:b/>
          <w:color w:val="auto"/>
          <w:szCs w:val="21"/>
          <w:highlight w:val="none"/>
          <w:lang w:val="en-US" w:eastAsia="zh-CN"/>
        </w:rPr>
        <w:t>6.5录音录像档案</w:t>
      </w:r>
      <w:bookmarkEnd w:id="1747"/>
      <w:bookmarkEnd w:id="1748"/>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en-US" w:eastAsia="zh-CN"/>
        </w:rPr>
        <w:t>6.5.1参考标准：《档案著录规则》（GB/T 18）、</w:t>
      </w:r>
      <w:r>
        <w:rPr>
          <w:rFonts w:hint="default" w:ascii="宋体" w:hAnsi="宋体" w:eastAsia="宋体" w:cs="Times New Roman"/>
          <w:color w:val="auto"/>
          <w:highlight w:val="none"/>
          <w:lang w:val="zh-CN" w:eastAsia="zh-CN"/>
        </w:rPr>
        <w:t>《录音录像档案管理规范》（DA/T 78—2019）</w:t>
      </w:r>
      <w:r>
        <w:rPr>
          <w:rFonts w:hint="eastAsia" w:ascii="宋体" w:hAnsi="宋体" w:eastAsia="宋体" w:cs="Times New Roman"/>
          <w:color w:val="auto"/>
          <w:highlight w:val="none"/>
          <w:lang w:val="zh-CN" w:eastAsia="zh-CN"/>
        </w:rPr>
        <w:t>。</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CN"/>
        </w:rPr>
      </w:pPr>
      <w:r>
        <w:rPr>
          <w:rFonts w:hint="eastAsia" w:ascii="宋体" w:hAnsi="宋体" w:eastAsia="宋体" w:cs="Times New Roman"/>
          <w:color w:val="auto"/>
          <w:highlight w:val="none"/>
          <w:lang w:val="en-US" w:eastAsia="zh-CN"/>
        </w:rPr>
        <w:t>6.5.2组卷：</w:t>
      </w:r>
      <w:r>
        <w:rPr>
          <w:rFonts w:hint="eastAsia" w:ascii="宋体" w:hAnsi="宋体" w:eastAsia="宋体" w:cs="Times New Roman"/>
          <w:color w:val="auto"/>
          <w:highlight w:val="none"/>
          <w:lang w:val="zh-TW" w:eastAsia="zh-CN"/>
        </w:rPr>
        <w:t>录音、录像的整理应遵循保持录音、录像的有机联系、便于保管和利用的原则。</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CN"/>
        </w:rPr>
      </w:pPr>
      <w:r>
        <w:rPr>
          <w:rFonts w:hint="eastAsia" w:ascii="宋体" w:hAnsi="宋体" w:eastAsia="宋体" w:cs="Times New Roman"/>
          <w:color w:val="auto"/>
          <w:highlight w:val="none"/>
          <w:lang w:val="en-US" w:eastAsia="zh-CN"/>
        </w:rPr>
        <w:t>6.5.3排列：</w:t>
      </w:r>
      <w:r>
        <w:rPr>
          <w:rFonts w:hint="eastAsia" w:ascii="宋体" w:hAnsi="宋体" w:eastAsia="宋体" w:cs="Times New Roman"/>
          <w:color w:val="auto"/>
          <w:highlight w:val="none"/>
          <w:lang w:val="zh-TW" w:eastAsia="zh-CN"/>
        </w:rPr>
        <w:t>根据分类方案，每件归档录音、录像在最低一级类目内按时间先后顺序排列。</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6.5.4编号：录音、录像档案按照年度、保管期限等分类项进行分类，按“件”进行归档整理。基建档案的工程录像资料随基建档案一同编排，不按此规则编制。</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（1）录音档号结构为：全宗号－档案门类代码·年度－保管期限代码－件号。</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档号编制示例：0000-LY·2022-Y-0001</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（2）录像档号结构为：全宗号－档案门类代码·年度－保管期限代码－件号。</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档号编制示例：0000-LX·2022-Y-0001</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CN"/>
        </w:rPr>
      </w:pPr>
      <w:r>
        <w:rPr>
          <w:rFonts w:hint="eastAsia" w:ascii="宋体" w:hAnsi="宋体" w:eastAsia="宋体" w:cs="Times New Roman"/>
          <w:color w:val="auto"/>
          <w:highlight w:val="none"/>
          <w:lang w:val="en-US" w:eastAsia="zh-CN"/>
        </w:rPr>
        <w:t>6.5.5著录：</w:t>
      </w:r>
      <w:r>
        <w:rPr>
          <w:rFonts w:hint="eastAsia" w:ascii="宋体" w:hAnsi="宋体" w:eastAsia="宋体" w:cs="Times New Roman"/>
          <w:color w:val="auto"/>
          <w:highlight w:val="none"/>
          <w:lang w:val="zh-TW" w:eastAsia="zh-CN"/>
        </w:rPr>
        <w:t>每件录音、录像都应按分类方案，在相关的管理软件上著录各项目要素，并打印出归档目录。录音、录像档案目录包括档号、责任者、题名、时间长度（分、秒）、起始标志、结束标志、现存载体编号、原存载体编号、参见号、备注。录音、录像档案目录用纸幅面尺寸采用国际标准A4型（长×宽=279mm×210mm）横排</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6.5.6编目：</w:t>
      </w:r>
      <w:r>
        <w:rPr>
          <w:rFonts w:hint="eastAsia" w:ascii="宋体" w:hAnsi="宋体" w:eastAsia="宋体" w:cs="Times New Roman"/>
          <w:color w:val="auto"/>
          <w:highlight w:val="none"/>
          <w:lang w:val="zh-TW" w:eastAsia="zh-CN"/>
        </w:rPr>
        <w:t>录音、录像档案目录应编制目录封面。封面可以视需要设置全宗名称、录音（录像）档案、年度、类别。</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6.5.7上架：</w:t>
      </w:r>
      <w:r>
        <w:rPr>
          <w:rFonts w:hint="eastAsia" w:ascii="宋体" w:hAnsi="宋体" w:eastAsia="宋体" w:cs="Times New Roman"/>
          <w:color w:val="auto"/>
          <w:highlight w:val="none"/>
          <w:lang w:val="zh-TW" w:eastAsia="zh-CN"/>
        </w:rPr>
        <w:t>迁移后的归档录音、录像存贮载体应按分类方案排列顺序编号、上架。原录音、录像存贮载体的各种光盘、U盘等自行分类、编号、上架。</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49" w:name="_Toc17672"/>
      <w:bookmarkStart w:id="1750" w:name="_Toc13672"/>
      <w:r>
        <w:rPr>
          <w:rFonts w:hint="eastAsia" w:ascii="宋体" w:hAnsi="宋体" w:eastAsia="宋体" w:cs="Times New Roman"/>
          <w:b/>
          <w:color w:val="auto"/>
          <w:szCs w:val="21"/>
          <w:highlight w:val="none"/>
          <w:lang w:val="en-US" w:eastAsia="zh-CN"/>
        </w:rPr>
        <w:t>6.6实物档案整理</w:t>
      </w:r>
      <w:bookmarkEnd w:id="1749"/>
      <w:bookmarkEnd w:id="1750"/>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6.6.1参照标准：</w:t>
      </w:r>
      <w:r>
        <w:rPr>
          <w:rFonts w:hint="eastAsia" w:ascii="宋体" w:hAnsi="宋体" w:eastAsia="宋体" w:cs="Times New Roman"/>
          <w:color w:val="auto"/>
          <w:highlight w:val="none"/>
          <w:lang w:val="zh-TW" w:eastAsia="zh-TW"/>
        </w:rPr>
        <w:t>《中华人民共和国档案法》《企业档案工作规范》</w:t>
      </w:r>
      <w:r>
        <w:rPr>
          <w:rFonts w:hint="eastAsia" w:ascii="宋体" w:hAnsi="宋体" w:eastAsia="宋体" w:cs="Times New Roman"/>
          <w:color w:val="auto"/>
          <w:highlight w:val="none"/>
          <w:lang w:val="zh-TW" w:eastAsia="zh-CN"/>
        </w:rPr>
        <w:t>。</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6.6.2整理原则：实物档案按照类别、保管期限等分类项进行分类，按“件”进行归档整理。实物档案的整理应遵循保持实物档案的有机联系、便于保管和利用的原则。</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en-US" w:eastAsia="zh-CN"/>
        </w:rPr>
        <w:t>6.6.3整理要求：归档实物应齐全完整。凡是本单位在公务活动中形成、获得、接受、赠送或者征集的各种实物档案均应收集齐全、完整无损，整理归档。每件归档实物均应转拍照片进行相应归档。以物件为立档单位，一件一号。统一编号、装盒、上柜、集中保管，实物不能装盒的，可分散存放在档案库实物柜之内。</w:t>
      </w:r>
      <w:r>
        <w:rPr>
          <w:rFonts w:hint="eastAsia" w:ascii="宋体" w:hAnsi="宋体" w:eastAsia="宋体" w:cs="Times New Roman"/>
          <w:color w:val="auto"/>
          <w:highlight w:val="none"/>
          <w:lang w:val="en-US" w:eastAsia="zh-CN"/>
        </w:rPr>
        <w:br w:type="textWrapping"/>
      </w:r>
      <w:r>
        <w:rPr>
          <w:rFonts w:hint="eastAsia" w:ascii="宋体" w:hAnsi="宋体" w:eastAsia="宋体" w:cs="Times New Roman"/>
          <w:color w:val="auto"/>
          <w:highlight w:val="none"/>
          <w:lang w:val="en-US" w:eastAsia="zh-CN"/>
        </w:rPr>
        <w:t>6.6.4分类：归档实物应在其全宗—实物类别内，按类别分类将归档实物按问题进行分类。归档实物按问题一般分为荣誉类、纪念品（礼品）类、印信类。实物档案二级类目按实物的类型分为证书</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SW</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01</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牌匾</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SW</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02</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奖杯</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SW</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03</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锦旗</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SW</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04</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、纪念品</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SW</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05</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、印章</w:t>
      </w:r>
      <w:r>
        <w:rPr>
          <w:rFonts w:hint="eastAsia" w:ascii="宋体" w:hAnsi="宋体" w:eastAsia="宋体" w:cs="Times New Roman"/>
          <w:color w:val="auto"/>
          <w:highlight w:val="none"/>
          <w:lang w:val="en-US" w:eastAsia="en-US"/>
        </w:rPr>
        <w:t>（K</w:t>
      </w:r>
      <w:r>
        <w:rPr>
          <w:rFonts w:hint="eastAsia" w:ascii="宋体" w:hAnsi="宋体" w:eastAsia="宋体" w:cs="Times New Roman"/>
          <w:color w:val="auto"/>
          <w:highlight w:val="none"/>
          <w:lang w:val="en-US" w:eastAsia="zh-CN"/>
        </w:rPr>
        <w:t>U</w:t>
      </w:r>
      <w:r>
        <w:rPr>
          <w:rFonts w:hint="eastAsia" w:ascii="宋体" w:hAnsi="宋体" w:eastAsia="宋体" w:cs="Times New Roman"/>
          <w:color w:val="auto"/>
          <w:highlight w:val="none"/>
          <w:lang w:val="en-US" w:eastAsia="en-US"/>
        </w:rPr>
        <w:t>·</w:t>
      </w:r>
      <w:r>
        <w:rPr>
          <w:rFonts w:hint="eastAsia" w:ascii="宋体" w:hAnsi="宋体" w:eastAsia="宋体" w:cs="Times New Roman"/>
          <w:color w:val="auto"/>
          <w:highlight w:val="none"/>
          <w:lang w:val="en-US" w:eastAsia="zh-CN"/>
        </w:rPr>
        <w:t>05）共6类。</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en-US" w:eastAsia="zh-CN"/>
        </w:rPr>
        <w:t>6.6.5排列：根据分类方案，每件归档实物在最低一级类目内按时间先后顺序排列。格式主要有如下：全宗号—实物—类别—件号。</w:t>
      </w:r>
      <w:r>
        <w:rPr>
          <w:rFonts w:hint="eastAsia" w:ascii="宋体" w:hAnsi="宋体" w:eastAsia="宋体" w:cs="Times New Roman"/>
          <w:color w:val="auto"/>
          <w:highlight w:val="none"/>
          <w:lang w:val="en-US" w:eastAsia="zh-CN"/>
        </w:rPr>
        <w:br w:type="textWrapping"/>
      </w:r>
      <w:r>
        <w:rPr>
          <w:rFonts w:hint="eastAsia" w:ascii="宋体" w:hAnsi="宋体" w:eastAsia="宋体" w:cs="Times New Roman"/>
          <w:color w:val="auto"/>
          <w:highlight w:val="none"/>
          <w:lang w:val="en-US" w:eastAsia="zh-CN"/>
        </w:rPr>
        <w:t>6.6.6编号：按照分类的结果，实物类档案文件</w:t>
      </w:r>
      <w:r>
        <w:rPr>
          <w:rFonts w:hint="eastAsia" w:ascii="宋体" w:hAnsi="宋体" w:eastAsia="宋体" w:cs="Times New Roman"/>
          <w:color w:val="auto"/>
          <w:highlight w:val="none"/>
          <w:lang w:val="zh-TW" w:eastAsia="zh-TW"/>
        </w:rPr>
        <w:t>档号结构为：</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zh-TW" w:eastAsia="zh-TW"/>
        </w:rPr>
        <w:t>全宗号</w:t>
      </w:r>
      <w:r>
        <w:rPr>
          <w:rFonts w:hint="eastAsia" w:ascii="宋体" w:hAnsi="宋体" w:eastAsia="宋体" w:cs="Times New Roman"/>
          <w:color w:val="auto"/>
          <w:highlight w:val="none"/>
          <w:lang w:val="zh-TW" w:eastAsia="zh-CN"/>
        </w:rPr>
        <w:t>－</w:t>
      </w:r>
      <w:r>
        <w:rPr>
          <w:rFonts w:hint="eastAsia" w:ascii="宋体" w:hAnsi="宋体" w:eastAsia="宋体" w:cs="Times New Roman"/>
          <w:color w:val="auto"/>
          <w:highlight w:val="none"/>
          <w:lang w:val="zh-TW" w:eastAsia="zh-TW"/>
        </w:rPr>
        <w:t>档案门类代码·实物类别代码－保管期限代码－件号。</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zh-TW" w:eastAsia="zh-TW"/>
        </w:rPr>
        <w:t>档号编制示例：</w:t>
      </w:r>
      <w:r>
        <w:rPr>
          <w:rFonts w:hint="eastAsia" w:ascii="宋体" w:hAnsi="宋体" w:eastAsia="宋体" w:cs="Times New Roman"/>
          <w:color w:val="auto"/>
          <w:highlight w:val="none"/>
          <w:lang w:val="en-US" w:eastAsia="zh-CN"/>
        </w:rPr>
        <w:t>0000-</w:t>
      </w:r>
      <w:r>
        <w:rPr>
          <w:rFonts w:hint="eastAsia" w:ascii="宋体" w:hAnsi="宋体" w:eastAsia="宋体" w:cs="Times New Roman"/>
          <w:color w:val="auto"/>
          <w:highlight w:val="none"/>
          <w:lang w:val="zh-TW" w:eastAsia="zh-TW"/>
        </w:rPr>
        <w:t>SW·01-Y-0001</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CN"/>
        </w:rPr>
      </w:pPr>
      <w:r>
        <w:rPr>
          <w:rFonts w:hint="eastAsia" w:ascii="宋体" w:hAnsi="宋体" w:eastAsia="宋体" w:cs="Times New Roman"/>
          <w:color w:val="auto"/>
          <w:highlight w:val="none"/>
          <w:lang w:val="zh-TW" w:eastAsia="zh-TW"/>
        </w:rPr>
        <w:t>档号章填写示例</w:t>
      </w:r>
      <w:r>
        <w:rPr>
          <w:rFonts w:hint="eastAsia" w:ascii="宋体" w:hAnsi="宋体" w:eastAsia="宋体" w:cs="Times New Roman"/>
          <w:color w:val="auto"/>
          <w:highlight w:val="none"/>
          <w:lang w:val="zh-TW" w:eastAsia="zh-CN"/>
        </w:rPr>
        <w:t>：</w:t>
      </w:r>
    </w:p>
    <w:tbl>
      <w:tblPr>
        <w:tblStyle w:val="33"/>
        <w:tblpPr w:leftFromText="180" w:rightFromText="180" w:vertAnchor="text" w:horzAnchor="page" w:tblpX="4276"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5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zh-TW" w:eastAsia="zh-TW"/>
              </w:rPr>
              <w:t>档  号</w:t>
            </w:r>
          </w:p>
        </w:tc>
        <w:tc>
          <w:tcPr>
            <w:tcW w:w="121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zh-TW" w:eastAsia="zh-TW"/>
              </w:rPr>
              <w:t>序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5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zh-TW" w:eastAsia="zh-TW"/>
              </w:rPr>
              <w:t>SW·01-Y</w:t>
            </w:r>
          </w:p>
        </w:tc>
        <w:tc>
          <w:tcPr>
            <w:tcW w:w="121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zh-TW" w:eastAsia="zh-TW"/>
              </w:rPr>
              <w:t>1</w:t>
            </w:r>
          </w:p>
        </w:tc>
      </w:tr>
    </w:tbl>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zh-TW" w:eastAsia="zh-TW"/>
        </w:rPr>
        <mc:AlternateContent>
          <mc:Choice Requires="wps">
            <w:drawing>
              <wp:anchor distT="0" distB="0" distL="114300" distR="114300" simplePos="0" relativeHeight="251668480" behindDoc="0" locked="0" layoutInCell="1" allowOverlap="1">
                <wp:simplePos x="0" y="0"/>
                <wp:positionH relativeFrom="column">
                  <wp:posOffset>1475740</wp:posOffset>
                </wp:positionH>
                <wp:positionV relativeFrom="paragraph">
                  <wp:posOffset>165735</wp:posOffset>
                </wp:positionV>
                <wp:extent cx="19050" cy="1057275"/>
                <wp:effectExtent l="47625" t="0" r="47625" b="9525"/>
                <wp:wrapNone/>
                <wp:docPr id="19" name="直接连接符 19"/>
                <wp:cNvGraphicFramePr/>
                <a:graphic xmlns:a="http://schemas.openxmlformats.org/drawingml/2006/main">
                  <a:graphicData uri="http://schemas.microsoft.com/office/word/2010/wordprocessingShape">
                    <wps:wsp>
                      <wps:cNvCnPr/>
                      <wps:spPr>
                        <a:xfrm>
                          <a:off x="0" y="0"/>
                          <a:ext cx="19050" cy="105727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116.2pt;margin-top:13.05pt;height:83.25pt;width:1.5pt;z-index:251668480;mso-width-relative:page;mso-height-relative:page;" filled="f" stroked="t" coordsize="21600,21600" o:gfxdata="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byGgNsAAAAKAQAADwAAAAAAAAABACAAAAAiAAAAZHJzL2Rvd25yZXYu&#10;eG1sUEsBAhQAFAAAAAgAh07iQIIizIf4AQAA7AMAAA4AAAAAAAAAAQAgAAAAKgEAAGRycy9lMm9E&#10;b2MueG1sUEsFBgAAAAAGAAYAWQEAAJQFAAAAAA==&#10;">
                <v:fill on="f" focussize="0,0"/>
                <v:stroke color="#000000" joinstyle="round" startarrow="open" endarrow="open"/>
                <v:imagedata o:title=""/>
                <o:lock v:ext="edit" aspectratio="f"/>
              </v:line>
            </w:pict>
          </mc:Fallback>
        </mc:AlternateConten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TW"/>
        </w:rPr>
      </w:pPr>
    </w:p>
    <w:p>
      <w:pPr>
        <w:keepNext w:val="0"/>
        <w:keepLines w:val="0"/>
        <w:pageBreakBefore w:val="0"/>
        <w:kinsoku/>
        <w:wordWrap/>
        <w:overflowPunct/>
        <w:topLinePunct w:val="0"/>
        <w:bidi w:val="0"/>
        <w:spacing w:before="0" w:after="0" w:afterAutospacing="0" w:line="360" w:lineRule="auto"/>
        <w:ind w:left="0" w:right="0" w:firstLine="1260" w:firstLineChars="6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zh-TW" w:eastAsia="zh-TW"/>
        </w:rPr>
        <w:t>2*10</w:t>
      </w:r>
      <w:r>
        <w:rPr>
          <w:rFonts w:hint="eastAsia" w:ascii="宋体" w:hAnsi="宋体" w:eastAsia="宋体" w:cs="Times New Roman"/>
          <w:color w:val="auto"/>
          <w:highlight w:val="none"/>
          <w:lang w:val="en" w:eastAsia="zh-TW"/>
        </w:rPr>
        <w:t>mm</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 w:eastAsia="zh-TW"/>
        </w:rPr>
      </w:pP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 w:eastAsia="zh-TW"/>
        </w:rPr>
      </w:pP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zh-TW" w:eastAsia="zh-TW"/>
        </w:rPr>
      </w:pPr>
      <w:r>
        <w:rPr>
          <w:rFonts w:hint="eastAsia" w:ascii="宋体" w:hAnsi="宋体" w:eastAsia="宋体" w:cs="Times New Roman"/>
          <w:color w:val="auto"/>
          <w:highlight w:val="none"/>
          <w:lang w:val="zh-TW" w:eastAsia="zh-TW"/>
        </w:rPr>
        <mc:AlternateContent>
          <mc:Choice Requires="wps">
            <w:drawing>
              <wp:anchor distT="0" distB="0" distL="114300" distR="114300" simplePos="0" relativeHeight="251669504" behindDoc="0" locked="0" layoutInCell="1" allowOverlap="1">
                <wp:simplePos x="0" y="0"/>
                <wp:positionH relativeFrom="column">
                  <wp:posOffset>1544955</wp:posOffset>
                </wp:positionH>
                <wp:positionV relativeFrom="paragraph">
                  <wp:posOffset>118745</wp:posOffset>
                </wp:positionV>
                <wp:extent cx="2695575" cy="7620"/>
                <wp:effectExtent l="0" t="48895" r="9525" b="57785"/>
                <wp:wrapNone/>
                <wp:docPr id="20" name="直接连接符 20"/>
                <wp:cNvGraphicFramePr/>
                <a:graphic xmlns:a="http://schemas.openxmlformats.org/drawingml/2006/main">
                  <a:graphicData uri="http://schemas.microsoft.com/office/word/2010/wordprocessingShape">
                    <wps:wsp>
                      <wps:cNvCnPr/>
                      <wps:spPr>
                        <a:xfrm flipV="1">
                          <a:off x="0" y="0"/>
                          <a:ext cx="2695575" cy="7620"/>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flip:y;margin-left:121.65pt;margin-top:9.35pt;height:0.6pt;width:212.25pt;z-index:251669504;mso-width-relative:page;mso-height-relative:page;" filled="f" stroked="t" coordsize="21600,21600" o:gfxdata="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tVTcNkAAAAJAQAADwAAAAAAAAABACAAAAAiAAAAZHJzL2Rv&#10;d25yZXYueG1sUEsBAhQAFAAAAAgAh07iQMdS69wAAgAA9QMAAA4AAAAAAAAAAQAgAAAAKAEAAGRy&#10;cy9lMm9Eb2MueG1sUEsFBgAAAAAGAAYAWQEAAJoFAAAAAA==&#10;">
                <v:fill on="f" focussize="0,0"/>
                <v:stroke color="#000000" joinstyle="round" startarrow="open" endarrow="open"/>
                <v:imagedata o:title=""/>
                <o:lock v:ext="edit" aspectratio="f"/>
              </v:line>
            </w:pict>
          </mc:Fallback>
        </mc:AlternateContent>
      </w:r>
    </w:p>
    <w:p>
      <w:pPr>
        <w:keepNext w:val="0"/>
        <w:keepLines w:val="0"/>
        <w:pageBreakBefore w:val="0"/>
        <w:kinsoku/>
        <w:wordWrap/>
        <w:overflowPunct/>
        <w:topLinePunct w:val="0"/>
        <w:bidi w:val="0"/>
        <w:spacing w:before="0" w:after="0" w:afterAutospacing="0" w:line="360" w:lineRule="auto"/>
        <w:ind w:left="0" w:right="0" w:firstLine="4410" w:firstLineChars="2100"/>
        <w:rPr>
          <w:rFonts w:hint="eastAsia" w:ascii="宋体" w:hAnsi="宋体" w:eastAsia="宋体" w:cs="Times New Roman"/>
          <w:color w:val="auto"/>
          <w:highlight w:val="none"/>
          <w:lang w:val="en" w:eastAsia="zh-TW"/>
        </w:rPr>
      </w:pPr>
      <w:r>
        <w:rPr>
          <w:rFonts w:hint="eastAsia" w:ascii="宋体" w:hAnsi="宋体" w:eastAsia="宋体" w:cs="Times New Roman"/>
          <w:color w:val="auto"/>
          <w:highlight w:val="none"/>
          <w:lang w:val="zh-TW" w:eastAsia="zh-TW"/>
        </w:rPr>
        <w:t>35</w:t>
      </w:r>
      <w:r>
        <w:rPr>
          <w:rFonts w:hint="eastAsia" w:ascii="宋体" w:hAnsi="宋体" w:eastAsia="宋体" w:cs="Times New Roman"/>
          <w:color w:val="auto"/>
          <w:highlight w:val="none"/>
          <w:lang w:val="en" w:eastAsia="zh-TW"/>
        </w:rPr>
        <w:t>mm</w:t>
      </w:r>
      <w:r>
        <w:rPr>
          <w:rFonts w:hint="eastAsia" w:ascii="宋体" w:hAnsi="宋体" w:eastAsia="宋体" w:cs="Times New Roman"/>
          <w:color w:val="auto"/>
          <w:highlight w:val="none"/>
          <w:lang w:val="zh-TW" w:eastAsia="zh-TW"/>
        </w:rPr>
        <w:t>+15</w:t>
      </w:r>
      <w:r>
        <w:rPr>
          <w:rFonts w:hint="eastAsia" w:ascii="宋体" w:hAnsi="宋体" w:eastAsia="宋体" w:cs="Times New Roman"/>
          <w:color w:val="auto"/>
          <w:highlight w:val="none"/>
          <w:lang w:val="en" w:eastAsia="zh-TW"/>
        </w:rPr>
        <w:t>mm</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 w:eastAsia="zh-TW"/>
        </w:rPr>
        <w:t>（注：实物档号章规格为长</w:t>
      </w:r>
      <w:r>
        <w:rPr>
          <w:rFonts w:hint="eastAsia" w:ascii="宋体" w:hAnsi="宋体" w:eastAsia="宋体" w:cs="Times New Roman"/>
          <w:color w:val="auto"/>
          <w:highlight w:val="none"/>
          <w:lang w:val="zh-TW" w:eastAsia="zh-TW"/>
        </w:rPr>
        <w:t>35</w:t>
      </w:r>
      <w:r>
        <w:rPr>
          <w:rFonts w:hint="eastAsia" w:ascii="宋体" w:hAnsi="宋体" w:eastAsia="宋体" w:cs="Times New Roman"/>
          <w:color w:val="auto"/>
          <w:highlight w:val="none"/>
          <w:lang w:val="en" w:eastAsia="zh-TW"/>
        </w:rPr>
        <w:t>mm</w:t>
      </w:r>
      <w:r>
        <w:rPr>
          <w:rFonts w:hint="eastAsia" w:ascii="宋体" w:hAnsi="宋体" w:eastAsia="宋体" w:cs="Times New Roman"/>
          <w:color w:val="auto"/>
          <w:highlight w:val="none"/>
          <w:lang w:val="zh-TW" w:eastAsia="zh-TW"/>
        </w:rPr>
        <w:t>+15</w:t>
      </w:r>
      <w:r>
        <w:rPr>
          <w:rFonts w:hint="eastAsia" w:ascii="宋体" w:hAnsi="宋体" w:eastAsia="宋体" w:cs="Times New Roman"/>
          <w:color w:val="auto"/>
          <w:highlight w:val="none"/>
          <w:lang w:val="en" w:eastAsia="zh-TW"/>
        </w:rPr>
        <w:t>mm，宽为</w:t>
      </w:r>
      <w:r>
        <w:rPr>
          <w:rFonts w:hint="eastAsia" w:ascii="宋体" w:hAnsi="宋体" w:eastAsia="宋体" w:cs="Times New Roman"/>
          <w:color w:val="auto"/>
          <w:highlight w:val="none"/>
          <w:lang w:val="zh-TW" w:eastAsia="zh-TW"/>
        </w:rPr>
        <w:t>2*10</w:t>
      </w:r>
      <w:r>
        <w:rPr>
          <w:rFonts w:hint="eastAsia" w:ascii="宋体" w:hAnsi="宋体" w:eastAsia="宋体" w:cs="Times New Roman"/>
          <w:color w:val="auto"/>
          <w:highlight w:val="none"/>
          <w:lang w:val="en" w:eastAsia="zh-TW"/>
        </w:rPr>
        <w:t>mm，不可随意改动规格大小。）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6.6.7著录：每件实物都应按分类方案，在相关的管理软件上著录各项目要素，并打印出归档目录。实物档案归档目录包括件号、题名（文字说明）、材质、型制、年度、类别、参见号、备注。</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51" w:name="_Toc1674"/>
      <w:bookmarkStart w:id="1752" w:name="_Toc10662"/>
      <w:r>
        <w:rPr>
          <w:rFonts w:hint="eastAsia" w:ascii="宋体" w:hAnsi="宋体" w:eastAsia="宋体" w:cs="Times New Roman"/>
          <w:b/>
          <w:color w:val="auto"/>
          <w:szCs w:val="21"/>
          <w:highlight w:val="none"/>
          <w:lang w:val="en-US" w:eastAsia="zh-CN"/>
        </w:rPr>
        <w:t>6.7电子档案</w:t>
      </w:r>
      <w:bookmarkEnd w:id="1751"/>
      <w:bookmarkEnd w:id="1752"/>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电子档案的档号结构设置按电子档案管理的有关规定执行。</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b/>
          <w:color w:val="auto"/>
          <w:szCs w:val="21"/>
          <w:highlight w:val="none"/>
          <w:lang w:eastAsia="zh-CN"/>
        </w:rPr>
      </w:pPr>
      <w:r>
        <w:rPr>
          <w:rFonts w:hint="eastAsia" w:ascii="宋体" w:hAnsi="宋体" w:eastAsia="宋体" w:cs="宋体"/>
          <w:color w:val="auto"/>
          <w:sz w:val="21"/>
          <w:szCs w:val="21"/>
          <w:highlight w:val="none"/>
          <w:lang w:val="en-US" w:eastAsia="zh-CN"/>
        </w:rPr>
        <w:t>分类方法和档号结构在满足科学性、规范性情况下，可以根据公司实际情况予以调整。</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53" w:name="_Toc19513"/>
      <w:bookmarkStart w:id="1754" w:name="_Toc19263"/>
      <w:r>
        <w:rPr>
          <w:rFonts w:hint="eastAsia" w:ascii="宋体" w:hAnsi="宋体" w:eastAsia="宋体" w:cs="Times New Roman"/>
          <w:b/>
          <w:color w:val="auto"/>
          <w:szCs w:val="21"/>
          <w:highlight w:val="none"/>
          <w:lang w:val="en-US" w:eastAsia="zh-CN"/>
        </w:rPr>
        <w:t>6.8档案数字化加工</w:t>
      </w:r>
      <w:bookmarkEnd w:id="1753"/>
      <w:bookmarkEnd w:id="1754"/>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6.8.1流程：主要包括档案交接、拆前预处理、拆分、扫描、图像处理、图像质检、图像命名、数据存储、数据挂接、档案归还、数据备份等工作。</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6.8.2严格办理交接手续。按比选人的要求，严格办理登记数字化实施各项流程的交接手续，详细做好交接记录。档案交接工作由比选人、比选申请人负责办理，双方签字确认。</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6.8.3拆前预处理：</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（1）服务方必须在扫描前对文件、案卷进行预整理，对文件、案卷信息、卷内目录、页码等进行细心核对；抚平边角、保证纸张的平整。</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（2）对不同的纸张，应采用最为可靠的扫描设备和扫描方式完成档案扫描，务必保持档案完整无损，避免纸张褶皱、撕裂、破损等情况的发生。</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（3）如遇到不适合拆装的档案，应采用不拆卷扫描的方式进行，确保在扫描过程中不对档案原件造成二次损伤，不得人为的恶意损害档案。</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6.8.4拆分：将档案拆钉拆线，形成散页，便于扫描。将文件、案卷内页逐一分开，对特殊页（如双面有页码）做出记录提醒扫描人员注意。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6.8.5扫描</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（1）逐份逐件进行扫描，文字材料类要求扫描分辨率不小于300DPI，采用彩色扫描模式，保存为可搜索PDF格式文件。</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（2）扫描时，应根据纸张质地、底色、薄厚程度等因素，设置最佳的扫描明暗度、对比度设置，保证原始扫描图像效果与原件吻合。</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扫描页面规格为A4，超过A4幅面的应当平摊开后进行整幅扫描，如确实无法一次扫描成形的要求进行无缝拼接成单页。（小于A4幅面的按A4算，A3的按1.8张A4幅面计算；A2按4张A4幅面计算，A1按8张A4幅面计算，A0按16张A4幅面计算，</w:t>
      </w:r>
      <w:r>
        <w:rPr>
          <w:rFonts w:hint="eastAsia" w:eastAsia="宋体" w:cs="宋体"/>
          <w:color w:val="auto"/>
          <w:sz w:val="21"/>
          <w:szCs w:val="21"/>
          <w:highlight w:val="none"/>
          <w:lang w:val="en-US" w:eastAsia="zh-CN"/>
        </w:rPr>
        <w:t>以</w:t>
      </w:r>
      <w:r>
        <w:rPr>
          <w:rFonts w:hint="eastAsia" w:ascii="宋体" w:hAnsi="宋体" w:eastAsia="宋体" w:cs="宋体"/>
          <w:color w:val="auto"/>
          <w:sz w:val="21"/>
          <w:szCs w:val="21"/>
          <w:highlight w:val="none"/>
          <w:lang w:val="en-US" w:eastAsia="zh-CN"/>
        </w:rPr>
        <w:t>此类推。）</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（4）纸张状况较差，以及过薄、过软或超厚的档案，以及页面为多色文字的档案，可采用灰度模式扫描。方式以提高工作效率。</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（5）扫描色彩模式为彩色。</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（6）扫描分辨率不低于300dpi，对于案卷中出现字迹较小、较密集等情况，可将分辨率提高到400-600dpi，照片档案彩色影像文件的分辨率为1200dpi以上。</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（7）扫描登记，认真填写纸质档案数字化转换过程交接登记表单，登记扫描的页数，核对每份文件的实际扫描页数与档案整理时填写的文件页数是否一致，不一致时应注明具体原因和处理方法。</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（8）扫描中的文件保护，认真</w:t>
      </w:r>
      <w:r>
        <w:rPr>
          <w:rFonts w:hint="eastAsia" w:eastAsia="宋体" w:cs="宋体"/>
          <w:color w:val="auto"/>
          <w:sz w:val="21"/>
          <w:szCs w:val="21"/>
          <w:highlight w:val="none"/>
          <w:lang w:val="en-US" w:eastAsia="zh-CN"/>
        </w:rPr>
        <w:t>对照</w:t>
      </w:r>
      <w:r>
        <w:rPr>
          <w:rFonts w:hint="eastAsia" w:ascii="宋体" w:hAnsi="宋体" w:eastAsia="宋体" w:cs="宋体"/>
          <w:color w:val="auto"/>
          <w:sz w:val="21"/>
          <w:szCs w:val="21"/>
          <w:highlight w:val="none"/>
          <w:lang w:val="en-US" w:eastAsia="zh-CN"/>
        </w:rPr>
        <w:t>流程单，依照目录数据库中案卷的编号在扫描系统中建立同样的案卷编号，然后导入目录数据库中的著录的数据。核对系统中的案卷信息是否与原件一致，如果发现差错，要在著录系统中更改。核对实际扫描的页数和档案整理时填写的页数是否一致，不一致时应注明具体的原因和处理的方法。</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扫描仪常出的故障以及处理，扫描时图像有时会出现黑线，或图像不应该出现的污点，和大面积的黑边。说明扫描仪有污渍或纸屑粘在镜头上。打开扫描仪镜头用干净的海绵，或者专业的镜头布，擦除镜头上的污渍即可。</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6.8.6图像处理</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（1）纠偏。以达到视觉基本不感觉偏斜为准，对方向不正确的图像进行旋转还原，图像不偏斜或倒置，符合正常阅读习惯。</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（2）去污。对影响图像质量的杂质（黑点、黑线、黑框、黑边等）进行去污处理，在不影响</w:t>
      </w:r>
      <w:r>
        <w:rPr>
          <w:rFonts w:hint="eastAsia" w:eastAsia="宋体" w:cs="宋体"/>
          <w:color w:val="auto"/>
          <w:sz w:val="21"/>
          <w:szCs w:val="21"/>
          <w:highlight w:val="none"/>
          <w:lang w:val="en-US" w:eastAsia="zh-CN"/>
        </w:rPr>
        <w:t>可辨</w:t>
      </w:r>
      <w:r>
        <w:rPr>
          <w:rFonts w:hint="eastAsia" w:ascii="宋体" w:hAnsi="宋体" w:eastAsia="宋体" w:cs="宋体"/>
          <w:color w:val="auto"/>
          <w:sz w:val="21"/>
          <w:szCs w:val="21"/>
          <w:highlight w:val="none"/>
          <w:lang w:val="en-US" w:eastAsia="zh-CN"/>
        </w:rPr>
        <w:t>度的前提下展现档案原貌。</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（3）裁边。对档案修补或扫描等形成的，超出页面正常边距，无内容、多余的边进行裁切，缩小文件容量。</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（4）图像核对</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宋体"/>
          <w:color w:val="auto"/>
          <w:sz w:val="21"/>
          <w:szCs w:val="21"/>
          <w:highlight w:val="none"/>
          <w:lang w:val="en-US" w:eastAsia="zh-CN"/>
        </w:rPr>
        <w:t>扫描完的图像要进行图像的优化处理，首先应核对扫描的图像数量是否和导入的目录数据库中文件的页数一致，如出现不一致只有两种可能，一是录入原档案有错，可依照原档案更改，二是扫</w:t>
      </w:r>
      <w:r>
        <w:rPr>
          <w:rFonts w:hint="eastAsia" w:ascii="宋体" w:hAnsi="宋体" w:eastAsia="宋体" w:cs="Times New Roman"/>
          <w:color w:val="auto"/>
          <w:highlight w:val="none"/>
          <w:lang w:val="en-US" w:eastAsia="zh-CN"/>
        </w:rPr>
        <w:t>描出错可能出现漏扫，要进行补扫。</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（5）图像数据质量检查</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对图像偏斜度、清晰度、失真度等进行检查。发现不符合图像质量要求时，应重新进行图像的处理。由于操作不当，造成扫描的图像文件不完整或无法清晰识别时，应重新扫描。发现文件漏扫时，应及时补扫并正确插入图像。发现扫描图像的排列顺序与档案原件不一致时，应及时进行调整。</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认真填写相关表单，记录质检结果和处理意见。</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（6）图像拼接</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对大幅面档案进行分区扫描形成的多幅图像，应进行拼接处理，合并为一个完整的图像，以保证档案数字化图像的整体性。</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（7）裁边处理</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采用彩色模式扫描的图像应进行裁边处理，去除多余的白边，以有效缩小图像文件的容量，节省存储空间。</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（8）图像的补扫</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补扫主要处理由优化操作不当，造成的图像不完整，误删的情况。高速扫描造成的漏扫，重张进纸。图像不清晰以及高速扫描仪不能处理的特别文件。</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6.8.7图像质检：对图像文件进行全面统一检查，保证图像清晰、完整，反映档案全貌。</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电子图像的页数与原始档案应一致。实体文件资料与扫描图像顺序排列一致，不可颠倒，不能有漏页和重页，无颠倒，无漏扫、重扫或多扫，保证电子影像的完整齐全。发现不一致时应进行调整；发现文件漏扫时，应及时补扫并正确插入图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6.8.8图像命名：按照上述各类档案类别编号要求分别进行命名。</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6.8.9数据存储：</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（1）文书档案：一件档案保存为一个pdf文件，同一年度同一保管期限的电子文件存储在一个文件夹中。</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（2）基建档案：案卷内一份文件保存为一个pdf文件，以卷为单位进行存储，同一案卷档案保存在一个文件夹中。</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（3）图纸：采用彩色模式扫描，采用JPEG格式存储。</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（4）存储格式</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采用彩色模式扫描的文件，采用JPEG和pdf格式分别存储在文件夹。存储时的压缩率的选择，应以保证扫描的图像清晰可读的前提下，尽量减小存储容量为准则。</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（5）图像文件的命名</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纸质档案目录数据库中的每一份文件，都有一个与之相对应的唯一档号，以该档号为这份文件扫描后的图像文件命名。多页文件可采用该档号建立相应文件夹，按页码顺序对图像文件命名。</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6.8.10目录建库</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（1）数据格式选择</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宋体"/>
          <w:color w:val="auto"/>
          <w:sz w:val="21"/>
          <w:szCs w:val="21"/>
          <w:highlight w:val="none"/>
          <w:lang w:val="en-US" w:eastAsia="zh-CN"/>
        </w:rPr>
        <w:t>目录建库应选择通用的数据格式。所选定的数据格式应能直接或间接通过XML文档进行数据交</w:t>
      </w:r>
      <w:r>
        <w:rPr>
          <w:rFonts w:hint="eastAsia" w:ascii="宋体" w:hAnsi="宋体" w:eastAsia="宋体" w:cs="Times New Roman"/>
          <w:color w:val="auto"/>
          <w:highlight w:val="none"/>
          <w:lang w:val="en-US" w:eastAsia="zh-CN"/>
        </w:rPr>
        <w:t>换。</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（2）档案著录</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按照《档案著录规则》（DA／T18）的要求进行著录，建立档案目录数据库。</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6.8.11数据挂接：将档案条目数据与扫描电子文件挂接到比选人已有的档案管理系统中，确保条目数据与扫描电子文件的一一对应，确保加工扫描成果在比选人所使用的档案管理系统中有效检索和显示。</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6.8.12档案归还：完成数字化加工的档案需按要求装订好后归还比选人，双方一同对档案的完整性进行检查，检查无误在交接记录上签字确认。</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6.8.13数据备份：将档案条目数据及其对应的扫描后形成的pdf、jpg格式文件各一套刻录成DVD光盘（光盘需为档案级别）提供给比选人。光盘标签上需注明光盘号、存储内容等信息。比选申请人项目组在数字化工作完成之后，将加强对纸质档案数字化成果的管理，确保其安全、完整和长期可用。纸质档案数字化成果提供网上检索利用时，有制作单位的电子标识。</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55" w:name="_Toc28289"/>
      <w:bookmarkStart w:id="1756" w:name="_Toc3046"/>
      <w:r>
        <w:rPr>
          <w:rFonts w:hint="eastAsia" w:ascii="宋体" w:hAnsi="宋体" w:eastAsia="宋体" w:cs="Times New Roman"/>
          <w:b/>
          <w:color w:val="auto"/>
          <w:szCs w:val="21"/>
          <w:highlight w:val="none"/>
          <w:lang w:val="en-US" w:eastAsia="zh-CN"/>
        </w:rPr>
        <w:t>6.9光盘刻录</w:t>
      </w:r>
      <w:bookmarkEnd w:id="1755"/>
      <w:bookmarkEnd w:id="1756"/>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从比选人的档案管理系统下载</w:t>
      </w:r>
      <w:r>
        <w:rPr>
          <w:rFonts w:hint="eastAsia" w:ascii="宋体" w:hAnsi="宋体" w:eastAsia="宋体" w:cs="宋体"/>
          <w:color w:val="auto"/>
          <w:sz w:val="21"/>
          <w:szCs w:val="21"/>
          <w:highlight w:val="none"/>
          <w:lang w:val="en-US" w:eastAsia="zh-CN"/>
        </w:rPr>
        <w:t>以及</w:t>
      </w:r>
      <w:r>
        <w:rPr>
          <w:rFonts w:hint="eastAsia" w:ascii="宋体" w:hAnsi="宋体" w:eastAsia="宋体" w:cs="宋体"/>
          <w:color w:val="auto"/>
          <w:sz w:val="21"/>
          <w:szCs w:val="21"/>
          <w:highlight w:val="none"/>
          <w:lang w:val="zh-CN" w:eastAsia="zh-CN"/>
        </w:rPr>
        <w:t>现有光盘拷贝档案目录数据及电子扫描件，分类、排序整理，并将电子扫描件按照上述第六点档案数字化加工规定的命名格式命名，将数据分类刻录到档案级别DVD光盘，制作打印光盘盒封面，光盘标签上需注明光盘号、存储内容等信息。</w:t>
      </w:r>
    </w:p>
    <w:p>
      <w:pPr>
        <w:keepNext w:val="0"/>
        <w:keepLines w:val="0"/>
        <w:pageBreakBefore w:val="0"/>
        <w:kinsoku/>
        <w:wordWrap/>
        <w:overflowPunct/>
        <w:topLinePunct w:val="0"/>
        <w:bidi w:val="0"/>
        <w:spacing w:before="0" w:after="0" w:afterAutospacing="0" w:line="360" w:lineRule="auto"/>
        <w:ind w:left="0" w:right="0" w:firstLine="482" w:firstLineChars="200"/>
        <w:outlineLvl w:val="0"/>
        <w:rPr>
          <w:rFonts w:hint="eastAsia" w:ascii="黑体" w:hAnsi="黑体" w:eastAsia="黑体" w:cs="黑体"/>
          <w:b/>
          <w:color w:val="auto"/>
          <w:sz w:val="24"/>
          <w:highlight w:val="none"/>
          <w:lang w:val="en-US" w:eastAsia="zh-CN"/>
        </w:rPr>
      </w:pPr>
      <w:bookmarkStart w:id="1757" w:name="_Toc4182"/>
      <w:bookmarkStart w:id="1758" w:name="_Toc9098"/>
      <w:bookmarkStart w:id="1759" w:name="_Toc19618"/>
      <w:r>
        <w:rPr>
          <w:rFonts w:hint="eastAsia" w:ascii="黑体" w:hAnsi="黑体" w:eastAsia="黑体" w:cs="黑体"/>
          <w:b/>
          <w:color w:val="auto"/>
          <w:sz w:val="24"/>
          <w:highlight w:val="none"/>
          <w:lang w:val="en-US" w:eastAsia="zh-CN"/>
        </w:rPr>
        <w:t>7项目验收要求</w:t>
      </w:r>
      <w:bookmarkEnd w:id="1757"/>
      <w:bookmarkEnd w:id="1758"/>
      <w:bookmarkEnd w:id="1759"/>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60" w:name="_Toc26968"/>
      <w:bookmarkStart w:id="1761" w:name="_Toc3888"/>
      <w:r>
        <w:rPr>
          <w:rFonts w:hint="eastAsia" w:ascii="宋体" w:hAnsi="宋体" w:eastAsia="宋体" w:cs="Times New Roman"/>
          <w:b/>
          <w:color w:val="auto"/>
          <w:szCs w:val="21"/>
          <w:highlight w:val="none"/>
          <w:lang w:val="en-US" w:eastAsia="zh-CN"/>
        </w:rPr>
        <w:t>7.1验收方式</w:t>
      </w:r>
      <w:bookmarkEnd w:id="1760"/>
      <w:bookmarkEnd w:id="1761"/>
    </w:p>
    <w:p>
      <w:pPr>
        <w:keepNext w:val="0"/>
        <w:keepLines w:val="0"/>
        <w:pageBreakBefore w:val="0"/>
        <w:kinsoku/>
        <w:wordWrap/>
        <w:overflowPunct/>
        <w:topLinePunct w:val="0"/>
        <w:autoSpaceDE w:val="0"/>
        <w:autoSpaceDN w:val="0"/>
        <w:bidi w:val="0"/>
        <w:adjustRightInd w:val="0"/>
        <w:spacing w:before="0" w:after="0" w:afterAutospacing="0" w:line="360" w:lineRule="auto"/>
        <w:ind w:left="0" w:right="0" w:firstLine="420" w:firstLineChars="200"/>
        <w:rPr>
          <w:rFonts w:ascii="宋体" w:hAnsi="宋体"/>
          <w:color w:val="auto"/>
          <w:kern w:val="0"/>
          <w:szCs w:val="21"/>
          <w:highlight w:val="none"/>
        </w:rPr>
      </w:pPr>
      <w:r>
        <w:rPr>
          <w:rFonts w:hint="eastAsia" w:ascii="宋体" w:hAnsi="宋体"/>
          <w:color w:val="auto"/>
          <w:kern w:val="0"/>
          <w:szCs w:val="21"/>
          <w:highlight w:val="none"/>
          <w:lang w:val="en-US" w:eastAsia="zh-CN"/>
        </w:rPr>
        <w:t>比选人</w:t>
      </w:r>
      <w:r>
        <w:rPr>
          <w:rFonts w:hint="eastAsia" w:ascii="宋体" w:hAnsi="宋体"/>
          <w:color w:val="auto"/>
          <w:kern w:val="0"/>
          <w:szCs w:val="21"/>
          <w:highlight w:val="none"/>
        </w:rPr>
        <w:t>对</w:t>
      </w:r>
      <w:r>
        <w:rPr>
          <w:rFonts w:hint="eastAsia" w:ascii="宋体" w:hAnsi="宋体"/>
          <w:color w:val="auto"/>
          <w:kern w:val="0"/>
          <w:szCs w:val="21"/>
          <w:highlight w:val="none"/>
          <w:lang w:val="en-US" w:eastAsia="zh-CN"/>
        </w:rPr>
        <w:t>比选申请人</w:t>
      </w:r>
      <w:r>
        <w:rPr>
          <w:rFonts w:hint="eastAsia" w:ascii="宋体" w:hAnsi="宋体"/>
          <w:color w:val="auto"/>
          <w:kern w:val="0"/>
          <w:szCs w:val="21"/>
          <w:highlight w:val="none"/>
        </w:rPr>
        <w:t>工作采取平时检查、阶段验收和最终验收相结合的方式进行监督、检查和验收。</w:t>
      </w:r>
      <w:r>
        <w:rPr>
          <w:rFonts w:hint="eastAsia" w:ascii="宋体" w:hAnsi="宋体" w:eastAsia="宋体" w:cs="宋体"/>
          <w:color w:val="auto"/>
          <w:kern w:val="0"/>
          <w:sz w:val="21"/>
          <w:szCs w:val="21"/>
          <w:highlight w:val="none"/>
          <w:lang w:val="en-US" w:eastAsia="zh-CN" w:bidi="zh-CN"/>
        </w:rPr>
        <w:t>比选申请人</w:t>
      </w:r>
      <w:r>
        <w:rPr>
          <w:rFonts w:hint="eastAsia" w:ascii="宋体" w:hAnsi="宋体" w:eastAsia="宋体" w:cs="宋体"/>
          <w:color w:val="auto"/>
          <w:kern w:val="0"/>
          <w:sz w:val="21"/>
          <w:szCs w:val="21"/>
          <w:highlight w:val="none"/>
          <w:lang w:val="zh-CN" w:eastAsia="zh-CN" w:bidi="zh-CN"/>
        </w:rPr>
        <w:t>需进行全面自检自查自纠，自检合格后申请</w:t>
      </w:r>
      <w:r>
        <w:rPr>
          <w:rFonts w:hint="eastAsia" w:ascii="宋体" w:hAnsi="宋体" w:eastAsia="宋体" w:cs="宋体"/>
          <w:color w:val="auto"/>
          <w:kern w:val="0"/>
          <w:sz w:val="21"/>
          <w:szCs w:val="21"/>
          <w:highlight w:val="none"/>
          <w:lang w:val="en-US" w:eastAsia="zh-CN" w:bidi="zh-CN"/>
        </w:rPr>
        <w:t>比选人</w:t>
      </w:r>
      <w:r>
        <w:rPr>
          <w:rFonts w:hint="eastAsia" w:ascii="宋体" w:hAnsi="宋体" w:eastAsia="宋体" w:cs="宋体"/>
          <w:color w:val="auto"/>
          <w:kern w:val="0"/>
          <w:sz w:val="21"/>
          <w:szCs w:val="21"/>
          <w:highlight w:val="none"/>
          <w:lang w:val="zh-CN" w:eastAsia="zh-CN" w:bidi="zh-CN"/>
        </w:rPr>
        <w:t>验收。验收前比选申请人应提供已进行整理和数字化扫描实施的档案明细清单供比选人使用。验收内容包括档案整理验收、档案数字化验收、光盘刻录验收三部分，上述三部分验收均合格后方能通过验收。验收时实际工作量以双方签字确认为准。</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r>
        <w:rPr>
          <w:rFonts w:hint="eastAsia" w:ascii="宋体" w:hAnsi="宋体" w:eastAsia="宋体" w:cs="Times New Roman"/>
          <w:b/>
          <w:color w:val="auto"/>
          <w:szCs w:val="21"/>
          <w:highlight w:val="none"/>
          <w:lang w:val="en-US" w:eastAsia="zh-CN"/>
        </w:rPr>
        <w:t>7.2档案整理验收</w:t>
      </w:r>
    </w:p>
    <w:p>
      <w:pPr>
        <w:keepNext w:val="0"/>
        <w:keepLines w:val="0"/>
        <w:pageBreakBefore w:val="0"/>
        <w:kinsoku/>
        <w:wordWrap/>
        <w:overflowPunct/>
        <w:topLinePunct w:val="0"/>
        <w:autoSpaceDE w:val="0"/>
        <w:autoSpaceDN w:val="0"/>
        <w:bidi w:val="0"/>
        <w:adjustRightInd w:val="0"/>
        <w:spacing w:before="0" w:after="0" w:afterAutospacing="0" w:line="360" w:lineRule="auto"/>
        <w:ind w:left="0" w:right="0" w:firstLine="420" w:firstLineChars="200"/>
        <w:rPr>
          <w:rFonts w:hint="eastAsia" w:ascii="宋体" w:hAnsi="宋体" w:eastAsia="宋体" w:cs="Times New Roman"/>
          <w:color w:val="auto"/>
          <w:kern w:val="0"/>
          <w:szCs w:val="21"/>
          <w:highlight w:val="none"/>
        </w:rPr>
      </w:pPr>
      <w:r>
        <w:rPr>
          <w:rFonts w:hint="eastAsia" w:ascii="宋体" w:hAnsi="宋体"/>
          <w:color w:val="auto"/>
          <w:kern w:val="0"/>
          <w:szCs w:val="21"/>
          <w:highlight w:val="none"/>
        </w:rPr>
        <w:t>由</w:t>
      </w:r>
      <w:r>
        <w:rPr>
          <w:rFonts w:hint="eastAsia" w:ascii="宋体" w:hAnsi="宋体"/>
          <w:color w:val="auto"/>
          <w:kern w:val="0"/>
          <w:szCs w:val="21"/>
          <w:highlight w:val="none"/>
          <w:lang w:eastAsia="zh-CN"/>
        </w:rPr>
        <w:t>比选人</w:t>
      </w:r>
      <w:r>
        <w:rPr>
          <w:rFonts w:hint="eastAsia" w:ascii="宋体" w:hAnsi="宋体"/>
          <w:color w:val="auto"/>
          <w:kern w:val="0"/>
          <w:szCs w:val="21"/>
          <w:highlight w:val="none"/>
        </w:rPr>
        <w:t>按照整理标准要求对整理完毕的文书、</w:t>
      </w:r>
      <w:r>
        <w:rPr>
          <w:rFonts w:hint="eastAsia" w:ascii="宋体" w:hAnsi="宋体"/>
          <w:color w:val="auto"/>
          <w:kern w:val="0"/>
          <w:szCs w:val="21"/>
          <w:highlight w:val="none"/>
          <w:lang w:val="en-US" w:eastAsia="zh-CN"/>
        </w:rPr>
        <w:t>科技、</w:t>
      </w:r>
      <w:r>
        <w:rPr>
          <w:rFonts w:hint="eastAsia" w:ascii="宋体" w:hAnsi="宋体"/>
          <w:color w:val="auto"/>
          <w:kern w:val="0"/>
          <w:szCs w:val="21"/>
          <w:highlight w:val="none"/>
        </w:rPr>
        <w:t>会计</w:t>
      </w:r>
      <w:r>
        <w:rPr>
          <w:rFonts w:hint="eastAsia" w:ascii="宋体" w:hAnsi="宋体"/>
          <w:color w:val="auto"/>
          <w:kern w:val="0"/>
          <w:szCs w:val="21"/>
          <w:highlight w:val="none"/>
          <w:lang w:eastAsia="zh-CN"/>
        </w:rPr>
        <w:t>、照片、</w:t>
      </w:r>
      <w:r>
        <w:rPr>
          <w:rFonts w:hint="eastAsia" w:ascii="宋体" w:hAnsi="宋体"/>
          <w:color w:val="auto"/>
          <w:kern w:val="0"/>
          <w:szCs w:val="21"/>
          <w:highlight w:val="none"/>
          <w:lang w:val="en-US" w:eastAsia="zh-CN"/>
        </w:rPr>
        <w:t>录音、录像、</w:t>
      </w:r>
      <w:r>
        <w:rPr>
          <w:rFonts w:hint="eastAsia" w:ascii="宋体" w:hAnsi="宋体"/>
          <w:color w:val="auto"/>
          <w:kern w:val="0"/>
          <w:szCs w:val="21"/>
          <w:highlight w:val="none"/>
          <w:lang w:eastAsia="zh-CN"/>
        </w:rPr>
        <w:t>实物、</w:t>
      </w:r>
      <w:r>
        <w:rPr>
          <w:rFonts w:hint="eastAsia" w:ascii="宋体" w:hAnsi="宋体"/>
          <w:color w:val="auto"/>
          <w:kern w:val="0"/>
          <w:szCs w:val="21"/>
          <w:highlight w:val="none"/>
          <w:lang w:val="en-US" w:eastAsia="zh-CN"/>
        </w:rPr>
        <w:t>电子</w:t>
      </w:r>
      <w:r>
        <w:rPr>
          <w:rFonts w:hint="eastAsia" w:ascii="宋体" w:hAnsi="宋体"/>
          <w:color w:val="auto"/>
          <w:kern w:val="0"/>
          <w:szCs w:val="21"/>
          <w:highlight w:val="none"/>
        </w:rPr>
        <w:t>档案进行抽取检查，抽检比例不低于10%，合格率必须达到99%以上。如抽查合格率达不到99%的，由</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负责整改，直到合格，</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承担因此</w:t>
      </w:r>
      <w:r>
        <w:rPr>
          <w:rFonts w:hint="eastAsia" w:ascii="宋体" w:hAnsi="宋体" w:eastAsia="宋体" w:cs="Times New Roman"/>
          <w:color w:val="auto"/>
          <w:kern w:val="0"/>
          <w:szCs w:val="21"/>
          <w:highlight w:val="none"/>
        </w:rPr>
        <w:t>产生的相关费用。</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r>
        <w:rPr>
          <w:rFonts w:hint="eastAsia" w:ascii="宋体" w:hAnsi="宋体" w:eastAsia="宋体" w:cs="Times New Roman"/>
          <w:b/>
          <w:color w:val="auto"/>
          <w:szCs w:val="21"/>
          <w:highlight w:val="none"/>
          <w:lang w:val="en-US" w:eastAsia="zh-CN"/>
        </w:rPr>
        <w:t>7.3档案数字化验收</w:t>
      </w:r>
    </w:p>
    <w:p>
      <w:pPr>
        <w:keepNext w:val="0"/>
        <w:keepLines w:val="0"/>
        <w:pageBreakBefore w:val="0"/>
        <w:kinsoku/>
        <w:wordWrap/>
        <w:overflowPunct/>
        <w:topLinePunct w:val="0"/>
        <w:autoSpaceDE w:val="0"/>
        <w:autoSpaceDN w:val="0"/>
        <w:bidi w:val="0"/>
        <w:adjustRightInd w:val="0"/>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color w:val="auto"/>
          <w:kern w:val="0"/>
          <w:szCs w:val="21"/>
          <w:highlight w:val="none"/>
          <w:lang w:eastAsia="zh-CN"/>
        </w:rPr>
        <w:t>比选人</w:t>
      </w:r>
      <w:r>
        <w:rPr>
          <w:rFonts w:hint="eastAsia" w:ascii="宋体" w:hAnsi="宋体"/>
          <w:color w:val="auto"/>
          <w:kern w:val="0"/>
          <w:szCs w:val="21"/>
          <w:highlight w:val="none"/>
        </w:rPr>
        <w:t>按照档案数字化加工要求对</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目录数据库与图像文件挂接完毕的数据进行抽取检查，抽检比例不低于5%，合格率必须达到99%以上。如抽查合格率达不到99%的，由</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负责</w:t>
      </w:r>
      <w:r>
        <w:rPr>
          <w:rFonts w:hint="eastAsia" w:ascii="宋体" w:hAnsi="宋体"/>
          <w:color w:val="auto"/>
          <w:kern w:val="0"/>
          <w:szCs w:val="21"/>
          <w:highlight w:val="none"/>
          <w:lang w:eastAsia="zh-CN"/>
        </w:rPr>
        <w:t>再次</w:t>
      </w:r>
      <w:r>
        <w:rPr>
          <w:rFonts w:hint="eastAsia" w:ascii="宋体" w:hAnsi="宋体" w:eastAsia="宋体" w:cs="Times New Roman"/>
          <w:color w:val="auto"/>
          <w:kern w:val="0"/>
          <w:szCs w:val="21"/>
          <w:highlight w:val="none"/>
          <w:lang w:eastAsia="zh-CN"/>
        </w:rPr>
        <w:t>整改，直到合格，比选申请人承担因此产生的相关费用。</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r>
        <w:rPr>
          <w:rFonts w:hint="eastAsia" w:ascii="宋体" w:hAnsi="宋体" w:eastAsia="宋体" w:cs="Times New Roman"/>
          <w:b/>
          <w:color w:val="auto"/>
          <w:szCs w:val="21"/>
          <w:highlight w:val="none"/>
          <w:lang w:val="en-US" w:eastAsia="zh-CN"/>
        </w:rPr>
        <w:t>7.4光盘档案验收</w:t>
      </w:r>
    </w:p>
    <w:p>
      <w:pPr>
        <w:keepNext w:val="0"/>
        <w:keepLines w:val="0"/>
        <w:pageBreakBefore w:val="0"/>
        <w:kinsoku/>
        <w:wordWrap/>
        <w:overflowPunct/>
        <w:topLinePunct w:val="0"/>
        <w:autoSpaceDE w:val="0"/>
        <w:autoSpaceDN w:val="0"/>
        <w:bidi w:val="0"/>
        <w:adjustRightInd w:val="0"/>
        <w:spacing w:before="0" w:after="0" w:afterAutospacing="0" w:line="360" w:lineRule="auto"/>
        <w:ind w:left="0" w:right="0" w:firstLine="420" w:firstLineChars="200"/>
        <w:rPr>
          <w:rFonts w:hint="eastAsia"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Cs w:val="21"/>
          <w:highlight w:val="none"/>
          <w:lang w:val="en-US" w:eastAsia="zh-CN"/>
        </w:rPr>
        <w:t>比选人按照光盘</w:t>
      </w:r>
      <w:r>
        <w:rPr>
          <w:rFonts w:hint="eastAsia" w:ascii="宋体" w:hAnsi="宋体" w:eastAsia="宋体" w:cs="Times New Roman"/>
          <w:color w:val="auto"/>
          <w:kern w:val="0"/>
          <w:sz w:val="21"/>
          <w:szCs w:val="21"/>
          <w:highlight w:val="none"/>
          <w:lang w:val="en-US" w:eastAsia="zh-CN" w:bidi="ar-SA"/>
        </w:rPr>
        <w:t>刻录要求对比选申请人刻录完毕的光盘进行抽取检查，抽检比例不低于10%，合格率必须达到99%以上。如抽查合格率达不到99%的，由比选申请人负责整改，直到合格，比选申请人承担因此产生的相关费用。</w:t>
      </w:r>
    </w:p>
    <w:p>
      <w:pPr>
        <w:keepNext w:val="0"/>
        <w:keepLines w:val="0"/>
        <w:pageBreakBefore w:val="0"/>
        <w:kinsoku/>
        <w:wordWrap/>
        <w:overflowPunct/>
        <w:topLinePunct w:val="0"/>
        <w:bidi w:val="0"/>
        <w:spacing w:before="0" w:after="0" w:afterAutospacing="0" w:line="360" w:lineRule="auto"/>
        <w:ind w:left="0" w:right="0" w:firstLine="422" w:firstLineChars="200"/>
        <w:outlineLvl w:val="1"/>
        <w:rPr>
          <w:rFonts w:hint="eastAsia" w:ascii="宋体" w:hAnsi="宋体" w:eastAsia="宋体" w:cs="Times New Roman"/>
          <w:b/>
          <w:color w:val="auto"/>
          <w:szCs w:val="21"/>
          <w:highlight w:val="none"/>
          <w:lang w:val="en-US" w:eastAsia="zh-CN"/>
        </w:rPr>
      </w:pPr>
      <w:bookmarkStart w:id="1762" w:name="_Toc19070"/>
      <w:bookmarkStart w:id="1763" w:name="_Toc15738"/>
      <w:r>
        <w:rPr>
          <w:rFonts w:hint="eastAsia" w:ascii="宋体" w:hAnsi="宋体" w:eastAsia="宋体" w:cs="Times New Roman"/>
          <w:b/>
          <w:color w:val="auto"/>
          <w:szCs w:val="21"/>
          <w:highlight w:val="none"/>
          <w:lang w:val="en-US" w:eastAsia="zh-CN"/>
        </w:rPr>
        <w:t>7.5整改要求</w:t>
      </w:r>
      <w:bookmarkEnd w:id="1762"/>
      <w:bookmarkEnd w:id="1763"/>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（1）对于比选人检查出的不符合标准要求的问题，比选申请人应无条件进行整改， 由于比选申请人的质量等问题，而引发的误时、经济等问题均由比选申请人承担。</w:t>
      </w:r>
    </w:p>
    <w:p>
      <w:pPr>
        <w:pStyle w:val="73"/>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（2）全部档案验收通过后，须填写“档案数字化成品交接清单”，须经双方签字后方有效。</w:t>
      </w:r>
    </w:p>
    <w:p>
      <w:pPr>
        <w:keepNext w:val="0"/>
        <w:keepLines w:val="0"/>
        <w:pageBreakBefore w:val="0"/>
        <w:kinsoku/>
        <w:wordWrap/>
        <w:overflowPunct/>
        <w:topLinePunct w:val="0"/>
        <w:bidi w:val="0"/>
        <w:spacing w:before="0" w:after="0" w:afterAutospacing="0" w:line="360" w:lineRule="auto"/>
        <w:ind w:left="0" w:right="0" w:firstLine="482" w:firstLineChars="200"/>
        <w:outlineLvl w:val="0"/>
        <w:rPr>
          <w:rFonts w:hint="eastAsia" w:ascii="黑体" w:hAnsi="黑体" w:eastAsia="黑体" w:cs="黑体"/>
          <w:b/>
          <w:color w:val="auto"/>
          <w:sz w:val="24"/>
          <w:highlight w:val="none"/>
          <w:lang w:val="en-US" w:eastAsia="zh-CN"/>
        </w:rPr>
      </w:pPr>
      <w:bookmarkStart w:id="1764" w:name="_Toc969"/>
      <w:bookmarkStart w:id="1765" w:name="_Toc5067"/>
      <w:bookmarkStart w:id="1766" w:name="_Toc15518"/>
      <w:r>
        <w:rPr>
          <w:rFonts w:hint="eastAsia" w:ascii="黑体" w:hAnsi="黑体" w:eastAsia="黑体" w:cs="黑体"/>
          <w:b/>
          <w:color w:val="auto"/>
          <w:sz w:val="24"/>
          <w:highlight w:val="none"/>
          <w:lang w:val="en-US" w:eastAsia="zh-CN"/>
        </w:rPr>
        <w:t>8场地设备要求</w:t>
      </w:r>
      <w:bookmarkEnd w:id="1764"/>
      <w:bookmarkEnd w:id="1765"/>
      <w:bookmarkEnd w:id="1766"/>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（1）比选人提供档案整理及数字化加工场地及桌椅、档案柜、档案盒、光盘。</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比选申请人需自备完成档案整理及数字化加工服务所需的各种硬件设备（电脑、扫描仪、打印机、DVD光盘刻录设备、监控等）、软件、各类耗材（纸张、夹子、装订针线、白乳胶、文具等装订、裱补材料工具）等，所使用的设备、软件、耗材必须符合档案管理和保护的要求。</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（3）比选申请人需对进场硬件设备进行编号登记，并提供设备清单给比选人备查。清单内未登记的设备未经允许不得带入项目现场。</w:t>
      </w:r>
    </w:p>
    <w:p>
      <w:pPr>
        <w:keepNext w:val="0"/>
        <w:keepLines w:val="0"/>
        <w:pageBreakBefore w:val="0"/>
        <w:kinsoku/>
        <w:wordWrap/>
        <w:overflowPunct/>
        <w:topLinePunct w:val="0"/>
        <w:bidi w:val="0"/>
        <w:spacing w:before="0" w:after="0" w:afterAutospacing="0" w:line="360" w:lineRule="auto"/>
        <w:ind w:left="0" w:right="0" w:firstLine="482" w:firstLineChars="200"/>
        <w:outlineLvl w:val="0"/>
        <w:rPr>
          <w:rFonts w:hint="eastAsia" w:ascii="黑体" w:hAnsi="黑体" w:eastAsia="黑体" w:cs="黑体"/>
          <w:b/>
          <w:color w:val="auto"/>
          <w:sz w:val="24"/>
          <w:highlight w:val="none"/>
          <w:lang w:val="en-US" w:eastAsia="zh-CN"/>
        </w:rPr>
      </w:pPr>
      <w:bookmarkStart w:id="1767" w:name="_Toc31569"/>
      <w:bookmarkStart w:id="1768" w:name="_Toc14452"/>
      <w:bookmarkStart w:id="1769" w:name="_Toc30814"/>
      <w:bookmarkStart w:id="1770" w:name="_Toc15638"/>
      <w:r>
        <w:rPr>
          <w:rFonts w:hint="eastAsia" w:ascii="黑体" w:hAnsi="黑体" w:eastAsia="黑体" w:cs="黑体"/>
          <w:b/>
          <w:color w:val="auto"/>
          <w:sz w:val="24"/>
          <w:highlight w:val="none"/>
          <w:lang w:val="en-US" w:eastAsia="zh-CN"/>
        </w:rPr>
        <w:t>9实施要求</w:t>
      </w:r>
      <w:bookmarkEnd w:id="1767"/>
      <w:bookmarkEnd w:id="1768"/>
      <w:bookmarkEnd w:id="1769"/>
      <w:bookmarkEnd w:id="1770"/>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（1）比选申请人需在合同签订后5个工作日内成立项目组并委派人员与设备进场。</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（2）比选申请人需提供具体的项目操作标准及流程、项目实施计划及相关保证措施。</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（3）比选申请人项目负责人每月月末统计当月工作数量，总结工作情况，报送给比选人。</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（4）比选申请人在必要时需协助比选人做好文件资料清点接收、档案上架调架、整理阶段文件的查找利用以及上级档案主管部门年检所需的佐证材料的准备工作等。</w:t>
      </w:r>
    </w:p>
    <w:p>
      <w:pPr>
        <w:keepNext w:val="0"/>
        <w:keepLines w:val="0"/>
        <w:pageBreakBefore w:val="0"/>
        <w:kinsoku/>
        <w:wordWrap/>
        <w:overflowPunct/>
        <w:topLinePunct w:val="0"/>
        <w:bidi w:val="0"/>
        <w:spacing w:before="0" w:after="0" w:afterAutospacing="0" w:line="360" w:lineRule="auto"/>
        <w:ind w:left="0" w:right="0" w:firstLine="482" w:firstLineChars="200"/>
        <w:outlineLvl w:val="0"/>
        <w:rPr>
          <w:rFonts w:hint="eastAsia" w:ascii="黑体" w:hAnsi="黑体" w:eastAsia="黑体" w:cs="黑体"/>
          <w:b/>
          <w:color w:val="auto"/>
          <w:sz w:val="24"/>
          <w:highlight w:val="none"/>
          <w:lang w:val="en-US" w:eastAsia="zh-CN"/>
        </w:rPr>
      </w:pPr>
      <w:bookmarkStart w:id="1771" w:name="_Toc19394"/>
      <w:bookmarkStart w:id="1772" w:name="_Toc15937"/>
      <w:bookmarkStart w:id="1773" w:name="_Toc27201"/>
      <w:bookmarkStart w:id="1774" w:name="_Toc15244"/>
      <w:r>
        <w:rPr>
          <w:rFonts w:hint="eastAsia" w:ascii="黑体" w:hAnsi="黑体" w:eastAsia="黑体" w:cs="黑体"/>
          <w:b/>
          <w:color w:val="auto"/>
          <w:sz w:val="24"/>
          <w:highlight w:val="none"/>
          <w:lang w:val="en-US" w:eastAsia="zh-CN"/>
        </w:rPr>
        <w:t>10保密安全要求</w:t>
      </w:r>
      <w:bookmarkEnd w:id="1771"/>
      <w:bookmarkEnd w:id="1772"/>
      <w:bookmarkEnd w:id="1773"/>
      <w:bookmarkEnd w:id="1774"/>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（1）比选申请人与比选人需在采购合同中约定相关保密条款，比选申请人与项目工作人员签订保密协议，建立严格的安全保密制度，加强对工作人员的保密教育。</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（2）比选申请人需对可能出现的安全生产问题提出详细的预防、解决方案和具体的措施，有效防止档案泄密、损毁等安全事故发生。</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（3）比选申请人必须保证档案内容与档案载体的安全，规范开展档案整理及数字化工作。</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4）比选申请人的工作人员不许私自携带任何可存储设备进入或离开工作现场。项目进行期间，未经比选人核查，比选申请人不得私自将进场的硬件设备带离项目现场。本次项目完成后，比选申请人所有进场计算机的硬盘移交给比选人，经比选人确认后方能带离项目现场。</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（5）比选申请人的工作人员不得以任何形式将各项档案资料带出指定工作现场，不得以任何形式泄漏、传播档案信息，不得无故查看及讨论档案内容。</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（6）比选申请人的工作人员不得在私人通信中涉及比选人的秘密；不在电话、公共场所和家属、子女、亲友面前谈论有关档案内容；未经比选人同意不得带无关人员进入项目现场参观或学习。</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（7）比选申请人在工作中必须与比选人做好档案的安全交接，并做好整个项目流程各个环节工作的详细登记，完工后全部移交给比选人。</w:t>
      </w:r>
    </w:p>
    <w:p>
      <w:pPr>
        <w:keepNext w:val="0"/>
        <w:keepLines w:val="0"/>
        <w:pageBreakBefore w:val="0"/>
        <w:kinsoku/>
        <w:wordWrap/>
        <w:overflowPunct/>
        <w:topLinePunct w:val="0"/>
        <w:bidi w:val="0"/>
        <w:spacing w:before="0" w:after="0" w:afterAutospacing="0" w:line="360" w:lineRule="auto"/>
        <w:ind w:left="0" w:right="0"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（8）比选申请人不得在项目现场使用与工作无关的任何电器设备，不得私自携带照相工具进入项目现场。</w:t>
      </w:r>
    </w:p>
    <w:p>
      <w:pPr>
        <w:keepNext w:val="0"/>
        <w:keepLines w:val="0"/>
        <w:pageBreakBefore w:val="0"/>
        <w:kinsoku/>
        <w:wordWrap/>
        <w:overflowPunct/>
        <w:topLinePunct w:val="0"/>
        <w:bidi w:val="0"/>
        <w:spacing w:before="0" w:after="0" w:afterAutospacing="0" w:line="360" w:lineRule="auto"/>
        <w:ind w:left="0" w:right="0" w:firstLine="482" w:firstLineChars="200"/>
        <w:outlineLvl w:val="0"/>
        <w:rPr>
          <w:rFonts w:hint="eastAsia" w:ascii="黑体" w:hAnsi="黑体" w:eastAsia="黑体" w:cs="黑体"/>
          <w:b/>
          <w:color w:val="auto"/>
          <w:sz w:val="24"/>
          <w:highlight w:val="none"/>
          <w:lang w:val="en-US" w:eastAsia="zh-CN"/>
        </w:rPr>
      </w:pPr>
      <w:bookmarkStart w:id="1775" w:name="_Toc16682"/>
      <w:bookmarkStart w:id="1776" w:name="_Toc9308"/>
      <w:bookmarkStart w:id="1777" w:name="_Toc20770"/>
      <w:bookmarkStart w:id="1778" w:name="_Toc7703"/>
      <w:r>
        <w:rPr>
          <w:rFonts w:hint="eastAsia" w:ascii="黑体" w:hAnsi="黑体" w:eastAsia="黑体" w:cs="黑体"/>
          <w:b/>
          <w:color w:val="auto"/>
          <w:sz w:val="24"/>
          <w:highlight w:val="none"/>
          <w:lang w:val="en-US" w:eastAsia="zh-CN"/>
        </w:rPr>
        <w:t>11售后服务要求</w:t>
      </w:r>
      <w:bookmarkEnd w:id="1775"/>
      <w:bookmarkEnd w:id="1776"/>
      <w:bookmarkEnd w:id="1777"/>
      <w:bookmarkEnd w:id="1778"/>
    </w:p>
    <w:p>
      <w:pPr>
        <w:keepNext w:val="0"/>
        <w:keepLines w:val="0"/>
        <w:pageBreakBefore w:val="0"/>
        <w:kinsoku/>
        <w:wordWrap/>
        <w:overflowPunct/>
        <w:topLinePunct w:val="0"/>
        <w:autoSpaceDE w:val="0"/>
        <w:autoSpaceDN w:val="0"/>
        <w:bidi w:val="0"/>
        <w:adjustRightInd w:val="0"/>
        <w:spacing w:before="0" w:after="0" w:afterAutospacing="0" w:line="360" w:lineRule="auto"/>
        <w:ind w:left="0" w:right="0" w:firstLine="420" w:firstLineChars="200"/>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lang w:val="en-US" w:eastAsia="zh-CN"/>
        </w:rPr>
        <w:t>比选申请人须提供从项目整体验收合格之日起最少2年的免费质保期服务。质保期内提供电话、传真、电子邮件、现场多种方式技术服务，接到比选人处理问题通知后24小时内到达比选人指定现场。</w:t>
      </w:r>
    </w:p>
    <w:p>
      <w:pPr>
        <w:pStyle w:val="3"/>
        <w:ind w:left="0" w:leftChars="0" w:firstLine="0" w:firstLineChars="0"/>
        <w:outlineLvl w:val="9"/>
        <w:rPr>
          <w:color w:val="auto"/>
          <w:highlight w:val="none"/>
        </w:rPr>
      </w:pPr>
    </w:p>
    <w:p>
      <w:pPr>
        <w:pStyle w:val="2"/>
        <w:pageBreakBefore/>
        <w:ind w:left="0" w:leftChars="0" w:right="-57" w:firstLine="0" w:firstLineChars="0"/>
        <w:jc w:val="center"/>
        <w:outlineLvl w:val="0"/>
        <w:rPr>
          <w:rStyle w:val="46"/>
          <w:rFonts w:hint="eastAsia" w:ascii="宋体" w:hAnsi="宋体" w:eastAsia="宋体" w:cs="Times New Roman"/>
          <w:color w:val="auto"/>
          <w:highlight w:val="none"/>
        </w:rPr>
      </w:pPr>
      <w:bookmarkStart w:id="1779" w:name="_Toc24305"/>
      <w:bookmarkStart w:id="1780" w:name="_Toc9329"/>
      <w:bookmarkStart w:id="1781" w:name="_Toc1777"/>
      <w:bookmarkStart w:id="1782" w:name="_Toc6090"/>
      <w:bookmarkStart w:id="1783" w:name="_Toc14104"/>
      <w:bookmarkStart w:id="1784" w:name="_Toc25908"/>
      <w:bookmarkStart w:id="1785" w:name="_Toc531"/>
      <w:bookmarkStart w:id="1786" w:name="_Toc1104"/>
      <w:bookmarkStart w:id="1787" w:name="_Toc21231"/>
      <w:bookmarkStart w:id="1788" w:name="_Toc14995"/>
      <w:bookmarkStart w:id="1789" w:name="_Toc14738"/>
      <w:bookmarkStart w:id="1790" w:name="_Toc26286"/>
      <w:bookmarkStart w:id="1791" w:name="_Toc3551"/>
      <w:bookmarkStart w:id="1792" w:name="_Toc147"/>
      <w:bookmarkStart w:id="1793" w:name="_Toc23761"/>
      <w:bookmarkStart w:id="1794" w:name="_Toc25435"/>
      <w:bookmarkStart w:id="1795" w:name="_Toc22547"/>
      <w:bookmarkStart w:id="1796" w:name="_Toc4284"/>
      <w:bookmarkStart w:id="1797" w:name="_Toc17186"/>
      <w:bookmarkStart w:id="1798" w:name="_Toc5008"/>
      <w:bookmarkStart w:id="1799" w:name="_Toc3174"/>
      <w:bookmarkStart w:id="1800" w:name="_Toc27339"/>
      <w:bookmarkStart w:id="1801" w:name="_Toc12206"/>
      <w:bookmarkStart w:id="1802" w:name="_Toc22965"/>
      <w:bookmarkStart w:id="1803" w:name="_Toc3620"/>
      <w:bookmarkStart w:id="1804" w:name="_Toc8900"/>
      <w:bookmarkStart w:id="1805" w:name="_Toc5631"/>
      <w:bookmarkStart w:id="1806" w:name="_Toc8571"/>
      <w:r>
        <w:rPr>
          <w:rStyle w:val="46"/>
          <w:rFonts w:hint="eastAsia" w:ascii="宋体" w:hAnsi="宋体" w:eastAsia="宋体" w:cs="Times New Roman"/>
          <w:color w:val="auto"/>
          <w:highlight w:val="none"/>
        </w:rPr>
        <w:t>第六章</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rStyle w:val="46"/>
          <w:rFonts w:hint="eastAsia" w:hAnsi="宋体" w:cs="Times New Roman"/>
          <w:color w:val="auto"/>
          <w:highlight w:val="none"/>
          <w:lang w:val="en-US" w:eastAsia="zh-CN"/>
        </w:rPr>
        <w:t xml:space="preserve"> </w:t>
      </w:r>
      <w:r>
        <w:rPr>
          <w:rStyle w:val="46"/>
          <w:rFonts w:hint="eastAsia" w:ascii="宋体" w:hAnsi="宋体" w:eastAsia="宋体" w:cs="Times New Roman"/>
          <w:color w:val="auto"/>
          <w:highlight w:val="none"/>
        </w:rPr>
        <w:t>评审办法</w:t>
      </w:r>
      <w:bookmarkEnd w:id="1800"/>
      <w:bookmarkEnd w:id="1801"/>
      <w:bookmarkEnd w:id="1802"/>
      <w:bookmarkEnd w:id="1803"/>
      <w:bookmarkEnd w:id="1804"/>
      <w:bookmarkEnd w:id="1805"/>
      <w:bookmarkEnd w:id="1806"/>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2" w:firstLineChars="200"/>
        <w:textAlignment w:val="auto"/>
        <w:outlineLvl w:val="1"/>
        <w:rPr>
          <w:rFonts w:asciiTheme="minorEastAsia" w:hAnsiTheme="minorEastAsia" w:eastAsiaTheme="minorEastAsia"/>
          <w:b/>
          <w:color w:val="auto"/>
          <w:szCs w:val="21"/>
          <w:highlight w:val="none"/>
        </w:rPr>
      </w:pPr>
      <w:bookmarkStart w:id="1807" w:name="_Toc22080_WPSOffice_Level2"/>
      <w:bookmarkStart w:id="1808" w:name="_Toc159931592"/>
      <w:bookmarkStart w:id="1809" w:name="_Toc24894"/>
      <w:bookmarkStart w:id="1810" w:name="_Toc16301"/>
      <w:bookmarkStart w:id="1811" w:name="_Toc20991"/>
      <w:bookmarkStart w:id="1812" w:name="_Toc31707"/>
      <w:bookmarkStart w:id="1813" w:name="_Toc5920"/>
      <w:bookmarkStart w:id="1814" w:name="_Toc23272"/>
      <w:bookmarkStart w:id="1815" w:name="_Toc9189"/>
      <w:bookmarkStart w:id="1816" w:name="_Toc10968"/>
      <w:bookmarkStart w:id="1817" w:name="_Toc16364"/>
      <w:bookmarkStart w:id="1818" w:name="_Toc5399"/>
      <w:bookmarkStart w:id="1819" w:name="_Toc9588"/>
      <w:bookmarkStart w:id="1820" w:name="_Toc9730"/>
      <w:bookmarkStart w:id="1821" w:name="_Toc414290583"/>
      <w:bookmarkStart w:id="1822" w:name="_Toc29245"/>
      <w:bookmarkStart w:id="1823" w:name="_Toc29323"/>
      <w:bookmarkStart w:id="1824" w:name="_Toc25750694"/>
      <w:bookmarkStart w:id="1825" w:name="_Toc22464"/>
      <w:bookmarkStart w:id="1826" w:name="_Toc27271"/>
      <w:bookmarkStart w:id="1827" w:name="_Toc15224"/>
      <w:bookmarkStart w:id="1828" w:name="_Toc492478849"/>
      <w:bookmarkStart w:id="1829" w:name="_Toc31611"/>
      <w:bookmarkStart w:id="1830" w:name="_Toc19557"/>
      <w:bookmarkStart w:id="1831" w:name="_Toc15073"/>
      <w:bookmarkStart w:id="1832" w:name="_Toc15402"/>
      <w:bookmarkStart w:id="1833" w:name="_Toc27"/>
      <w:bookmarkStart w:id="1834" w:name="_Toc18096"/>
      <w:bookmarkStart w:id="1835" w:name="_Toc28404"/>
      <w:bookmarkStart w:id="1836" w:name="_Toc29923"/>
      <w:bookmarkStart w:id="1837" w:name="_Toc23314"/>
      <w:bookmarkStart w:id="1838" w:name="_Toc434"/>
      <w:r>
        <w:rPr>
          <w:rFonts w:hint="eastAsia" w:asciiTheme="minorEastAsia" w:hAnsiTheme="minorEastAsia" w:eastAsiaTheme="minorEastAsia"/>
          <w:b/>
          <w:color w:val="auto"/>
          <w:szCs w:val="21"/>
          <w:highlight w:val="none"/>
        </w:rPr>
        <w:t>一、评审原则</w:t>
      </w:r>
      <w:bookmarkEnd w:id="1807"/>
      <w:bookmarkEnd w:id="1808"/>
      <w:bookmarkEnd w:id="1809"/>
      <w:bookmarkEnd w:id="1810"/>
      <w:bookmarkEnd w:id="1811"/>
      <w:bookmarkEnd w:id="1812"/>
      <w:bookmarkEnd w:id="1813"/>
      <w:bookmarkEnd w:id="1814"/>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评审委员会成员构成：本项目由南宁轨道交通运营有限公司组成</w:t>
      </w:r>
      <w:r>
        <w:rPr>
          <w:rFonts w:asciiTheme="minorEastAsia" w:hAnsiTheme="minorEastAsia" w:eastAsiaTheme="minorEastAsia"/>
          <w:color w:val="auto"/>
          <w:szCs w:val="21"/>
          <w:highlight w:val="none"/>
        </w:rPr>
        <w:t>5人及以上组成评审小组，共同对比选申请文件进行评审</w:t>
      </w:r>
      <w:r>
        <w:rPr>
          <w:rFonts w:hint="eastAsia" w:asciiTheme="minorEastAsia" w:hAnsiTheme="minorEastAsia" w:eastAsiaTheme="minorEastAsia"/>
          <w:color w:val="auto"/>
          <w:szCs w:val="21"/>
          <w:highlight w:val="none"/>
        </w:rPr>
        <w:t>。</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2.评审依据</w:t>
      </w:r>
      <w:r>
        <w:rPr>
          <w:rFonts w:hint="eastAsia" w:asciiTheme="minorEastAsia" w:hAnsiTheme="minorEastAsia" w:eastAsiaTheme="minorEastAsia"/>
          <w:color w:val="auto"/>
          <w:szCs w:val="21"/>
          <w:highlight w:val="none"/>
        </w:rPr>
        <w:t>：评审委员会以比选文件、比选申请文件为评审依据。</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3.评审方式：以封闭方式进行。</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2" w:firstLineChars="200"/>
        <w:textAlignment w:val="auto"/>
        <w:outlineLvl w:val="1"/>
        <w:rPr>
          <w:rFonts w:asciiTheme="minorEastAsia" w:hAnsiTheme="minorEastAsia" w:eastAsiaTheme="minorEastAsia"/>
          <w:b/>
          <w:color w:val="auto"/>
          <w:szCs w:val="21"/>
          <w:highlight w:val="none"/>
        </w:rPr>
      </w:pPr>
      <w:bookmarkStart w:id="1839" w:name="_Toc9865"/>
      <w:bookmarkStart w:id="1840" w:name="_Toc19402"/>
      <w:bookmarkStart w:id="1841" w:name="_Toc159931593"/>
      <w:bookmarkStart w:id="1842" w:name="_Toc3256_WPSOffice_Level2"/>
      <w:bookmarkStart w:id="1843" w:name="_Toc13123"/>
      <w:bookmarkStart w:id="1844" w:name="_Toc2524"/>
      <w:bookmarkStart w:id="1845" w:name="_Toc28570"/>
      <w:bookmarkStart w:id="1846" w:name="_Toc30416"/>
      <w:r>
        <w:rPr>
          <w:rFonts w:hint="eastAsia" w:asciiTheme="minorEastAsia" w:hAnsiTheme="minorEastAsia" w:eastAsiaTheme="minorEastAsia"/>
          <w:b/>
          <w:color w:val="auto"/>
          <w:szCs w:val="21"/>
          <w:highlight w:val="none"/>
        </w:rPr>
        <w:t>二、评定方法</w:t>
      </w:r>
      <w:bookmarkEnd w:id="1839"/>
      <w:bookmarkEnd w:id="1840"/>
      <w:bookmarkEnd w:id="1841"/>
      <w:bookmarkEnd w:id="1842"/>
      <w:bookmarkEnd w:id="1843"/>
      <w:bookmarkEnd w:id="1844"/>
      <w:bookmarkEnd w:id="1845"/>
      <w:bookmarkEnd w:id="1846"/>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1.对资格性和符合性检查合格的比选申请文件，进入资信、技术、价格评</w:t>
      </w:r>
      <w:r>
        <w:rPr>
          <w:rFonts w:hint="eastAsia" w:asciiTheme="minorEastAsia" w:hAnsiTheme="minorEastAsia" w:eastAsiaTheme="minorEastAsia"/>
          <w:color w:val="auto"/>
          <w:szCs w:val="21"/>
          <w:highlight w:val="none"/>
        </w:rPr>
        <w:t>审采用综合评分法进行评审。满分</w:t>
      </w:r>
      <w:r>
        <w:rPr>
          <w:rFonts w:asciiTheme="minorEastAsia" w:hAnsiTheme="minorEastAsia" w:eastAsiaTheme="minorEastAsia"/>
          <w:color w:val="auto"/>
          <w:szCs w:val="21"/>
          <w:highlight w:val="none"/>
        </w:rPr>
        <w:t>100分，其中资信得分</w:t>
      </w:r>
      <w:r>
        <w:rPr>
          <w:rFonts w:hint="eastAsia" w:asciiTheme="minorEastAsia" w:hAnsiTheme="minorEastAsia" w:eastAsiaTheme="minorEastAsia"/>
          <w:color w:val="auto"/>
          <w:szCs w:val="21"/>
          <w:highlight w:val="none"/>
          <w:lang w:val="en-US" w:eastAsia="zh-CN"/>
        </w:rPr>
        <w:t>30</w:t>
      </w:r>
      <w:r>
        <w:rPr>
          <w:rFonts w:asciiTheme="minorEastAsia" w:hAnsiTheme="minorEastAsia" w:eastAsiaTheme="minorEastAsia"/>
          <w:color w:val="auto"/>
          <w:szCs w:val="21"/>
          <w:highlight w:val="none"/>
        </w:rPr>
        <w:t>，技术得分</w:t>
      </w:r>
      <w:r>
        <w:rPr>
          <w:rFonts w:hint="eastAsia" w:asciiTheme="minorEastAsia" w:hAnsiTheme="minorEastAsia" w:eastAsiaTheme="minorEastAsia"/>
          <w:color w:val="auto"/>
          <w:szCs w:val="21"/>
          <w:highlight w:val="none"/>
          <w:lang w:val="en-US" w:eastAsia="zh-CN"/>
        </w:rPr>
        <w:t>35</w:t>
      </w:r>
      <w:r>
        <w:rPr>
          <w:rFonts w:asciiTheme="minorEastAsia" w:hAnsiTheme="minorEastAsia" w:eastAsiaTheme="minorEastAsia"/>
          <w:color w:val="auto"/>
          <w:szCs w:val="21"/>
          <w:highlight w:val="none"/>
        </w:rPr>
        <w:t>分，价格得分</w:t>
      </w:r>
      <w:r>
        <w:rPr>
          <w:rFonts w:hint="eastAsia" w:asciiTheme="minorEastAsia" w:hAnsiTheme="minorEastAsia" w:eastAsiaTheme="minorEastAsia"/>
          <w:color w:val="auto"/>
          <w:szCs w:val="21"/>
          <w:highlight w:val="none"/>
          <w:lang w:val="en-US" w:eastAsia="zh-CN"/>
        </w:rPr>
        <w:t>35</w:t>
      </w:r>
      <w:r>
        <w:rPr>
          <w:rFonts w:asciiTheme="minorEastAsia" w:hAnsiTheme="minorEastAsia" w:eastAsiaTheme="minorEastAsia"/>
          <w:color w:val="auto"/>
          <w:szCs w:val="21"/>
          <w:highlight w:val="none"/>
        </w:rPr>
        <w:t>分。</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评审委员会将依照本比选文件相关要求，对照比选申请文件的应答进行比较，并对各比选申请文件的资信、技术、价格内容进行评审打分。</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作无效报价处理。</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4.总分=资信得分+技术得分+价格得分。各项指标的分数计算四舍五入，取小数点后两位。计算比选申请人综合评分，并按照总分（综合得分）由高到低的顺序提出1-3名中选候选人，并编写评审报告。</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2" w:firstLineChars="200"/>
        <w:textAlignment w:val="auto"/>
        <w:outlineLvl w:val="1"/>
        <w:rPr>
          <w:rFonts w:asciiTheme="minorEastAsia" w:hAnsiTheme="minorEastAsia" w:eastAsiaTheme="minorEastAsia"/>
          <w:b/>
          <w:color w:val="auto"/>
          <w:szCs w:val="21"/>
          <w:highlight w:val="none"/>
        </w:rPr>
      </w:pPr>
      <w:bookmarkStart w:id="1847" w:name="_Toc9304"/>
      <w:bookmarkStart w:id="1848" w:name="_Toc8075_WPSOffice_Level2"/>
      <w:bookmarkStart w:id="1849" w:name="_Toc17948"/>
      <w:bookmarkStart w:id="1850" w:name="_Toc23737"/>
      <w:bookmarkStart w:id="1851" w:name="_Toc26864"/>
      <w:bookmarkStart w:id="1852" w:name="_Toc30312"/>
      <w:bookmarkStart w:id="1853" w:name="_Toc159931594"/>
      <w:r>
        <w:rPr>
          <w:rFonts w:hint="eastAsia" w:asciiTheme="minorEastAsia" w:hAnsiTheme="minorEastAsia" w:eastAsiaTheme="minorEastAsia"/>
          <w:b/>
          <w:color w:val="auto"/>
          <w:szCs w:val="21"/>
          <w:highlight w:val="none"/>
        </w:rPr>
        <w:t>三、评审程序</w:t>
      </w:r>
      <w:bookmarkEnd w:id="1847"/>
      <w:bookmarkEnd w:id="1848"/>
      <w:bookmarkEnd w:id="1849"/>
      <w:bookmarkEnd w:id="1850"/>
      <w:bookmarkEnd w:id="1851"/>
      <w:bookmarkEnd w:id="1852"/>
      <w:bookmarkEnd w:id="1853"/>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2" w:firstLineChars="200"/>
        <w:textAlignment w:val="auto"/>
        <w:outlineLvl w:val="2"/>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1.</w:t>
      </w:r>
      <w:r>
        <w:rPr>
          <w:rFonts w:hint="eastAsia" w:asciiTheme="minorEastAsia" w:hAnsiTheme="minorEastAsia" w:eastAsiaTheme="minorEastAsia"/>
          <w:b/>
          <w:color w:val="auto"/>
          <w:szCs w:val="21"/>
          <w:highlight w:val="none"/>
        </w:rPr>
        <w:t>资格审查</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1.1资格审查采用定性评审法，审查比选申请人是否符合法律法规、规章及比选文件对企业资质、业绩和其他强制性标准，是否处于正常的经营状况等情况。</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1.2在本阶段不符合任何一项资格评审标准的比选申请人将被比选人拒绝，不得进入下一阶段的评审。评审标准详见附表一《资格审查表》。</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2" w:firstLineChars="200"/>
        <w:textAlignment w:val="auto"/>
        <w:outlineLvl w:val="2"/>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2.</w:t>
      </w:r>
      <w:r>
        <w:rPr>
          <w:rFonts w:hint="eastAsia" w:asciiTheme="minorEastAsia" w:hAnsiTheme="minorEastAsia" w:eastAsiaTheme="minorEastAsia"/>
          <w:b/>
          <w:color w:val="auto"/>
          <w:szCs w:val="21"/>
          <w:highlight w:val="none"/>
        </w:rPr>
        <w:t>初步</w:t>
      </w:r>
      <w:r>
        <w:rPr>
          <w:rFonts w:asciiTheme="minorEastAsia" w:hAnsiTheme="minorEastAsia" w:eastAsiaTheme="minorEastAsia"/>
          <w:b/>
          <w:color w:val="auto"/>
          <w:szCs w:val="21"/>
          <w:highlight w:val="none"/>
        </w:rPr>
        <w:t>评审</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2.1评审委员会将对比选申请文件的实质性内容进行初步评审，判定其内容是否真实、完整，</w:t>
      </w:r>
      <w:r>
        <w:rPr>
          <w:rFonts w:hint="eastAsia" w:asciiTheme="minorEastAsia" w:hAnsiTheme="minorEastAsia" w:eastAsiaTheme="minorEastAsia"/>
          <w:color w:val="auto"/>
          <w:szCs w:val="21"/>
          <w:highlight w:val="none"/>
        </w:rPr>
        <w:t>是否满足比选文件要求并在实质性内容上予以响应。</w:t>
      </w:r>
    </w:p>
    <w:p>
      <w:pPr>
        <w:pStyle w:val="41"/>
        <w:keepNext w:val="0"/>
        <w:keepLines w:val="0"/>
        <w:pageBreakBefore w:val="0"/>
        <w:widowControl/>
        <w:tabs>
          <w:tab w:val="left" w:pos="1470"/>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2.3评审委员会根据比选文件的要求对比选申请人进行符合性评审，未通过符合性评审的比选申请人不得进入下一阶段的评审。评审标准见附表二《符合性评审表》。</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2" w:firstLineChars="200"/>
        <w:textAlignment w:val="auto"/>
        <w:outlineLvl w:val="2"/>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3.</w:t>
      </w:r>
      <w:r>
        <w:rPr>
          <w:rFonts w:hint="eastAsia" w:asciiTheme="minorEastAsia" w:hAnsiTheme="minorEastAsia" w:eastAsiaTheme="minorEastAsia"/>
          <w:b/>
          <w:color w:val="auto"/>
          <w:szCs w:val="21"/>
          <w:highlight w:val="none"/>
        </w:rPr>
        <w:t>详细</w:t>
      </w:r>
      <w:r>
        <w:rPr>
          <w:rFonts w:asciiTheme="minorEastAsia" w:hAnsiTheme="minorEastAsia" w:eastAsiaTheme="minorEastAsia"/>
          <w:b/>
          <w:color w:val="auto"/>
          <w:szCs w:val="21"/>
          <w:highlight w:val="none"/>
        </w:rPr>
        <w:t>评</w:t>
      </w:r>
      <w:r>
        <w:rPr>
          <w:rFonts w:hint="eastAsia" w:asciiTheme="minorEastAsia" w:hAnsiTheme="minorEastAsia" w:eastAsiaTheme="minorEastAsia"/>
          <w:b/>
          <w:color w:val="auto"/>
          <w:szCs w:val="21"/>
          <w:highlight w:val="none"/>
        </w:rPr>
        <w:t>审</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3.1评审委员会对通过初步评审的比选申请文件的资信文件和技术文件进行详细评审。</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3.2评审委员会按照附表三《资信文件评分表》及附表四《技术文件评分表》规定的量化因素和分值，对各比选申请人技术部分评审。各评委对比选申请人的各评分项评分累加后得出各评委的总得分。比选申请人资信及技术得分取所有评委总得分的算术平均值（得分出现小数点，保留小数点后二位，第三位小数四舍五入）。</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3.4价格评审</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3.4.1评审委员会对通过初步评审的比选申请文件的报价文件进行详细评审。</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3.4.2比选申请报价有算术错误的，评标委员会按以下原则对比选申请报价进行修正，修正的价格经比选申请人书面确认后具有约束力。比选申请人不接受修正价格的，其比选申请作否决比选申请处理：</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1）比选申请文件中的大写金额与小写金额不一致的，以大写金额为准；</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2）总价金额与依据单价计算出的结果不一致的，以单价金额为准修正总价，但单价金额小数点有明显错误的除外；</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3）修正后的最终比选申请报价超过上限控制价的比选申请文件作否决比选申请处理。修正后的分项报价超过分项控制价的比选申请文件作否决比选申请处理。如项目设有综合单价控制价的，修正后的综合单价超过综合单价控制价的比选申请文件作否决比选申请处理；</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4）评标总价以修正后的总价为准，如比选申请人不接受按以上规则确定的评标总价和中选价，则其比选申请将被拒绝。</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3.4.3出现下列情况的比选申请文件将予以否决：</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评审委员会发现比选申请人的报价明显低于其他比选申请报价，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w:t>
      </w:r>
      <w:bookmarkStart w:id="1854" w:name="_Hlk36511445"/>
      <w:r>
        <w:rPr>
          <w:rFonts w:hint="eastAsia" w:asciiTheme="minorEastAsia" w:hAnsiTheme="minorEastAsia" w:eastAsiaTheme="minorEastAsia"/>
          <w:color w:val="auto"/>
          <w:szCs w:val="21"/>
          <w:highlight w:val="none"/>
        </w:rPr>
        <w:t>比选申请报价清单如有漏项的比选申请文件，将予以否决。</w:t>
      </w:r>
      <w:bookmarkEnd w:id="1854"/>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3.4.4评审委员会按照附表五《价格文件评分表》规定的量化因素和分值，对各比选申请人的比选申请报价评审，并计算出价格得分（得分出现小数点，保留小数点后二位，第三位小数四舍五入）。</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2" w:firstLineChars="200"/>
        <w:textAlignment w:val="auto"/>
        <w:outlineLvl w:val="2"/>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4.澄清或补正</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4.1在评审阶段，评审委员会认为必要时，可书面通知比选申请人要求其澄清或补正比选申请文件中的问题，或者要求其补充某些资料。对此，比选申请人不得拒绝。</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4.2比选申请人须以书面形式提供澄清或补正文件，经评审委员会确认方可作为比选申请文件的组成部分。</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4.4如果评审委员会对比选申请人提交的澄清、说明或补正依然存有疑问，可以对比选申请人进一步质疑。比选申请人应当相应地进一步澄清、说明或补正，直至评审委员会认为全部质疑得到解答。</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2" w:firstLineChars="200"/>
        <w:textAlignment w:val="auto"/>
        <w:outlineLvl w:val="2"/>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5.评审报告</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5.1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5.2评审委员会根据综合评分由高到低顺序推荐中选候选人。综合评分相同时，则技术得分较高的排名靠前；如技术得分也相同，则价格得分较高的排名靠前；如价格得分也相同，</w:t>
      </w:r>
      <w:bookmarkStart w:id="1855" w:name="_Hlk31877730"/>
      <w:r>
        <w:rPr>
          <w:rFonts w:hint="eastAsia" w:asciiTheme="minorEastAsia" w:hAnsiTheme="minorEastAsia" w:eastAsiaTheme="minorEastAsia"/>
          <w:color w:val="auto"/>
          <w:szCs w:val="21"/>
          <w:highlight w:val="none"/>
        </w:rPr>
        <w:t>则由评审委员会采用记名投票方式确定</w:t>
      </w:r>
      <w:bookmarkEnd w:id="1855"/>
      <w:r>
        <w:rPr>
          <w:rFonts w:hint="eastAsia" w:asciiTheme="minorEastAsia" w:hAnsiTheme="minorEastAsia" w:eastAsiaTheme="minorEastAsia"/>
          <w:color w:val="auto"/>
          <w:szCs w:val="21"/>
          <w:highlight w:val="none"/>
        </w:rPr>
        <w:t>其排名顺序。</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2" w:firstLineChars="200"/>
        <w:textAlignment w:val="auto"/>
        <w:outlineLvl w:val="2"/>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 xml:space="preserve">6. </w:t>
      </w:r>
      <w:r>
        <w:rPr>
          <w:rFonts w:hint="eastAsia" w:asciiTheme="minorEastAsia" w:hAnsiTheme="minorEastAsia" w:eastAsiaTheme="minorEastAsia"/>
          <w:b/>
          <w:color w:val="auto"/>
          <w:szCs w:val="21"/>
          <w:highlight w:val="none"/>
        </w:rPr>
        <w:t>否决比选申请条件</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比选申请文件有下列情形之一的，评审小组应按否决比选申请处理：</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1）不符合附表一《资格审查表》规定的；</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2）不符合附表二《符合性评审表》规定的；</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）法定代表人未按规定出具授权委托书的（采用委托代理人形式的）；</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）在比选申请文件中有虚假文件和</w:t>
      </w:r>
      <w:r>
        <w:rPr>
          <w:rFonts w:asciiTheme="minorEastAsia" w:hAnsiTheme="minorEastAsia" w:eastAsiaTheme="minorEastAsia"/>
          <w:color w:val="auto"/>
          <w:szCs w:val="21"/>
          <w:highlight w:val="none"/>
        </w:rPr>
        <w:t>/或资料的；</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5</w:t>
      </w:r>
      <w:r>
        <w:rPr>
          <w:rFonts w:hint="eastAsia" w:asciiTheme="minorEastAsia" w:hAnsiTheme="minorEastAsia" w:eastAsiaTheme="minorEastAsia"/>
          <w:color w:val="auto"/>
          <w:szCs w:val="21"/>
          <w:highlight w:val="none"/>
        </w:rPr>
        <w:t>）比选申请文件中附有比选人不能接受的条件；</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6</w:t>
      </w:r>
      <w:r>
        <w:rPr>
          <w:rFonts w:hint="eastAsia" w:asciiTheme="minorEastAsia" w:hAnsiTheme="minorEastAsia" w:eastAsiaTheme="minorEastAsia"/>
          <w:color w:val="auto"/>
          <w:szCs w:val="21"/>
          <w:highlight w:val="none"/>
        </w:rPr>
        <w:t>）比选申请文件实质上不响应比选文件的要求的；</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rPr>
        <w:t>）比选申请人以经评审委员会评审认定为低于成本的报价竞标；</w:t>
      </w:r>
      <w:r>
        <w:rPr>
          <w:rFonts w:asciiTheme="minorEastAsia" w:hAnsiTheme="minorEastAsia" w:eastAsiaTheme="minorEastAsia"/>
          <w:color w:val="auto"/>
          <w:szCs w:val="21"/>
          <w:highlight w:val="none"/>
        </w:rPr>
        <w:t xml:space="preserve"> </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8</w:t>
      </w:r>
      <w:r>
        <w:rPr>
          <w:rFonts w:hint="eastAsia" w:asciiTheme="minorEastAsia" w:hAnsiTheme="minorEastAsia" w:eastAsiaTheme="minorEastAsia"/>
          <w:color w:val="auto"/>
          <w:szCs w:val="21"/>
          <w:highlight w:val="none"/>
        </w:rPr>
        <w:t>）比选申请人扰乱会场秩序，经劝阻仍然无理取闹的；</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9</w:t>
      </w:r>
      <w:r>
        <w:rPr>
          <w:rFonts w:hint="eastAsia" w:asciiTheme="minorEastAsia" w:hAnsiTheme="minorEastAsia" w:eastAsiaTheme="minorEastAsia"/>
          <w:color w:val="auto"/>
          <w:szCs w:val="21"/>
          <w:highlight w:val="none"/>
        </w:rPr>
        <w:t>）比选申请人未能按照评审委员会要求，对其比选申请文件进行澄清、说明和补正的；</w:t>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10</w:t>
      </w:r>
      <w:r>
        <w:rPr>
          <w:rFonts w:hint="eastAsia" w:asciiTheme="minorEastAsia" w:hAnsiTheme="minorEastAsia" w:eastAsiaTheme="minorEastAsia"/>
          <w:color w:val="auto"/>
          <w:szCs w:val="21"/>
          <w:highlight w:val="none"/>
        </w:rPr>
        <w:t>）比选申请人以他人的名义比选申请、串通比选申请、以行贿手段谋取中选或者以其他弄虚作假方式比选申请的。</w:t>
      </w:r>
    </w:p>
    <w:p>
      <w:pPr>
        <w:tabs>
          <w:tab w:val="left" w:pos="1276"/>
        </w:tabs>
        <w:spacing w:before="0" w:after="0"/>
        <w:ind w:left="420" w:right="0" w:firstLine="0"/>
        <w:jc w:val="left"/>
        <w:rPr>
          <w:rFonts w:hint="eastAsia" w:ascii="宋体" w:hAnsi="宋体" w:eastAsia="宋体" w:cs="宋体"/>
          <w:b/>
          <w:color w:val="auto"/>
          <w:highlight w:val="none"/>
        </w:rPr>
      </w:pPr>
    </w:p>
    <w:p>
      <w:pPr>
        <w:pStyle w:val="32"/>
        <w:rPr>
          <w:rFonts w:hint="eastAsia"/>
          <w:color w:val="auto"/>
          <w:highlight w:val="none"/>
        </w:rPr>
        <w:sectPr>
          <w:pgSz w:w="11905" w:h="16838"/>
          <w:pgMar w:top="1417" w:right="1417" w:bottom="1304" w:left="1417" w:header="454" w:footer="567" w:gutter="0"/>
          <w:pgNumType w:fmt="decimal"/>
          <w:cols w:space="0" w:num="1"/>
          <w:rtlGutter w:val="0"/>
          <w:docGrid w:linePitch="312" w:charSpace="0"/>
        </w:sectPr>
      </w:pPr>
    </w:p>
    <w:p>
      <w:pPr>
        <w:pStyle w:val="41"/>
        <w:spacing w:before="156" w:beforeLines="50" w:line="360" w:lineRule="auto"/>
        <w:ind w:left="-420" w:leftChars="-200" w:firstLine="0" w:firstLineChars="0"/>
        <w:outlineLvl w:val="1"/>
        <w:rPr>
          <w:rFonts w:hint="eastAsia" w:ascii="宋体" w:hAnsi="宋体" w:eastAsia="宋体"/>
          <w:b/>
          <w:color w:val="auto"/>
          <w:sz w:val="28"/>
          <w:szCs w:val="28"/>
          <w:highlight w:val="none"/>
        </w:rPr>
      </w:pPr>
      <w:bookmarkStart w:id="1856" w:name="_Toc21548"/>
      <w:bookmarkStart w:id="1857" w:name="_Toc18395"/>
      <w:bookmarkStart w:id="1858" w:name="_Toc29820"/>
      <w:bookmarkStart w:id="1859" w:name="_Toc29952"/>
      <w:bookmarkStart w:id="1860" w:name="_Toc1608"/>
      <w:bookmarkStart w:id="1861" w:name="_Toc3448"/>
      <w:r>
        <w:rPr>
          <w:rFonts w:hint="eastAsia" w:ascii="宋体" w:hAnsi="宋体" w:eastAsia="宋体"/>
          <w:b/>
          <w:color w:val="auto"/>
          <w:sz w:val="28"/>
          <w:szCs w:val="28"/>
          <w:highlight w:val="none"/>
        </w:rPr>
        <w:t>附表一 资格审查表</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56"/>
      <w:bookmarkEnd w:id="1857"/>
      <w:bookmarkEnd w:id="1858"/>
      <w:bookmarkEnd w:id="1859"/>
      <w:bookmarkEnd w:id="1860"/>
      <w:bookmarkEnd w:id="1861"/>
    </w:p>
    <w:p>
      <w:pPr>
        <w:snapToGrid w:val="0"/>
        <w:spacing w:before="0" w:line="360" w:lineRule="exact"/>
        <w:ind w:left="420" w:right="240" w:firstLine="0"/>
        <w:jc w:val="center"/>
        <w:rPr>
          <w:rFonts w:hint="eastAsia" w:ascii="宋体" w:hAnsi="宋体"/>
          <w:b/>
          <w:color w:val="auto"/>
          <w:sz w:val="24"/>
          <w:szCs w:val="24"/>
          <w:highlight w:val="none"/>
        </w:rPr>
      </w:pPr>
      <w:bookmarkStart w:id="1862" w:name="_Toc8551"/>
      <w:r>
        <w:rPr>
          <w:rFonts w:hint="eastAsia" w:ascii="宋体" w:hAnsi="宋体"/>
          <w:b/>
          <w:color w:val="auto"/>
          <w:sz w:val="24"/>
          <w:szCs w:val="24"/>
          <w:highlight w:val="none"/>
        </w:rPr>
        <w:t>资格审查表</w:t>
      </w:r>
      <w:bookmarkEnd w:id="1862"/>
    </w:p>
    <w:tbl>
      <w:tblPr>
        <w:tblStyle w:val="33"/>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076"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项目内容</w:t>
            </w:r>
          </w:p>
        </w:tc>
        <w:tc>
          <w:tcPr>
            <w:tcW w:w="2873"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合格条件标准</w:t>
            </w:r>
          </w:p>
        </w:tc>
        <w:tc>
          <w:tcPr>
            <w:tcW w:w="1379"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评审依据</w:t>
            </w:r>
          </w:p>
        </w:tc>
        <w:tc>
          <w:tcPr>
            <w:tcW w:w="1094"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评审结果（合格/不合格）</w:t>
            </w:r>
          </w:p>
        </w:tc>
        <w:tc>
          <w:tcPr>
            <w:tcW w:w="2401"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076"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身份证明材料</w:t>
            </w:r>
          </w:p>
        </w:tc>
        <w:tc>
          <w:tcPr>
            <w:tcW w:w="287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法定代表人授权书，法定代表人资格证明书和身份证复印件</w:t>
            </w: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437" w:type="dxa"/>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076"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比选申请人资格</w:t>
            </w:r>
          </w:p>
        </w:tc>
        <w:tc>
          <w:tcPr>
            <w:tcW w:w="2873" w:type="dxa"/>
            <w:vAlign w:val="center"/>
          </w:tcPr>
          <w:p>
            <w:pPr>
              <w:pStyle w:val="32"/>
              <w:keepNext w:val="0"/>
              <w:keepLines w:val="0"/>
              <w:widowControl/>
              <w:suppressLineNumbers w:val="0"/>
              <w:spacing w:beforeAutospacing="0"/>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比选申请人为中华人民共和国境内依法设立的法人或其他组织（若以分公司名义参与比选申请，必须出具总公司授权参与的证明）。</w:t>
            </w:r>
          </w:p>
        </w:tc>
        <w:tc>
          <w:tcPr>
            <w:tcW w:w="1379" w:type="dxa"/>
            <w:vAlign w:val="center"/>
          </w:tcPr>
          <w:p>
            <w:pPr>
              <w:keepNext w:val="0"/>
              <w:keepLines w:val="0"/>
              <w:widowControl/>
              <w:suppressLineNumbers w:val="0"/>
              <w:spacing w:before="0" w:beforeAutospacing="0" w:after="0" w:afterAutospacing="0" w:line="240" w:lineRule="auto"/>
              <w:ind w:left="0" w:right="0" w:firstLine="0"/>
              <w:rPr>
                <w:rFonts w:hint="default" w:ascii="宋体" w:hAnsi="宋体" w:eastAsia="宋体" w:cs="宋体"/>
                <w:color w:val="auto"/>
                <w:highlight w:val="none"/>
              </w:rPr>
            </w:pPr>
            <w:r>
              <w:rPr>
                <w:rFonts w:hint="eastAsia" w:ascii="宋体" w:hAnsi="宋体" w:eastAsia="宋体" w:cs="宋体"/>
                <w:color w:val="auto"/>
                <w:highlight w:val="none"/>
              </w:rPr>
              <w:t>营业执照副本或事业单位法人证书等证明文件。</w:t>
            </w: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宋体" w:hAnsi="宋体" w:eastAsia="宋体" w:cs="宋体"/>
                <w:color w:val="auto"/>
                <w:highlight w:val="none"/>
              </w:rPr>
            </w:pPr>
            <w:r>
              <w:rPr>
                <w:rFonts w:hint="eastAsia" w:ascii="宋体" w:hAnsi="宋体" w:eastAsia="宋体" w:cs="宋体"/>
                <w:color w:val="auto"/>
                <w:highlight w:val="none"/>
              </w:rPr>
              <w:t>比选申请人有效的营业执照或事业单位法人证书复印件等证明文件，并加盖公章。</w:t>
            </w:r>
          </w:p>
          <w:p>
            <w:pPr>
              <w:pStyle w:val="32"/>
              <w:keepNext w:val="0"/>
              <w:keepLines w:val="0"/>
              <w:widowControl/>
              <w:suppressLineNumbers w:val="0"/>
              <w:spacing w:beforeAutospacing="0"/>
              <w:rPr>
                <w:rFonts w:hint="default"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p>
        </w:tc>
        <w:tc>
          <w:tcPr>
            <w:tcW w:w="1076"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承诺书</w:t>
            </w:r>
          </w:p>
        </w:tc>
        <w:tc>
          <w:tcPr>
            <w:tcW w:w="2873"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sz w:val="21"/>
                <w:szCs w:val="21"/>
                <w:highlight w:val="none"/>
              </w:rPr>
              <w:t>比选申请人没有处于被广西行政主管部门或业主取消比选申请资格的处罚期内，且没有处于被责令停业，财产被接管、破产状态；比选申请截止时间前3年内没有骗取中选、严重违约或重大质量安全责任事故的情况。</w:t>
            </w:r>
          </w:p>
        </w:tc>
        <w:tc>
          <w:tcPr>
            <w:tcW w:w="1379"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承诺书原件</w:t>
            </w: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按规定格式提供承诺书</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6" w:hRule="atLeast"/>
          <w:jc w:val="center"/>
        </w:trPr>
        <w:tc>
          <w:tcPr>
            <w:tcW w:w="437"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eastAsia="宋体" w:cs="宋体"/>
                <w:color w:val="auto"/>
                <w:sz w:val="21"/>
                <w:szCs w:val="21"/>
                <w:highlight w:val="none"/>
                <w:lang w:val="en-US" w:eastAsia="zh-CN" w:bidi="ar-SA"/>
              </w:rPr>
            </w:pPr>
            <w:r>
              <w:rPr>
                <w:rFonts w:hint="eastAsia" w:ascii="宋体" w:hAnsi="宋体" w:cs="宋体"/>
                <w:color w:val="auto"/>
                <w:highlight w:val="none"/>
                <w:lang w:val="en-US" w:eastAsia="zh-CN"/>
              </w:rPr>
              <w:t>4</w:t>
            </w:r>
          </w:p>
        </w:tc>
        <w:tc>
          <w:tcPr>
            <w:tcW w:w="1076"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highlight w:val="none"/>
              </w:rPr>
              <w:t>联合体</w:t>
            </w:r>
          </w:p>
        </w:tc>
        <w:tc>
          <w:tcPr>
            <w:tcW w:w="2873"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highlight w:val="none"/>
                <w:lang w:val="en-US" w:eastAsia="zh-CN"/>
              </w:rPr>
              <w:t>比选申请人</w:t>
            </w:r>
            <w:r>
              <w:rPr>
                <w:rFonts w:hint="eastAsia" w:ascii="宋体" w:hAnsi="宋体" w:eastAsia="宋体" w:cs="宋体"/>
                <w:color w:val="auto"/>
                <w:highlight w:val="none"/>
              </w:rPr>
              <w:t>非联合体</w:t>
            </w:r>
            <w:r>
              <w:rPr>
                <w:rFonts w:hint="eastAsia" w:ascii="宋体" w:hAnsi="宋体" w:eastAsia="宋体" w:cs="宋体"/>
                <w:color w:val="auto"/>
                <w:highlight w:val="none"/>
                <w:lang w:val="en-US" w:eastAsia="zh-CN"/>
              </w:rPr>
              <w:t>比选申请</w:t>
            </w:r>
          </w:p>
        </w:tc>
        <w:tc>
          <w:tcPr>
            <w:tcW w:w="1379"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本项目不接受联合体比选申请</w:t>
            </w: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20" w:hRule="atLeast"/>
          <w:jc w:val="center"/>
        </w:trPr>
        <w:tc>
          <w:tcPr>
            <w:tcW w:w="437"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cs="宋体"/>
                <w:color w:val="auto"/>
                <w:highlight w:val="none"/>
                <w:lang w:val="en-US" w:eastAsia="zh-CN"/>
              </w:rPr>
            </w:pPr>
            <w:r>
              <w:rPr>
                <w:rFonts w:hint="eastAsia" w:ascii="宋体" w:hAnsi="宋体" w:cs="宋体"/>
                <w:color w:val="auto"/>
                <w:highlight w:val="none"/>
                <w:lang w:val="en-US" w:eastAsia="zh-CN"/>
              </w:rPr>
              <w:t>5</w:t>
            </w:r>
          </w:p>
        </w:tc>
        <w:tc>
          <w:tcPr>
            <w:tcW w:w="1076"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类似业绩证明</w:t>
            </w:r>
          </w:p>
        </w:tc>
        <w:tc>
          <w:tcPr>
            <w:tcW w:w="2873" w:type="dxa"/>
            <w:vAlign w:val="center"/>
          </w:tcPr>
          <w:p>
            <w:pPr>
              <w:keepNext w:val="0"/>
              <w:keepLines w:val="0"/>
              <w:widowControl/>
              <w:numPr>
                <w:ilvl w:val="0"/>
                <w:numId w:val="0"/>
              </w:numPr>
              <w:suppressLineNumbers w:val="0"/>
              <w:spacing w:before="0" w:beforeAutospacing="0" w:after="0" w:afterAutospacing="0" w:line="300" w:lineRule="exact"/>
              <w:ind w:left="0" w:leftChars="0" w:right="0" w:righ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eastAsia="zh-CN"/>
              </w:rPr>
              <w:t>比选申请人</w:t>
            </w:r>
            <w:r>
              <w:rPr>
                <w:rFonts w:hint="eastAsia" w:ascii="宋体" w:hAnsi="宋体" w:eastAsia="宋体" w:cs="宋体"/>
                <w:color w:val="auto"/>
                <w:sz w:val="21"/>
                <w:szCs w:val="21"/>
                <w:highlight w:val="none"/>
              </w:rPr>
              <w:t>自201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w:t>
            </w:r>
            <w:r>
              <w:rPr>
                <w:rFonts w:hint="eastAsia" w:ascii="宋体" w:hAnsi="宋体" w:cs="宋体"/>
                <w:color w:val="auto"/>
                <w:sz w:val="21"/>
                <w:szCs w:val="21"/>
                <w:highlight w:val="none"/>
                <w:lang w:val="en-US" w:eastAsia="zh-CN"/>
              </w:rPr>
              <w:t>以来至少实施过一项</w:t>
            </w:r>
            <w:r>
              <w:rPr>
                <w:rFonts w:hint="eastAsia" w:ascii="宋体" w:hAnsi="宋体" w:eastAsia="宋体" w:cs="宋体"/>
                <w:color w:val="auto"/>
                <w:sz w:val="21"/>
                <w:szCs w:val="21"/>
                <w:highlight w:val="none"/>
              </w:rPr>
              <w:t>档案整理及数字化服务项目</w:t>
            </w:r>
            <w:r>
              <w:rPr>
                <w:rFonts w:hint="eastAsia" w:ascii="宋体" w:hAnsi="宋体" w:cs="宋体"/>
                <w:color w:val="auto"/>
                <w:sz w:val="21"/>
                <w:szCs w:val="21"/>
                <w:highlight w:val="none"/>
                <w:lang w:eastAsia="zh-CN"/>
              </w:rPr>
              <w:t>。</w:t>
            </w:r>
          </w:p>
        </w:tc>
        <w:tc>
          <w:tcPr>
            <w:tcW w:w="1379"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eastAsia" w:ascii="宋体" w:hAnsi="宋体" w:eastAsia="宋体" w:cs="宋体"/>
                <w:color w:val="auto"/>
                <w:sz w:val="21"/>
                <w:szCs w:val="21"/>
                <w:highlight w:val="none"/>
                <w:lang w:val="en-US" w:eastAsia="zh-CN" w:bidi="ar-SA"/>
              </w:rPr>
            </w:pP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sz w:val="21"/>
                <w:szCs w:val="21"/>
                <w:highlight w:val="none"/>
              </w:rPr>
              <w:t>（提供合同复印件，不包括挂靠、分立等</w:t>
            </w:r>
            <w:r>
              <w:rPr>
                <w:rFonts w:hint="eastAsia" w:ascii="宋体" w:hAnsi="宋体" w:cs="宋体"/>
                <w:color w:val="auto"/>
                <w:sz w:val="21"/>
                <w:szCs w:val="21"/>
                <w:highlight w:val="none"/>
                <w:lang w:eastAsia="zh-CN"/>
              </w:rPr>
              <w:t>比选申请</w:t>
            </w:r>
            <w:r>
              <w:rPr>
                <w:rFonts w:hint="eastAsia" w:ascii="宋体" w:hAnsi="宋体" w:eastAsia="宋体" w:cs="宋体"/>
                <w:color w:val="auto"/>
                <w:sz w:val="21"/>
                <w:szCs w:val="21"/>
                <w:highlight w:val="none"/>
              </w:rPr>
              <w:t>方承担的项目）</w:t>
            </w:r>
          </w:p>
        </w:tc>
      </w:tr>
    </w:tbl>
    <w:p>
      <w:pPr>
        <w:snapToGrid w:val="0"/>
        <w:spacing w:before="0" w:after="0" w:afterAutospacing="0" w:line="240" w:lineRule="auto"/>
        <w:ind w:left="0" w:right="0" w:firstLine="0"/>
        <w:rPr>
          <w:rFonts w:hint="eastAsia" w:ascii="宋体" w:hAnsi="宋体" w:eastAsia="宋体" w:cs="宋体"/>
          <w:b/>
          <w:color w:val="auto"/>
          <w:highlight w:val="none"/>
        </w:rPr>
      </w:pPr>
    </w:p>
    <w:p>
      <w:pPr>
        <w:snapToGrid w:val="0"/>
        <w:spacing w:before="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注：</w:t>
      </w:r>
    </w:p>
    <w:p>
      <w:pPr>
        <w:snapToGrid w:val="0"/>
        <w:spacing w:before="0" w:after="0" w:afterAutospacing="0" w:line="240" w:lineRule="auto"/>
        <w:ind w:left="0" w:right="0" w:firstLine="0"/>
        <w:rPr>
          <w:rFonts w:hint="default" w:ascii="宋体" w:hAnsi="宋体" w:eastAsia="宋体" w:cs="宋体"/>
          <w:b/>
          <w:color w:val="auto"/>
          <w:highlight w:val="none"/>
          <w:lang w:val="en-US" w:eastAsia="zh-CN"/>
        </w:rPr>
      </w:pPr>
      <w:r>
        <w:rPr>
          <w:rFonts w:hint="eastAsia" w:ascii="宋体" w:hAnsi="宋体" w:eastAsia="宋体" w:cs="宋体"/>
          <w:b/>
          <w:color w:val="auto"/>
          <w:highlight w:val="none"/>
        </w:rPr>
        <w:t>1.以上所有证明资料原件备查。</w:t>
      </w:r>
      <w:r>
        <w:rPr>
          <w:rFonts w:hint="eastAsia" w:ascii="宋体" w:hAnsi="宋体" w:cs="宋体"/>
          <w:b/>
          <w:color w:val="auto"/>
          <w:highlight w:val="none"/>
          <w:lang w:val="en-US" w:eastAsia="zh-CN"/>
        </w:rPr>
        <w:t>复印件应加盖比选申请人公章。</w:t>
      </w:r>
    </w:p>
    <w:p>
      <w:pPr>
        <w:snapToGrid w:val="0"/>
        <w:spacing w:before="0" w:after="0" w:afterAutospacing="0" w:line="240" w:lineRule="auto"/>
        <w:ind w:left="0" w:right="0" w:firstLine="0"/>
        <w:rPr>
          <w:rFonts w:hint="default" w:ascii="宋体" w:hAnsi="宋体" w:eastAsia="宋体" w:cs="宋体"/>
          <w:b/>
          <w:color w:val="auto"/>
          <w:highlight w:val="none"/>
          <w:lang w:val="en-US" w:eastAsia="zh-CN"/>
        </w:rPr>
      </w:pPr>
      <w:r>
        <w:rPr>
          <w:rFonts w:hint="eastAsia" w:ascii="宋体" w:hAnsi="宋体" w:cs="宋体"/>
          <w:b/>
          <w:color w:val="auto"/>
          <w:highlight w:val="none"/>
          <w:lang w:val="en-US" w:eastAsia="zh-CN"/>
        </w:rPr>
        <w:t>2.评审结果填写：通过打√，不通过打×。</w:t>
      </w:r>
    </w:p>
    <w:p>
      <w:pPr>
        <w:snapToGrid w:val="0"/>
        <w:spacing w:before="0" w:after="0" w:afterAutospacing="0" w:line="240" w:lineRule="auto"/>
        <w:ind w:left="0" w:right="0" w:firstLine="0"/>
        <w:rPr>
          <w:rFonts w:hint="eastAsia" w:ascii="宋体" w:hAnsi="宋体" w:eastAsia="宋体" w:cs="宋体"/>
          <w:b/>
          <w:color w:val="auto"/>
          <w:highlight w:val="none"/>
        </w:rPr>
      </w:pPr>
      <w:r>
        <w:rPr>
          <w:rFonts w:hint="eastAsia" w:ascii="宋体" w:hAnsi="宋体" w:cs="宋体"/>
          <w:b/>
          <w:color w:val="auto"/>
          <w:highlight w:val="none"/>
          <w:lang w:val="en-US" w:eastAsia="zh-CN"/>
        </w:rPr>
        <w:t>3</w:t>
      </w:r>
      <w:r>
        <w:rPr>
          <w:rFonts w:hint="eastAsia" w:ascii="宋体" w:hAnsi="宋体" w:eastAsia="宋体" w:cs="宋体"/>
          <w:b/>
          <w:color w:val="auto"/>
          <w:highlight w:val="none"/>
        </w:rPr>
        <w:t>.比选申请人如未通过上述资格审查，则作比选申请被否决处理并不得进入下一阶段评审。</w:t>
      </w:r>
    </w:p>
    <w:p>
      <w:pPr>
        <w:spacing w:before="0" w:after="0"/>
        <w:ind w:left="420" w:right="0" w:firstLine="0"/>
        <w:jc w:val="left"/>
        <w:rPr>
          <w:rFonts w:ascii="宋体" w:hAnsi="宋体"/>
          <w:color w:val="auto"/>
          <w:highlight w:val="none"/>
        </w:rPr>
      </w:pPr>
      <w:r>
        <w:rPr>
          <w:rFonts w:hint="eastAsia" w:ascii="宋体" w:hAnsi="宋体" w:eastAsia="宋体" w:cs="宋体"/>
          <w:color w:val="auto"/>
          <w:sz w:val="21"/>
          <w:szCs w:val="21"/>
          <w:highlight w:val="none"/>
        </w:rPr>
        <w:br w:type="page"/>
      </w:r>
    </w:p>
    <w:p>
      <w:pPr>
        <w:pStyle w:val="41"/>
        <w:spacing w:before="156" w:beforeLines="50" w:line="360" w:lineRule="auto"/>
        <w:ind w:left="-420" w:leftChars="-200" w:firstLine="0" w:firstLineChars="0"/>
        <w:outlineLvl w:val="1"/>
        <w:rPr>
          <w:rFonts w:ascii="宋体" w:hAnsi="宋体"/>
          <w:b/>
          <w:color w:val="auto"/>
          <w:sz w:val="28"/>
          <w:szCs w:val="28"/>
          <w:highlight w:val="none"/>
        </w:rPr>
      </w:pPr>
      <w:bookmarkStart w:id="1863" w:name="_Toc291"/>
      <w:bookmarkStart w:id="1864" w:name="_Toc28076"/>
      <w:bookmarkStart w:id="1865" w:name="_Toc25934"/>
      <w:bookmarkStart w:id="1866" w:name="_Toc4390"/>
      <w:bookmarkStart w:id="1867" w:name="_Toc14412"/>
      <w:bookmarkStart w:id="1868" w:name="_Toc159931596"/>
      <w:bookmarkStart w:id="1869" w:name="_Toc9055"/>
      <w:r>
        <w:rPr>
          <w:rFonts w:hint="eastAsia" w:ascii="宋体" w:hAnsi="宋体"/>
          <w:b/>
          <w:color w:val="auto"/>
          <w:sz w:val="28"/>
          <w:szCs w:val="28"/>
          <w:highlight w:val="none"/>
        </w:rPr>
        <w:t>附表二 符合性审查表</w:t>
      </w:r>
      <w:bookmarkEnd w:id="1863"/>
      <w:bookmarkEnd w:id="1864"/>
      <w:bookmarkEnd w:id="1865"/>
      <w:bookmarkEnd w:id="1866"/>
      <w:bookmarkEnd w:id="1867"/>
      <w:bookmarkEnd w:id="1868"/>
      <w:bookmarkEnd w:id="1869"/>
    </w:p>
    <w:p>
      <w:pPr>
        <w:spacing w:before="312" w:beforeLines="100" w:after="312" w:afterLines="100" w:line="360" w:lineRule="auto"/>
        <w:jc w:val="center"/>
        <w:rPr>
          <w:rFonts w:ascii="宋体" w:hAnsi="宋体"/>
          <w:color w:val="auto"/>
          <w:sz w:val="24"/>
          <w:highlight w:val="none"/>
        </w:rPr>
      </w:pPr>
      <w:bookmarkStart w:id="1870" w:name="_Toc20108_WPSOffice_Level2"/>
      <w:bookmarkStart w:id="1871" w:name="_Toc25989_WPSOffice_Level2"/>
      <w:r>
        <w:rPr>
          <w:rFonts w:hint="eastAsia" w:ascii="宋体" w:hAnsi="宋体"/>
          <w:b/>
          <w:color w:val="auto"/>
          <w:sz w:val="24"/>
          <w:highlight w:val="none"/>
        </w:rPr>
        <w:t>符合性审查表</w:t>
      </w:r>
      <w:bookmarkEnd w:id="1870"/>
      <w:bookmarkEnd w:id="1871"/>
    </w:p>
    <w:tbl>
      <w:tblPr>
        <w:tblStyle w:val="33"/>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default"/>
                <w:color w:val="auto"/>
                <w:highlight w:val="none"/>
              </w:rPr>
              <w:t>序号</w:t>
            </w:r>
          </w:p>
        </w:tc>
        <w:tc>
          <w:tcPr>
            <w:tcW w:w="6096"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评审项目</w:t>
            </w:r>
          </w:p>
        </w:tc>
        <w:tc>
          <w:tcPr>
            <w:tcW w:w="1134" w:type="dxa"/>
            <w:tcBorders>
              <w:top w:val="single" w:color="auto" w:sz="12"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评审结果</w:t>
            </w:r>
          </w:p>
        </w:tc>
        <w:tc>
          <w:tcPr>
            <w:tcW w:w="1098"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highlight w:val="none"/>
              </w:rPr>
            </w:pPr>
            <w:r>
              <w:rPr>
                <w:rFonts w:hint="default"/>
                <w:color w:val="auto"/>
                <w:highlight w:val="none"/>
              </w:rPr>
              <w:t>1</w:t>
            </w:r>
          </w:p>
        </w:tc>
        <w:tc>
          <w:tcPr>
            <w:tcW w:w="60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比选申请文件按要求在规定的位置签字（或盖章）并加盖比选申请人单位公章的</w:t>
            </w: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c>
          <w:tcPr>
            <w:tcW w:w="109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highlight w:val="none"/>
              </w:rPr>
            </w:pPr>
            <w:r>
              <w:rPr>
                <w:rFonts w:hint="default"/>
                <w:color w:val="auto"/>
                <w:highlight w:val="none"/>
              </w:rPr>
              <w:t>2</w:t>
            </w:r>
          </w:p>
        </w:tc>
        <w:tc>
          <w:tcPr>
            <w:tcW w:w="60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比选申请文件的实质性内容按规定填写、内容齐全的；（按比选文件第四章节规定格式填写的）</w:t>
            </w: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highlight w:val="none"/>
              </w:rPr>
            </w:pPr>
            <w:r>
              <w:rPr>
                <w:rFonts w:hint="eastAsia"/>
                <w:color w:val="auto"/>
                <w:highlight w:val="none"/>
              </w:rPr>
              <w:t>3</w:t>
            </w:r>
          </w:p>
        </w:tc>
        <w:tc>
          <w:tcPr>
            <w:tcW w:w="60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比选申请人在资格审查文件或资信、技术文件中未透露有关报价的信息</w:t>
            </w: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highlight w:val="none"/>
              </w:rPr>
            </w:pPr>
            <w:r>
              <w:rPr>
                <w:rFonts w:hint="eastAsia"/>
                <w:color w:val="auto"/>
                <w:highlight w:val="none"/>
              </w:rPr>
              <w:t>4</w:t>
            </w:r>
          </w:p>
        </w:tc>
        <w:tc>
          <w:tcPr>
            <w:tcW w:w="60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在比选申请文件中无虚假资料的</w:t>
            </w: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highlight w:val="none"/>
              </w:rPr>
            </w:pPr>
            <w:r>
              <w:rPr>
                <w:rFonts w:hint="eastAsia"/>
                <w:color w:val="auto"/>
                <w:highlight w:val="none"/>
              </w:rPr>
              <w:t>5</w:t>
            </w:r>
          </w:p>
        </w:tc>
        <w:tc>
          <w:tcPr>
            <w:tcW w:w="60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技术部分响应无负偏离的</w:t>
            </w:r>
          </w:p>
        </w:tc>
        <w:tc>
          <w:tcPr>
            <w:tcW w:w="1134" w:type="dxa"/>
            <w:tcBorders>
              <w:bottom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highlight w:val="none"/>
              </w:rPr>
            </w:pPr>
            <w:r>
              <w:rPr>
                <w:rFonts w:hint="eastAsia"/>
                <w:color w:val="auto"/>
                <w:highlight w:val="none"/>
              </w:rPr>
              <w:t>6</w:t>
            </w:r>
          </w:p>
        </w:tc>
        <w:tc>
          <w:tcPr>
            <w:tcW w:w="60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default"/>
                <w:color w:val="auto"/>
                <w:highlight w:val="none"/>
              </w:rPr>
              <w:t>满足或</w:t>
            </w:r>
            <w:r>
              <w:rPr>
                <w:rFonts w:hint="eastAsia"/>
                <w:color w:val="auto"/>
                <w:highlight w:val="none"/>
              </w:rPr>
              <w:t>正</w:t>
            </w:r>
            <w:r>
              <w:rPr>
                <w:rFonts w:hint="default"/>
                <w:color w:val="auto"/>
                <w:highlight w:val="none"/>
              </w:rPr>
              <w:t>偏离《用户需求书》中实质性条款。</w:t>
            </w:r>
          </w:p>
        </w:tc>
        <w:tc>
          <w:tcPr>
            <w:tcW w:w="1134" w:type="dxa"/>
            <w:tcBorders>
              <w:bottom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highlight w:val="none"/>
              </w:rPr>
            </w:pPr>
            <w:r>
              <w:rPr>
                <w:rFonts w:hint="eastAsia"/>
                <w:color w:val="auto"/>
                <w:highlight w:val="none"/>
              </w:rPr>
              <w:t>7</w:t>
            </w:r>
          </w:p>
        </w:tc>
        <w:tc>
          <w:tcPr>
            <w:tcW w:w="60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商务响应表无负偏离的</w:t>
            </w:r>
          </w:p>
        </w:tc>
        <w:tc>
          <w:tcPr>
            <w:tcW w:w="1134" w:type="dxa"/>
            <w:tcBorders>
              <w:bottom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highlight w:val="none"/>
              </w:rPr>
            </w:pPr>
            <w:r>
              <w:rPr>
                <w:rFonts w:hint="eastAsia"/>
                <w:color w:val="auto"/>
                <w:highlight w:val="none"/>
              </w:rPr>
              <w:t>8</w:t>
            </w:r>
          </w:p>
        </w:tc>
        <w:tc>
          <w:tcPr>
            <w:tcW w:w="60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hAnsi="宋体"/>
                <w:color w:val="auto"/>
                <w:highlight w:val="none"/>
              </w:rPr>
              <w:t>比选申请文件按比选文件要求提供按期完成承诺书的（如需）</w:t>
            </w:r>
          </w:p>
        </w:tc>
        <w:tc>
          <w:tcPr>
            <w:tcW w:w="1134" w:type="dxa"/>
            <w:tcBorders>
              <w:top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highlight w:val="none"/>
              </w:rPr>
            </w:pPr>
            <w:r>
              <w:rPr>
                <w:rFonts w:hint="eastAsia"/>
                <w:color w:val="auto"/>
                <w:highlight w:val="none"/>
              </w:rPr>
              <w:t>9</w:t>
            </w:r>
          </w:p>
        </w:tc>
        <w:tc>
          <w:tcPr>
            <w:tcW w:w="60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r>
              <w:rPr>
                <w:rFonts w:hint="eastAsia"/>
                <w:color w:val="auto"/>
                <w:highlight w:val="none"/>
              </w:rPr>
              <w:t>无比选文件、法律法规规定的其他否决比选申请条件</w:t>
            </w: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color w:val="auto"/>
                <w:highlight w:val="none"/>
              </w:rPr>
            </w:pPr>
          </w:p>
        </w:tc>
      </w:tr>
    </w:tbl>
    <w:p>
      <w:pPr>
        <w:jc w:val="left"/>
        <w:rPr>
          <w:rFonts w:hAnsi="宋体"/>
          <w:color w:val="auto"/>
          <w:highlight w:val="none"/>
        </w:rPr>
        <w:sectPr>
          <w:headerReference r:id="rId17" w:type="default"/>
          <w:footerReference r:id="rId18" w:type="default"/>
          <w:pgSz w:w="11905" w:h="16838"/>
          <w:pgMar w:top="1417" w:right="1417" w:bottom="1417" w:left="1417" w:header="454" w:footer="567" w:gutter="0"/>
          <w:pgNumType w:fmt="decimal"/>
          <w:cols w:space="720" w:num="1"/>
          <w:docGrid w:linePitch="319" w:charSpace="0"/>
        </w:sect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pStyle w:val="41"/>
        <w:keepNext w:val="0"/>
        <w:keepLines w:val="0"/>
        <w:pageBreakBefore w:val="0"/>
        <w:widowControl/>
        <w:kinsoku/>
        <w:wordWrap/>
        <w:overflowPunct/>
        <w:topLinePunct w:val="0"/>
        <w:autoSpaceDE/>
        <w:autoSpaceDN/>
        <w:bidi w:val="0"/>
        <w:adjustRightInd/>
        <w:snapToGrid/>
        <w:spacing w:before="0" w:after="0" w:afterAutospacing="0"/>
        <w:ind w:left="0" w:leftChars="0" w:right="0" w:firstLine="0" w:firstLineChars="0"/>
        <w:textAlignment w:val="auto"/>
        <w:outlineLvl w:val="1"/>
        <w:rPr>
          <w:rFonts w:ascii="宋体" w:hAnsi="宋体"/>
          <w:b/>
          <w:color w:val="auto"/>
          <w:sz w:val="28"/>
          <w:szCs w:val="28"/>
          <w:highlight w:val="none"/>
        </w:rPr>
      </w:pPr>
      <w:r>
        <w:rPr>
          <w:rFonts w:hint="eastAsia" w:ascii="宋体" w:hAnsi="宋体"/>
          <w:b/>
          <w:color w:val="auto"/>
          <w:sz w:val="28"/>
          <w:szCs w:val="28"/>
          <w:highlight w:val="none"/>
          <w:lang w:val="en-US" w:eastAsia="zh-CN"/>
        </w:rPr>
        <w:t xml:space="preserve">附件三 </w:t>
      </w:r>
      <w:r>
        <w:rPr>
          <w:rFonts w:hint="eastAsia" w:ascii="宋体" w:hAnsi="宋体"/>
          <w:b/>
          <w:color w:val="auto"/>
          <w:sz w:val="28"/>
          <w:szCs w:val="28"/>
          <w:highlight w:val="none"/>
        </w:rPr>
        <w:t>资信文件评分表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jc w:val="center"/>
        <w:textAlignment w:val="auto"/>
        <w:rPr>
          <w:rFonts w:ascii="宋体" w:hAnsi="宋体"/>
          <w:b/>
          <w:color w:val="auto"/>
          <w:highlight w:val="none"/>
        </w:rPr>
      </w:pPr>
      <w:bookmarkStart w:id="1872" w:name="_Toc18867_WPSOffice_Level2"/>
      <w:bookmarkStart w:id="1873" w:name="_Toc16878_WPSOffice_Level2"/>
      <w:r>
        <w:rPr>
          <w:rFonts w:hint="eastAsia" w:ascii="宋体" w:hAnsi="宋体"/>
          <w:b/>
          <w:color w:val="auto"/>
          <w:sz w:val="24"/>
          <w:highlight w:val="none"/>
        </w:rPr>
        <w:t>资信文件</w:t>
      </w:r>
      <w:r>
        <w:rPr>
          <w:rFonts w:ascii="宋体" w:hAnsi="宋体"/>
          <w:b/>
          <w:color w:val="auto"/>
          <w:sz w:val="24"/>
          <w:highlight w:val="none"/>
        </w:rPr>
        <w:t>评分表</w:t>
      </w:r>
      <w:bookmarkEnd w:id="1872"/>
      <w:bookmarkEnd w:id="1873"/>
    </w:p>
    <w:tbl>
      <w:tblPr>
        <w:tblStyle w:val="33"/>
        <w:tblpPr w:leftFromText="180" w:rightFromText="180" w:vertAnchor="text" w:horzAnchor="page" w:tblpX="1726" w:tblpY="48"/>
        <w:tblOverlap w:val="never"/>
        <w:tblW w:w="13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872"/>
        <w:gridCol w:w="8730"/>
        <w:gridCol w:w="1271"/>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序号</w:t>
            </w:r>
          </w:p>
        </w:tc>
        <w:tc>
          <w:tcPr>
            <w:tcW w:w="18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szCs w:val="21"/>
                <w:highlight w:val="none"/>
              </w:rPr>
              <w:t>评审项目和内容</w:t>
            </w:r>
          </w:p>
        </w:tc>
        <w:tc>
          <w:tcPr>
            <w:tcW w:w="87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评分标准</w:t>
            </w:r>
          </w:p>
        </w:tc>
        <w:tc>
          <w:tcPr>
            <w:tcW w:w="127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分值</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12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rPr>
            </w:pPr>
            <w:r>
              <w:rPr>
                <w:rFonts w:hint="default" w:cs="宋体" w:asciiTheme="minorEastAsia" w:hAnsiTheme="minorEastAsia" w:eastAsiaTheme="minorEastAsia"/>
                <w:color w:val="auto"/>
                <w:kern w:val="0"/>
                <w:szCs w:val="21"/>
                <w:highlight w:val="none"/>
              </w:rPr>
              <w:t>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rPr>
            </w:pPr>
          </w:p>
        </w:tc>
        <w:tc>
          <w:tcPr>
            <w:tcW w:w="18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类似项目业绩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p>
        </w:tc>
        <w:tc>
          <w:tcPr>
            <w:tcW w:w="873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1.比选申请人</w:t>
            </w:r>
            <w:r>
              <w:rPr>
                <w:rFonts w:hint="eastAsia" w:ascii="宋体" w:hAnsi="宋体" w:eastAsia="宋体" w:cs="宋体"/>
                <w:color w:val="auto"/>
                <w:sz w:val="21"/>
                <w:szCs w:val="21"/>
                <w:highlight w:val="none"/>
              </w:rPr>
              <w:t>自201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w:t>
            </w:r>
            <w:r>
              <w:rPr>
                <w:rFonts w:hint="eastAsia" w:ascii="宋体" w:hAnsi="宋体" w:cs="宋体"/>
                <w:color w:val="auto"/>
                <w:sz w:val="21"/>
                <w:szCs w:val="21"/>
                <w:highlight w:val="none"/>
                <w:lang w:val="en-US" w:eastAsia="zh-CN"/>
              </w:rPr>
              <w:t>以来实施过</w:t>
            </w:r>
            <w:r>
              <w:rPr>
                <w:rFonts w:hint="eastAsia" w:ascii="宋体" w:hAnsi="宋体" w:eastAsia="宋体" w:cs="宋体"/>
                <w:color w:val="auto"/>
                <w:sz w:val="21"/>
                <w:szCs w:val="21"/>
                <w:highlight w:val="none"/>
              </w:rPr>
              <w:t>档案整理及数字化服务项目</w:t>
            </w:r>
            <w:r>
              <w:rPr>
                <w:rFonts w:hint="eastAsia" w:ascii="宋体" w:hAnsi="宋体" w:eastAsia="宋体" w:cs="宋体"/>
                <w:color w:val="auto"/>
                <w:sz w:val="21"/>
                <w:szCs w:val="21"/>
                <w:highlight w:val="none"/>
                <w:lang w:val="en-US" w:eastAsia="zh-CN"/>
              </w:rPr>
              <w:t>，每个得2分，满分</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（提供合同复印件，不包括挂靠、分立等</w:t>
            </w:r>
            <w:r>
              <w:rPr>
                <w:rFonts w:hint="eastAsia" w:ascii="宋体" w:hAnsi="宋体" w:cs="宋体"/>
                <w:color w:val="auto"/>
                <w:sz w:val="21"/>
                <w:szCs w:val="21"/>
                <w:highlight w:val="none"/>
                <w:lang w:eastAsia="zh-CN"/>
              </w:rPr>
              <w:t>比选申请</w:t>
            </w:r>
            <w:r>
              <w:rPr>
                <w:rFonts w:hint="eastAsia" w:ascii="宋体" w:hAnsi="宋体" w:eastAsia="宋体" w:cs="宋体"/>
                <w:color w:val="auto"/>
                <w:sz w:val="21"/>
                <w:szCs w:val="21"/>
                <w:highlight w:val="none"/>
              </w:rPr>
              <w:t>方承担的项目）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2.比选申请人自201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年1月1日</w:t>
            </w:r>
            <w:r>
              <w:rPr>
                <w:rFonts w:hint="eastAsia" w:ascii="宋体" w:hAnsi="宋体" w:cs="宋体"/>
                <w:color w:val="auto"/>
                <w:sz w:val="21"/>
                <w:szCs w:val="21"/>
                <w:highlight w:val="none"/>
                <w:lang w:val="en-US" w:eastAsia="zh-CN"/>
              </w:rPr>
              <w:t>以来</w:t>
            </w:r>
            <w:r>
              <w:rPr>
                <w:rFonts w:hint="eastAsia" w:ascii="宋体" w:hAnsi="宋体" w:eastAsia="宋体" w:cs="宋体"/>
                <w:color w:val="auto"/>
                <w:sz w:val="21"/>
                <w:szCs w:val="21"/>
                <w:highlight w:val="none"/>
                <w:lang w:val="en-US" w:eastAsia="zh-CN"/>
              </w:rPr>
              <w:t>实施</w:t>
            </w:r>
            <w:r>
              <w:rPr>
                <w:rFonts w:hint="eastAsia" w:ascii="宋体" w:hAnsi="宋体" w:cs="宋体"/>
                <w:color w:val="auto"/>
                <w:sz w:val="21"/>
                <w:szCs w:val="21"/>
                <w:highlight w:val="none"/>
                <w:lang w:val="en-US" w:eastAsia="zh-CN"/>
              </w:rPr>
              <w:t>过</w:t>
            </w:r>
            <w:r>
              <w:rPr>
                <w:rFonts w:hint="eastAsia" w:ascii="宋体" w:hAnsi="宋体" w:eastAsia="宋体" w:cs="宋体"/>
                <w:color w:val="auto"/>
                <w:sz w:val="21"/>
                <w:szCs w:val="21"/>
                <w:highlight w:val="none"/>
                <w:lang w:val="en-US" w:eastAsia="zh-CN"/>
              </w:rPr>
              <w:t>档案整理与数字化</w:t>
            </w:r>
            <w:r>
              <w:rPr>
                <w:rFonts w:hint="eastAsia" w:ascii="宋体" w:hAnsi="宋体" w:cs="宋体"/>
                <w:color w:val="auto"/>
                <w:sz w:val="21"/>
                <w:szCs w:val="21"/>
                <w:highlight w:val="none"/>
                <w:lang w:val="en-US" w:eastAsia="zh-CN"/>
              </w:rPr>
              <w:t>加工服务</w:t>
            </w:r>
            <w:r>
              <w:rPr>
                <w:rFonts w:hint="eastAsia" w:ascii="宋体" w:hAnsi="宋体" w:eastAsia="宋体" w:cs="宋体"/>
                <w:color w:val="auto"/>
                <w:sz w:val="21"/>
                <w:szCs w:val="21"/>
                <w:highlight w:val="none"/>
                <w:lang w:val="en-US" w:eastAsia="zh-CN"/>
              </w:rPr>
              <w:t>项目，</w:t>
            </w:r>
            <w:r>
              <w:rPr>
                <w:rFonts w:hint="eastAsia" w:ascii="宋体" w:hAnsi="宋体" w:cs="宋体"/>
                <w:color w:val="auto"/>
                <w:sz w:val="21"/>
                <w:szCs w:val="21"/>
                <w:highlight w:val="none"/>
                <w:lang w:val="en-US" w:eastAsia="zh-CN"/>
              </w:rPr>
              <w:t>且</w:t>
            </w:r>
            <w:r>
              <w:rPr>
                <w:rFonts w:hint="eastAsia" w:ascii="宋体" w:hAnsi="宋体" w:eastAsia="宋体" w:cs="宋体"/>
                <w:color w:val="auto"/>
                <w:sz w:val="21"/>
                <w:szCs w:val="21"/>
                <w:highlight w:val="none"/>
                <w:lang w:val="en-US" w:eastAsia="zh-CN"/>
              </w:rPr>
              <w:t>在市级或以上档案局（馆）单位</w:t>
            </w:r>
            <w:r>
              <w:rPr>
                <w:rFonts w:hint="eastAsia" w:ascii="宋体" w:hAnsi="宋体" w:cs="宋体"/>
                <w:color w:val="auto"/>
                <w:sz w:val="21"/>
                <w:szCs w:val="21"/>
                <w:highlight w:val="none"/>
                <w:lang w:val="en-US" w:eastAsia="zh-CN"/>
              </w:rPr>
              <w:t>年度</w:t>
            </w:r>
            <w:r>
              <w:rPr>
                <w:rFonts w:hint="eastAsia" w:ascii="宋体" w:hAnsi="宋体" w:eastAsia="宋体" w:cs="宋体"/>
                <w:color w:val="auto"/>
                <w:sz w:val="21"/>
                <w:szCs w:val="21"/>
                <w:highlight w:val="none"/>
                <w:lang w:val="en-US" w:eastAsia="zh-CN"/>
              </w:rPr>
              <w:t>检查或验收获“优秀”等级的，每个得1分，满分</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分。（提供合同和市级或以上档案局（馆）单位出具的验收报告（通报文件、证书）复印件）</w:t>
            </w:r>
          </w:p>
        </w:tc>
        <w:tc>
          <w:tcPr>
            <w:tcW w:w="127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9</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2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eastAsiaTheme="minorEastAsia"/>
                <w:color w:val="auto"/>
                <w:kern w:val="0"/>
                <w:szCs w:val="21"/>
                <w:highlight w:val="none"/>
                <w:lang w:val="en-US" w:eastAsia="zh-CN"/>
              </w:rPr>
              <w:t>2</w:t>
            </w:r>
          </w:p>
        </w:tc>
        <w:tc>
          <w:tcPr>
            <w:tcW w:w="18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财务状况</w:t>
            </w:r>
          </w:p>
        </w:tc>
        <w:tc>
          <w:tcPr>
            <w:tcW w:w="873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提供由会计师事务所出具的无保留意见的</w:t>
            </w:r>
            <w:r>
              <w:rPr>
                <w:rFonts w:hint="eastAsia" w:ascii="宋体" w:hAnsi="宋体" w:cs="宋体"/>
                <w:color w:val="auto"/>
                <w:sz w:val="21"/>
                <w:szCs w:val="21"/>
                <w:highlight w:val="none"/>
                <w:lang w:val="en-US" w:eastAsia="zh-CN"/>
              </w:rPr>
              <w:t>比选申请</w:t>
            </w:r>
            <w:r>
              <w:rPr>
                <w:rFonts w:hint="eastAsia" w:ascii="宋体" w:hAnsi="宋体" w:eastAsia="宋体" w:cs="宋体"/>
                <w:color w:val="auto"/>
                <w:sz w:val="21"/>
                <w:szCs w:val="21"/>
                <w:highlight w:val="none"/>
                <w:lang w:val="en-US" w:eastAsia="zh-CN"/>
              </w:rPr>
              <w:t>人</w:t>
            </w:r>
            <w:r>
              <w:rPr>
                <w:rFonts w:hint="eastAsia" w:ascii="宋体" w:hAnsi="宋体" w:cs="宋体"/>
                <w:color w:val="auto"/>
                <w:sz w:val="21"/>
                <w:szCs w:val="21"/>
                <w:highlight w:val="none"/>
                <w:lang w:val="en-US" w:eastAsia="zh-CN"/>
              </w:rPr>
              <w:t>2022年度或</w:t>
            </w:r>
            <w:r>
              <w:rPr>
                <w:rFonts w:hint="eastAsia" w:ascii="宋体" w:hAnsi="宋体" w:eastAsia="宋体" w:cs="宋体"/>
                <w:color w:val="auto"/>
                <w:sz w:val="21"/>
                <w:szCs w:val="21"/>
                <w:highlight w:val="none"/>
                <w:lang w:val="en-US" w:eastAsia="zh-CN"/>
              </w:rPr>
              <w:t>2023年度审计报告（应包含资产负债表、损益表、现金流量表等主要财务报表及附注），得2分，否则不得分。</w:t>
            </w:r>
          </w:p>
        </w:tc>
        <w:tc>
          <w:tcPr>
            <w:tcW w:w="127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[0,2]分</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2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lang w:val="en-US" w:eastAsia="zh-CN"/>
              </w:rPr>
              <w:t>3</w:t>
            </w:r>
          </w:p>
        </w:tc>
        <w:tc>
          <w:tcPr>
            <w:tcW w:w="18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lang w:val="en-US" w:eastAsia="zh-CN"/>
              </w:rPr>
              <w:t>人员配置</w:t>
            </w:r>
          </w:p>
        </w:tc>
        <w:tc>
          <w:tcPr>
            <w:tcW w:w="873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.比选申请人投入本项目配置的员工持有档案相关部门颁发的培训合格证书，每人得0.5分，满分得3分。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.比选申请人拟投入本项目配置的员工持有市级以上国家保密局颁发的保密知识培训证书，每人得0.5分，满分得3分。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.比选申请人拟投入本项目配置的员工持有档案系列中级或以上专业技术资格证书，每人得1.5分，</w:t>
            </w:r>
            <w:r>
              <w:rPr>
                <w:rFonts w:hint="eastAsia" w:ascii="宋体" w:hAnsi="宋体" w:cs="宋体"/>
                <w:color w:val="auto"/>
                <w:sz w:val="21"/>
                <w:szCs w:val="21"/>
                <w:highlight w:val="none"/>
                <w:lang w:val="en-US" w:eastAsia="zh-CN"/>
              </w:rPr>
              <w:t>满分得</w:t>
            </w:r>
            <w:r>
              <w:rPr>
                <w:rFonts w:hint="eastAsia" w:ascii="宋体" w:hAnsi="宋体" w:eastAsia="宋体" w:cs="宋体"/>
                <w:color w:val="auto"/>
                <w:sz w:val="21"/>
                <w:szCs w:val="21"/>
                <w:highlight w:val="none"/>
              </w:rPr>
              <w:t>3分。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.比选申请人拟投入本项目配置的员工有3年及以上相关项目工作经验，每人得1分，</w:t>
            </w:r>
            <w:r>
              <w:rPr>
                <w:rFonts w:hint="eastAsia" w:ascii="宋体" w:hAnsi="宋体" w:cs="宋体"/>
                <w:color w:val="auto"/>
                <w:sz w:val="21"/>
                <w:szCs w:val="21"/>
                <w:highlight w:val="none"/>
                <w:lang w:val="en-US" w:eastAsia="zh-CN"/>
              </w:rPr>
              <w:t>满分得</w:t>
            </w:r>
            <w:r>
              <w:rPr>
                <w:rFonts w:hint="eastAsia" w:ascii="宋体" w:hAnsi="宋体" w:eastAsia="宋体" w:cs="宋体"/>
                <w:color w:val="auto"/>
                <w:sz w:val="21"/>
                <w:szCs w:val="21"/>
                <w:highlight w:val="none"/>
                <w:lang w:val="en-US" w:eastAsia="zh-CN"/>
              </w:rPr>
              <w:t>3分。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.比选申请人拟投入的项目负责人</w:t>
            </w:r>
            <w:r>
              <w:rPr>
                <w:rFonts w:hint="eastAsia" w:ascii="宋体" w:hAnsi="宋体" w:cs="宋体"/>
                <w:color w:val="auto"/>
                <w:sz w:val="21"/>
                <w:szCs w:val="21"/>
                <w:highlight w:val="none"/>
                <w:lang w:val="en-US" w:eastAsia="zh-CN"/>
              </w:rPr>
              <w:t>在过往</w:t>
            </w:r>
            <w:r>
              <w:rPr>
                <w:rFonts w:hint="eastAsia" w:ascii="宋体" w:hAnsi="宋体" w:eastAsia="宋体" w:cs="宋体"/>
                <w:color w:val="auto"/>
                <w:sz w:val="21"/>
                <w:szCs w:val="21"/>
                <w:highlight w:val="none"/>
                <w:lang w:val="en-US" w:eastAsia="zh-CN"/>
              </w:rPr>
              <w:t>负责的项目</w:t>
            </w:r>
            <w:r>
              <w:rPr>
                <w:rFonts w:hint="eastAsia" w:ascii="宋体" w:hAnsi="宋体" w:cs="宋体"/>
                <w:color w:val="auto"/>
                <w:sz w:val="21"/>
                <w:szCs w:val="21"/>
                <w:highlight w:val="none"/>
                <w:lang w:val="en-US" w:eastAsia="zh-CN"/>
              </w:rPr>
              <w:t>中</w:t>
            </w:r>
            <w:r>
              <w:rPr>
                <w:rFonts w:hint="eastAsia" w:ascii="宋体" w:hAnsi="宋体" w:eastAsia="宋体" w:cs="宋体"/>
                <w:color w:val="auto"/>
                <w:sz w:val="21"/>
                <w:szCs w:val="21"/>
                <w:highlight w:val="none"/>
                <w:lang w:val="en-US" w:eastAsia="zh-CN"/>
              </w:rPr>
              <w:t>曾取得市</w:t>
            </w:r>
            <w:r>
              <w:rPr>
                <w:rFonts w:hint="eastAsia" w:ascii="宋体" w:hAnsi="宋体" w:cs="宋体"/>
                <w:color w:val="auto"/>
                <w:sz w:val="21"/>
                <w:szCs w:val="21"/>
                <w:highlight w:val="none"/>
                <w:lang w:val="en-US" w:eastAsia="zh-CN"/>
              </w:rPr>
              <w:t>级</w:t>
            </w:r>
            <w:r>
              <w:rPr>
                <w:rFonts w:hint="eastAsia" w:ascii="宋体" w:hAnsi="宋体" w:eastAsia="宋体" w:cs="宋体"/>
                <w:color w:val="auto"/>
                <w:sz w:val="21"/>
                <w:szCs w:val="21"/>
                <w:highlight w:val="none"/>
                <w:lang w:val="en-US" w:eastAsia="zh-CN"/>
              </w:rPr>
              <w:t>档案年检“优秀”结果</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每次得1次，满分</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p>
            <w:pPr>
              <w:pStyle w:val="2"/>
              <w:keepNext w:val="0"/>
              <w:keepLines w:val="0"/>
              <w:widowControl/>
              <w:suppressLineNumbers w:val="0"/>
              <w:spacing w:beforeAutospacing="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提供有效期内的相关证书复印件和近3个月的社保缴纳证明复印件为凭据，否则不得分</w:t>
            </w:r>
            <w:r>
              <w:rPr>
                <w:rFonts w:hint="eastAsia" w:ascii="宋体" w:hAnsi="宋体" w:eastAsia="宋体" w:cs="宋体"/>
                <w:color w:val="auto"/>
                <w:sz w:val="21"/>
                <w:szCs w:val="21"/>
                <w:highlight w:val="none"/>
                <w:lang w:eastAsia="zh-CN"/>
              </w:rPr>
              <w:t>）</w:t>
            </w:r>
          </w:p>
        </w:tc>
        <w:tc>
          <w:tcPr>
            <w:tcW w:w="127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15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2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lang w:val="en-US" w:eastAsia="zh-CN"/>
              </w:rPr>
              <w:t>4</w:t>
            </w:r>
          </w:p>
        </w:tc>
        <w:tc>
          <w:tcPr>
            <w:tcW w:w="18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lang w:val="en-US" w:eastAsia="zh-CN"/>
              </w:rPr>
              <w:t>企业证书</w:t>
            </w:r>
          </w:p>
        </w:tc>
        <w:tc>
          <w:tcPr>
            <w:tcW w:w="87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.比选申请人具有</w:t>
            </w:r>
            <w:r>
              <w:rPr>
                <w:rFonts w:hint="eastAsia" w:ascii="宋体" w:hAnsi="宋体" w:cs="宋体"/>
                <w:color w:val="auto"/>
                <w:sz w:val="21"/>
                <w:szCs w:val="21"/>
                <w:highlight w:val="none"/>
                <w:lang w:val="en-US" w:eastAsia="zh-CN"/>
              </w:rPr>
              <w:t>自主开发</w:t>
            </w:r>
            <w:r>
              <w:rPr>
                <w:rFonts w:hint="eastAsia" w:ascii="宋体" w:hAnsi="宋体" w:eastAsia="宋体" w:cs="宋体"/>
                <w:color w:val="auto"/>
                <w:sz w:val="21"/>
                <w:szCs w:val="21"/>
                <w:highlight w:val="none"/>
                <w:lang w:val="en-US" w:eastAsia="zh-CN"/>
              </w:rPr>
              <w:t>的档案数字信息化应用软件系统或软件产品，得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（提供由国家版权局发布的证书或类似证明材料。）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.比选申请人具有ISO9001质量管理体系认证证书(认证范围必须包含档案或数字化服务或档案整理等相关内容)，得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.比选申请人具有ISO27001信息安全管理体系认证证书(认证范围必须包含档案或数字化服务或档案整理等相关内容)，得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tc>
        <w:tc>
          <w:tcPr>
            <w:tcW w:w="127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4</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7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olor w:val="auto"/>
                <w:szCs w:val="21"/>
                <w:highlight w:val="none"/>
              </w:rPr>
            </w:pPr>
            <w:r>
              <w:rPr>
                <w:rFonts w:hint="eastAsia"/>
                <w:b/>
                <w:bCs/>
                <w:color w:val="auto"/>
                <w:sz w:val="24"/>
                <w:szCs w:val="24"/>
                <w:highlight w:val="none"/>
              </w:rPr>
              <w:t>资信文件得分</w:t>
            </w:r>
            <w:r>
              <w:rPr>
                <w:rFonts w:hint="eastAsia" w:ascii="宋体" w:hAnsi="宋体" w:cs="宋体"/>
                <w:color w:val="auto"/>
                <w:kern w:val="0"/>
                <w:sz w:val="24"/>
                <w:highlight w:val="none"/>
              </w:rPr>
              <w:t>（满分</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0</w:t>
            </w:r>
            <w:r>
              <w:rPr>
                <w:rFonts w:hint="default" w:ascii="宋体" w:hAnsi="宋体" w:cs="宋体"/>
                <w:color w:val="auto"/>
                <w:kern w:val="0"/>
                <w:sz w:val="24"/>
                <w:highlight w:val="none"/>
              </w:rPr>
              <w:t>分）</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宋体" w:hAnsi="宋体"/>
                <w:color w:val="auto"/>
                <w:sz w:val="24"/>
                <w:highlight w:val="none"/>
              </w:rPr>
            </w:pPr>
          </w:p>
        </w:tc>
      </w:tr>
    </w:tbl>
    <w:p>
      <w:pPr>
        <w:rPr>
          <w:rFonts w:hint="eastAsia" w:ascii="宋体" w:hAnsi="宋体"/>
          <w:b/>
          <w:color w:val="auto"/>
          <w:sz w:val="28"/>
          <w:szCs w:val="28"/>
          <w:highlight w:val="none"/>
        </w:rPr>
      </w:pPr>
      <w:bookmarkStart w:id="1874" w:name="_Toc159931598"/>
      <w:r>
        <w:rPr>
          <w:rFonts w:hint="eastAsia" w:ascii="宋体" w:hAnsi="宋体"/>
          <w:b/>
          <w:color w:val="auto"/>
          <w:sz w:val="28"/>
          <w:szCs w:val="28"/>
          <w:highlight w:val="none"/>
        </w:rPr>
        <w:br w:type="page"/>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0" w:firstLineChars="0"/>
        <w:textAlignment w:val="auto"/>
        <w:outlineLvl w:val="1"/>
        <w:rPr>
          <w:rFonts w:hint="eastAsia" w:ascii="宋体" w:hAnsi="宋体"/>
          <w:b/>
          <w:color w:val="auto"/>
          <w:sz w:val="28"/>
          <w:szCs w:val="28"/>
          <w:highlight w:val="none"/>
        </w:rPr>
      </w:pPr>
      <w:r>
        <w:rPr>
          <w:rFonts w:hint="eastAsia" w:ascii="宋体" w:hAnsi="宋体"/>
          <w:b/>
          <w:color w:val="auto"/>
          <w:sz w:val="28"/>
          <w:szCs w:val="28"/>
          <w:highlight w:val="none"/>
        </w:rPr>
        <w:t>附表四 技术文件评分表</w:t>
      </w:r>
      <w:bookmarkEnd w:id="1874"/>
    </w:p>
    <w:tbl>
      <w:tblPr>
        <w:tblStyle w:val="33"/>
        <w:tblpPr w:leftFromText="180" w:rightFromText="180" w:vertAnchor="text" w:horzAnchor="page" w:tblpX="1726" w:tblpY="48"/>
        <w:tblOverlap w:val="never"/>
        <w:tblW w:w="13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725"/>
        <w:gridCol w:w="8946"/>
        <w:gridCol w:w="1479"/>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序号</w:t>
            </w:r>
          </w:p>
        </w:tc>
        <w:tc>
          <w:tcPr>
            <w:tcW w:w="17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szCs w:val="21"/>
                <w:highlight w:val="none"/>
              </w:rPr>
              <w:t>评审项目和内容</w:t>
            </w:r>
          </w:p>
        </w:tc>
        <w:tc>
          <w:tcPr>
            <w:tcW w:w="894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评分标准</w:t>
            </w:r>
          </w:p>
        </w:tc>
        <w:tc>
          <w:tcPr>
            <w:tcW w:w="1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分值</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eastAsiaTheme="minorEastAsia"/>
                <w:color w:val="auto"/>
                <w:kern w:val="0"/>
                <w:szCs w:val="21"/>
                <w:highlight w:val="none"/>
                <w:lang w:val="en-US" w:eastAsia="zh-CN"/>
              </w:rPr>
              <w:t>1</w:t>
            </w:r>
          </w:p>
        </w:tc>
        <w:tc>
          <w:tcPr>
            <w:tcW w:w="17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整体方案</w:t>
            </w:r>
          </w:p>
        </w:tc>
        <w:tc>
          <w:tcPr>
            <w:tcW w:w="89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宋体" w:hAnsi="宋体" w:cs="宋体" w:eastAsiaTheme="minorEastAsia"/>
                <w:color w:val="auto"/>
                <w:sz w:val="21"/>
                <w:szCs w:val="21"/>
                <w:highlight w:val="none"/>
                <w:lang w:val="en-US" w:eastAsia="zh-CN"/>
              </w:rPr>
            </w:pPr>
            <w:r>
              <w:rPr>
                <w:rFonts w:hint="eastAsia" w:ascii="宋体" w:hAnsi="宋体" w:cs="宋体"/>
                <w:color w:val="auto"/>
                <w:sz w:val="21"/>
                <w:szCs w:val="21"/>
                <w:highlight w:val="none"/>
                <w:lang w:val="en-US" w:eastAsia="zh-CN"/>
              </w:rPr>
              <w:t>根据比选申请人提供方案的完整性、先进性、适应性及偏离情况进行比较计分，方案优秀得</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4，5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良好得</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3，4</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分</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一般得</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0，3</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分</w:t>
            </w:r>
            <w:r>
              <w:rPr>
                <w:rFonts w:hint="eastAsia" w:asciiTheme="minorEastAsia" w:hAnsiTheme="minorEastAsia" w:eastAsiaTheme="minorEastAsia"/>
                <w:color w:val="auto"/>
                <w:szCs w:val="21"/>
                <w:highlight w:val="none"/>
                <w:lang w:val="en-US" w:eastAsia="zh-CN"/>
              </w:rPr>
              <w:t>。</w:t>
            </w:r>
          </w:p>
        </w:tc>
        <w:tc>
          <w:tcPr>
            <w:tcW w:w="1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lang w:val="en-US" w:eastAsia="zh-CN"/>
              </w:rPr>
              <w:t>2</w:t>
            </w:r>
          </w:p>
        </w:tc>
        <w:tc>
          <w:tcPr>
            <w:tcW w:w="17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 w:val="24"/>
                <w:szCs w:val="24"/>
                <w:highlight w:val="none"/>
                <w:lang w:val="en-US" w:eastAsia="zh-CN"/>
              </w:rPr>
            </w:pPr>
            <w:r>
              <w:rPr>
                <w:rFonts w:hint="eastAsia" w:ascii="宋体" w:hAnsi="宋体" w:cs="宋体"/>
                <w:color w:val="auto"/>
                <w:kern w:val="0"/>
                <w:sz w:val="24"/>
                <w:szCs w:val="24"/>
                <w:highlight w:val="none"/>
                <w:lang w:val="en-US" w:eastAsia="zh-CN" w:bidi="ar"/>
              </w:rPr>
              <w:t>档案整理</w:t>
            </w:r>
          </w:p>
        </w:tc>
        <w:tc>
          <w:tcPr>
            <w:tcW w:w="89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比选申请人提供的档案整理方案符合标准、流程科学、交接清晰，方案优秀得得方案优秀得</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4，5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良好得</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3，4</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分</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一般得</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0，3</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分</w:t>
            </w:r>
            <w:r>
              <w:rPr>
                <w:rFonts w:hint="eastAsia" w:asciiTheme="minorEastAsia" w:hAnsiTheme="minorEastAsia" w:eastAsiaTheme="minorEastAsia"/>
                <w:color w:val="auto"/>
                <w:szCs w:val="21"/>
                <w:highlight w:val="none"/>
                <w:lang w:val="en-US" w:eastAsia="zh-CN"/>
              </w:rPr>
              <w:t>。</w:t>
            </w:r>
          </w:p>
        </w:tc>
        <w:tc>
          <w:tcPr>
            <w:tcW w:w="1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lang w:val="en-US" w:eastAsia="zh-CN"/>
              </w:rPr>
              <w:t>3</w:t>
            </w:r>
          </w:p>
        </w:tc>
        <w:tc>
          <w:tcPr>
            <w:tcW w:w="17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 w:val="24"/>
                <w:szCs w:val="24"/>
                <w:highlight w:val="none"/>
                <w:lang w:val="en-US"/>
              </w:rPr>
            </w:pPr>
            <w:r>
              <w:rPr>
                <w:rFonts w:hint="eastAsia" w:cs="宋体" w:asciiTheme="minorEastAsia" w:hAnsiTheme="minorEastAsia" w:eastAsiaTheme="minorEastAsia"/>
                <w:color w:val="auto"/>
                <w:kern w:val="0"/>
                <w:sz w:val="24"/>
                <w:szCs w:val="24"/>
                <w:highlight w:val="none"/>
                <w:lang w:val="en-US" w:eastAsia="zh-CN"/>
              </w:rPr>
              <w:t>录入扫描</w:t>
            </w:r>
          </w:p>
        </w:tc>
        <w:tc>
          <w:tcPr>
            <w:tcW w:w="89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bidi="ar-SA"/>
              </w:rPr>
              <w:t>比选申请人录入扫描方案的合理性、适用性、档案录入的质量控制及录入电子数据的存储和录入等情况，方案优秀得</w:t>
            </w:r>
            <w:r>
              <w:rPr>
                <w:rFonts w:hint="default" w:hAnsi="宋体" w:cs="宋体"/>
                <w:color w:val="auto"/>
                <w:sz w:val="21"/>
                <w:szCs w:val="21"/>
                <w:highlight w:val="none"/>
                <w:lang w:val="en-US" w:eastAsia="zh-CN" w:bidi="ar-SA"/>
              </w:rPr>
              <w:t>[4，5]分，良好得[3，4）分，一般得[0，3）分</w:t>
            </w:r>
            <w:r>
              <w:rPr>
                <w:rFonts w:hint="eastAsia" w:hAnsi="宋体" w:cs="宋体"/>
                <w:color w:val="auto"/>
                <w:sz w:val="21"/>
                <w:szCs w:val="21"/>
                <w:highlight w:val="none"/>
                <w:lang w:val="en-US" w:eastAsia="zh-CN" w:bidi="ar-SA"/>
              </w:rPr>
              <w:t>。</w:t>
            </w:r>
          </w:p>
        </w:tc>
        <w:tc>
          <w:tcPr>
            <w:tcW w:w="1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lang w:val="en-US" w:eastAsia="zh-CN"/>
              </w:rPr>
              <w:t>4</w:t>
            </w:r>
          </w:p>
        </w:tc>
        <w:tc>
          <w:tcPr>
            <w:tcW w:w="17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kern w:val="0"/>
                <w:sz w:val="24"/>
                <w:szCs w:val="24"/>
                <w:highlight w:val="none"/>
                <w:lang w:val="en-US" w:eastAsia="zh-CN"/>
              </w:rPr>
              <w:t>安全保密</w:t>
            </w:r>
          </w:p>
        </w:tc>
        <w:tc>
          <w:tcPr>
            <w:tcW w:w="8946" w:type="dxa"/>
            <w:vAlign w:val="center"/>
          </w:tcPr>
          <w:p>
            <w:pPr>
              <w:pStyle w:val="2"/>
              <w:keepNext w:val="0"/>
              <w:keepLines w:val="0"/>
              <w:widowControl/>
              <w:numPr>
                <w:ilvl w:val="0"/>
                <w:numId w:val="0"/>
              </w:numPr>
              <w:suppressLineNumbers w:val="0"/>
              <w:spacing w:beforeAutospacing="0"/>
              <w:ind w:leftChars="0" w:right="-27" w:rightChars="0"/>
              <w:rPr>
                <w:rFonts w:hint="default"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根据比选申请人对档案实体安全、成果数据安全、信息安全管理措施方案严谨科学有效进行评分，</w:t>
            </w:r>
            <w:r>
              <w:rPr>
                <w:rFonts w:hint="eastAsia" w:hAnsi="宋体" w:cs="宋体"/>
                <w:color w:val="auto"/>
                <w:sz w:val="21"/>
                <w:szCs w:val="21"/>
                <w:highlight w:val="none"/>
                <w:lang w:val="en-US" w:eastAsia="zh-CN" w:bidi="ar-SA"/>
              </w:rPr>
              <w:t>方案优秀得</w:t>
            </w:r>
            <w:r>
              <w:rPr>
                <w:rFonts w:hint="default" w:hAnsi="宋体" w:cs="宋体"/>
                <w:color w:val="auto"/>
                <w:sz w:val="21"/>
                <w:szCs w:val="21"/>
                <w:highlight w:val="none"/>
                <w:lang w:val="en-US" w:eastAsia="zh-CN" w:bidi="ar-SA"/>
              </w:rPr>
              <w:t>[4，5]分，良好得[3，4）分，一般得[0，3）分</w:t>
            </w:r>
            <w:r>
              <w:rPr>
                <w:rFonts w:hint="eastAsia" w:hAnsi="宋体" w:cs="宋体"/>
                <w:color w:val="auto"/>
                <w:sz w:val="21"/>
                <w:szCs w:val="21"/>
                <w:highlight w:val="none"/>
                <w:lang w:val="en-US" w:eastAsia="zh-CN" w:bidi="ar-SA"/>
              </w:rPr>
              <w:t>。</w:t>
            </w:r>
          </w:p>
        </w:tc>
        <w:tc>
          <w:tcPr>
            <w:tcW w:w="1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eastAsiaTheme="minorEastAsia"/>
                <w:color w:val="auto"/>
                <w:kern w:val="0"/>
                <w:szCs w:val="21"/>
                <w:highlight w:val="none"/>
                <w:lang w:val="en-US" w:eastAsia="zh-CN"/>
              </w:rPr>
              <w:t>5</w:t>
            </w:r>
          </w:p>
        </w:tc>
        <w:tc>
          <w:tcPr>
            <w:tcW w:w="1725" w:type="dxa"/>
            <w:vAlign w:val="center"/>
          </w:tcPr>
          <w:p>
            <w:pPr>
              <w:pStyle w:val="2"/>
              <w:keepNext w:val="0"/>
              <w:keepLines w:val="0"/>
              <w:widowControl/>
              <w:suppressLineNumbers w:val="0"/>
              <w:spacing w:beforeAutospacing="0"/>
              <w:jc w:val="center"/>
              <w:rPr>
                <w:rFonts w:hint="default" w:eastAsia="宋体"/>
                <w:color w:val="auto"/>
                <w:sz w:val="24"/>
                <w:szCs w:val="24"/>
                <w:highlight w:val="none"/>
                <w:lang w:val="en-US" w:eastAsia="zh-CN"/>
              </w:rPr>
            </w:pPr>
            <w:r>
              <w:rPr>
                <w:rFonts w:hint="eastAsia" w:cs="宋体" w:asciiTheme="minorEastAsia" w:hAnsiTheme="minorEastAsia" w:eastAsiaTheme="minorEastAsia"/>
                <w:color w:val="auto"/>
                <w:kern w:val="0"/>
                <w:sz w:val="24"/>
                <w:szCs w:val="24"/>
                <w:highlight w:val="none"/>
                <w:lang w:val="en-US" w:eastAsia="zh-CN" w:bidi="ar-SA"/>
              </w:rPr>
              <w:t>项目管理</w:t>
            </w:r>
          </w:p>
        </w:tc>
        <w:tc>
          <w:tcPr>
            <w:tcW w:w="8946" w:type="dxa"/>
            <w:vAlign w:val="center"/>
          </w:tcPr>
          <w:p>
            <w:pPr>
              <w:pStyle w:val="2"/>
              <w:keepNext w:val="0"/>
              <w:keepLines w:val="0"/>
              <w:widowControl/>
              <w:numPr>
                <w:ilvl w:val="0"/>
                <w:numId w:val="0"/>
              </w:numPr>
              <w:suppressLineNumbers w:val="0"/>
              <w:spacing w:beforeAutospacing="0"/>
              <w:ind w:leftChars="0" w:right="-27" w:rightChars="0"/>
              <w:rPr>
                <w:rFonts w:hint="default"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对有无详尽严格可执行的项目管理措施、项目现场5S管理措施及员工管理措施进行评分，</w:t>
            </w:r>
            <w:r>
              <w:rPr>
                <w:rFonts w:hint="eastAsia" w:hAnsi="宋体" w:cs="宋体"/>
                <w:color w:val="auto"/>
                <w:sz w:val="21"/>
                <w:szCs w:val="21"/>
                <w:highlight w:val="none"/>
                <w:lang w:val="en-US" w:eastAsia="zh-CN" w:bidi="ar-SA"/>
              </w:rPr>
              <w:t>方案优秀得</w:t>
            </w:r>
            <w:r>
              <w:rPr>
                <w:rFonts w:hint="default" w:hAnsi="宋体" w:cs="宋体"/>
                <w:color w:val="auto"/>
                <w:sz w:val="21"/>
                <w:szCs w:val="21"/>
                <w:highlight w:val="none"/>
                <w:lang w:val="en-US" w:eastAsia="zh-CN" w:bidi="ar-SA"/>
              </w:rPr>
              <w:t>[4，5]分，良好得[3，4）分，一般得[0，3）分</w:t>
            </w:r>
            <w:r>
              <w:rPr>
                <w:rFonts w:hint="eastAsia" w:hAnsi="宋体" w:cs="宋体"/>
                <w:color w:val="auto"/>
                <w:sz w:val="21"/>
                <w:szCs w:val="21"/>
                <w:highlight w:val="none"/>
                <w:lang w:val="en-US" w:eastAsia="zh-CN" w:bidi="ar-SA"/>
              </w:rPr>
              <w:t>。</w:t>
            </w:r>
          </w:p>
        </w:tc>
        <w:tc>
          <w:tcPr>
            <w:tcW w:w="1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eastAsiaTheme="minorEastAsia"/>
                <w:color w:val="auto"/>
                <w:kern w:val="0"/>
                <w:szCs w:val="21"/>
                <w:highlight w:val="none"/>
                <w:lang w:val="en-US" w:eastAsia="zh-CN"/>
              </w:rPr>
              <w:t>6</w:t>
            </w:r>
          </w:p>
        </w:tc>
        <w:tc>
          <w:tcPr>
            <w:tcW w:w="1725" w:type="dxa"/>
            <w:vAlign w:val="center"/>
          </w:tcPr>
          <w:p>
            <w:pPr>
              <w:pStyle w:val="2"/>
              <w:keepNext w:val="0"/>
              <w:keepLines w:val="0"/>
              <w:widowControl/>
              <w:suppressLineNumbers w:val="0"/>
              <w:spacing w:beforeAutospacing="0"/>
              <w:jc w:val="center"/>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质量保障</w:t>
            </w:r>
          </w:p>
        </w:tc>
        <w:tc>
          <w:tcPr>
            <w:tcW w:w="8946" w:type="dxa"/>
            <w:vAlign w:val="center"/>
          </w:tcPr>
          <w:p>
            <w:pPr>
              <w:pStyle w:val="2"/>
              <w:keepNext w:val="0"/>
              <w:keepLines w:val="0"/>
              <w:widowControl/>
              <w:numPr>
                <w:ilvl w:val="0"/>
                <w:numId w:val="0"/>
              </w:numPr>
              <w:suppressLineNumbers w:val="0"/>
              <w:spacing w:beforeAutospacing="0"/>
              <w:ind w:leftChars="0" w:right="-27" w:rightChars="0"/>
              <w:rPr>
                <w:rFonts w:hint="default" w:hAnsi="宋体" w:cs="宋体"/>
                <w:color w:val="auto"/>
                <w:sz w:val="21"/>
                <w:szCs w:val="21"/>
                <w:highlight w:val="none"/>
                <w:lang w:val="en-US" w:eastAsia="zh-CN"/>
              </w:rPr>
            </w:pPr>
            <w:r>
              <w:rPr>
                <w:rFonts w:hint="eastAsia" w:hAnsi="宋体" w:cs="宋体"/>
                <w:color w:val="auto"/>
                <w:sz w:val="21"/>
                <w:szCs w:val="21"/>
                <w:highlight w:val="none"/>
                <w:lang w:val="en-US" w:eastAsia="zh-CN"/>
              </w:rPr>
              <w:t>对有无合理性的、可操作性及可行性的项目质量保障具体措施及对本项目投入设备的配置方案进行评分，</w:t>
            </w:r>
            <w:r>
              <w:rPr>
                <w:rFonts w:hint="eastAsia" w:hAnsi="宋体" w:cs="宋体"/>
                <w:color w:val="auto"/>
                <w:sz w:val="21"/>
                <w:szCs w:val="21"/>
                <w:highlight w:val="none"/>
                <w:lang w:val="en-US" w:eastAsia="zh-CN" w:bidi="ar-SA"/>
              </w:rPr>
              <w:t>方案优秀得</w:t>
            </w:r>
            <w:r>
              <w:rPr>
                <w:rFonts w:hint="default" w:hAnsi="宋体" w:cs="宋体"/>
                <w:color w:val="auto"/>
                <w:sz w:val="21"/>
                <w:szCs w:val="21"/>
                <w:highlight w:val="none"/>
                <w:lang w:val="en-US" w:eastAsia="zh-CN" w:bidi="ar-SA"/>
              </w:rPr>
              <w:t>[4，5]分，良好得[3，4）分，一般得[0，3）分</w:t>
            </w:r>
            <w:r>
              <w:rPr>
                <w:rFonts w:hint="eastAsia" w:hAnsi="宋体" w:cs="宋体"/>
                <w:color w:val="auto"/>
                <w:sz w:val="21"/>
                <w:szCs w:val="21"/>
                <w:highlight w:val="none"/>
                <w:lang w:val="en-US" w:eastAsia="zh-CN" w:bidi="ar-SA"/>
              </w:rPr>
              <w:t>。</w:t>
            </w:r>
          </w:p>
        </w:tc>
        <w:tc>
          <w:tcPr>
            <w:tcW w:w="1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eastAsiaTheme="minorEastAsia"/>
                <w:color w:val="auto"/>
                <w:kern w:val="0"/>
                <w:szCs w:val="21"/>
                <w:highlight w:val="none"/>
                <w:lang w:val="en-US" w:eastAsia="zh-CN"/>
              </w:rPr>
              <w:t>7</w:t>
            </w:r>
          </w:p>
        </w:tc>
        <w:tc>
          <w:tcPr>
            <w:tcW w:w="1725" w:type="dxa"/>
            <w:vAlign w:val="center"/>
          </w:tcPr>
          <w:p>
            <w:pPr>
              <w:pStyle w:val="2"/>
              <w:keepNext w:val="0"/>
              <w:keepLines w:val="0"/>
              <w:widowControl/>
              <w:suppressLineNumbers w:val="0"/>
              <w:spacing w:beforeAutospacing="0"/>
              <w:jc w:val="center"/>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售后服务</w:t>
            </w:r>
          </w:p>
        </w:tc>
        <w:tc>
          <w:tcPr>
            <w:tcW w:w="8946" w:type="dxa"/>
            <w:vAlign w:val="center"/>
          </w:tcPr>
          <w:p>
            <w:pPr>
              <w:pStyle w:val="2"/>
              <w:keepNext w:val="0"/>
              <w:keepLines w:val="0"/>
              <w:widowControl/>
              <w:numPr>
                <w:ilvl w:val="0"/>
                <w:numId w:val="0"/>
              </w:numPr>
              <w:suppressLineNumbers w:val="0"/>
              <w:spacing w:beforeAutospacing="0"/>
              <w:ind w:leftChars="0" w:right="-27" w:rightChars="0"/>
              <w:rPr>
                <w:rFonts w:hint="default" w:hAnsi="宋体" w:cs="宋体"/>
                <w:color w:val="auto"/>
                <w:sz w:val="21"/>
                <w:szCs w:val="21"/>
                <w:highlight w:val="none"/>
                <w:lang w:val="en-US" w:eastAsia="zh-CN"/>
              </w:rPr>
            </w:pPr>
            <w:r>
              <w:rPr>
                <w:rFonts w:hint="eastAsia" w:hAnsi="宋体" w:cs="宋体"/>
                <w:color w:val="auto"/>
                <w:sz w:val="21"/>
                <w:szCs w:val="21"/>
                <w:highlight w:val="none"/>
                <w:lang w:val="en-US" w:eastAsia="zh-CN"/>
              </w:rPr>
              <w:t>对售后服务方案、到达故障现场时间、故障处理方案、免费培训方案等方面进行评分，</w:t>
            </w:r>
            <w:r>
              <w:rPr>
                <w:rFonts w:hint="eastAsia" w:hAnsi="宋体" w:cs="宋体"/>
                <w:color w:val="auto"/>
                <w:sz w:val="21"/>
                <w:szCs w:val="21"/>
                <w:highlight w:val="none"/>
                <w:lang w:val="en-US" w:eastAsia="zh-CN" w:bidi="ar-SA"/>
              </w:rPr>
              <w:t>方案优秀得</w:t>
            </w:r>
            <w:r>
              <w:rPr>
                <w:rFonts w:hint="default" w:hAnsi="宋体" w:cs="宋体"/>
                <w:color w:val="auto"/>
                <w:sz w:val="21"/>
                <w:szCs w:val="21"/>
                <w:highlight w:val="none"/>
                <w:lang w:val="en-US" w:eastAsia="zh-CN" w:bidi="ar-SA"/>
              </w:rPr>
              <w:t>[4，5]分，良好得[3，4）分，一般得[0，3）分</w:t>
            </w:r>
            <w:r>
              <w:rPr>
                <w:rFonts w:hint="eastAsia" w:hAnsi="宋体" w:cs="宋体"/>
                <w:color w:val="auto"/>
                <w:sz w:val="21"/>
                <w:szCs w:val="21"/>
                <w:highlight w:val="none"/>
                <w:lang w:val="en-US" w:eastAsia="zh-CN" w:bidi="ar-SA"/>
              </w:rPr>
              <w:t>。</w:t>
            </w:r>
          </w:p>
        </w:tc>
        <w:tc>
          <w:tcPr>
            <w:tcW w:w="1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5</w:t>
            </w:r>
            <w:r>
              <w:rPr>
                <w:rFonts w:hint="default"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分</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020"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color w:val="auto"/>
                <w:szCs w:val="21"/>
                <w:highlight w:val="none"/>
              </w:rPr>
            </w:pPr>
            <w:r>
              <w:rPr>
                <w:rFonts w:hint="eastAsia"/>
                <w:b/>
                <w:bCs/>
                <w:color w:val="auto"/>
                <w:sz w:val="24"/>
                <w:szCs w:val="24"/>
                <w:highlight w:val="none"/>
                <w:lang w:val="en-US" w:eastAsia="zh-CN"/>
              </w:rPr>
              <w:t>技术</w:t>
            </w:r>
            <w:r>
              <w:rPr>
                <w:rFonts w:hint="eastAsia"/>
                <w:b/>
                <w:bCs/>
                <w:color w:val="auto"/>
                <w:sz w:val="24"/>
                <w:szCs w:val="24"/>
                <w:highlight w:val="none"/>
              </w:rPr>
              <w:t>文件得分</w:t>
            </w:r>
            <w:r>
              <w:rPr>
                <w:rFonts w:hint="eastAsia" w:ascii="宋体" w:hAnsi="宋体" w:cs="宋体"/>
                <w:color w:val="auto"/>
                <w:kern w:val="0"/>
                <w:sz w:val="24"/>
                <w:highlight w:val="none"/>
              </w:rPr>
              <w:t>（满分</w:t>
            </w:r>
            <w:r>
              <w:rPr>
                <w:rFonts w:hint="eastAsia" w:ascii="宋体" w:hAnsi="宋体" w:cs="宋体"/>
                <w:color w:val="auto"/>
                <w:kern w:val="0"/>
                <w:sz w:val="24"/>
                <w:highlight w:val="none"/>
                <w:lang w:val="en-US" w:eastAsia="zh-CN"/>
              </w:rPr>
              <w:t>35</w:t>
            </w:r>
            <w:r>
              <w:rPr>
                <w:rFonts w:hint="default" w:ascii="宋体" w:hAnsi="宋体" w:cs="宋体"/>
                <w:color w:val="auto"/>
                <w:kern w:val="0"/>
                <w:sz w:val="24"/>
                <w:highlight w:val="none"/>
              </w:rPr>
              <w:t>分）</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宋体" w:hAnsi="宋体"/>
                <w:color w:val="auto"/>
                <w:sz w:val="24"/>
                <w:highlight w:val="none"/>
              </w:rPr>
            </w:pPr>
          </w:p>
        </w:tc>
      </w:tr>
    </w:tbl>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left"/>
        <w:textAlignment w:val="auto"/>
        <w:rPr>
          <w:rFonts w:hint="eastAsia" w:cs="宋体" w:asciiTheme="minorEastAsia" w:hAnsiTheme="minorEastAsia" w:eastAsiaTheme="minorEastAsia"/>
          <w:color w:val="auto"/>
          <w:szCs w:val="21"/>
          <w:highlight w:val="none"/>
        </w:rPr>
      </w:pP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firstLineChars="0"/>
        <w:textAlignment w:val="auto"/>
        <w:outlineLvl w:val="1"/>
        <w:rPr>
          <w:rFonts w:ascii="宋体" w:hAnsi="宋体"/>
          <w:b/>
          <w:color w:val="auto"/>
          <w:sz w:val="28"/>
          <w:szCs w:val="28"/>
          <w:highlight w:val="none"/>
        </w:rPr>
      </w:pPr>
      <w:bookmarkStart w:id="1875" w:name="_Toc159931599"/>
      <w:bookmarkStart w:id="1876" w:name="_Toc17099"/>
      <w:r>
        <w:rPr>
          <w:rFonts w:hint="eastAsia" w:ascii="宋体" w:hAnsi="宋体"/>
          <w:b/>
          <w:color w:val="auto"/>
          <w:sz w:val="28"/>
          <w:szCs w:val="28"/>
          <w:highlight w:val="none"/>
        </w:rPr>
        <w:t>附表五 价格文件评分表</w:t>
      </w:r>
      <w:bookmarkEnd w:id="1875"/>
      <w:bookmarkEnd w:id="1876"/>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textAlignment w:val="auto"/>
        <w:rPr>
          <w:color w:val="auto"/>
          <w:highlight w:val="none"/>
        </w:rPr>
      </w:pPr>
      <w:bookmarkStart w:id="1877" w:name="_Toc13488_WPSOffice_Level2"/>
      <w:bookmarkStart w:id="1878" w:name="_Toc21939_WPSOffice_Level2"/>
      <w:r>
        <w:rPr>
          <w:rFonts w:hint="eastAsia" w:ascii="宋体" w:hAnsi="宋体"/>
          <w:b/>
          <w:color w:val="auto"/>
          <w:sz w:val="24"/>
          <w:highlight w:val="none"/>
        </w:rPr>
        <w:t>价格文件</w:t>
      </w:r>
      <w:r>
        <w:rPr>
          <w:rFonts w:ascii="宋体" w:hAnsi="宋体"/>
          <w:b/>
          <w:color w:val="auto"/>
          <w:sz w:val="24"/>
          <w:highlight w:val="none"/>
        </w:rPr>
        <w:t>评分表</w:t>
      </w:r>
      <w:bookmarkEnd w:id="1877"/>
      <w:bookmarkEnd w:id="1878"/>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559"/>
        <w:gridCol w:w="4159"/>
        <w:gridCol w:w="5339"/>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9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color w:val="auto"/>
                <w:highlight w:val="none"/>
              </w:rPr>
            </w:pPr>
            <w:r>
              <w:rPr>
                <w:rFonts w:hint="eastAsia"/>
                <w:b/>
                <w:color w:val="auto"/>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color w:val="auto"/>
                <w:highlight w:val="none"/>
              </w:rPr>
            </w:pPr>
            <w:r>
              <w:rPr>
                <w:rFonts w:hint="eastAsia"/>
                <w:color w:val="auto"/>
                <w:highlight w:val="none"/>
              </w:rPr>
              <w:t>项目</w:t>
            </w:r>
          </w:p>
        </w:tc>
        <w:tc>
          <w:tcPr>
            <w:tcW w:w="4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bCs/>
                <w:color w:val="auto"/>
                <w:highlight w:val="none"/>
              </w:rPr>
            </w:pPr>
            <w:r>
              <w:rPr>
                <w:rFonts w:hint="eastAsia"/>
                <w:color w:val="auto"/>
                <w:highlight w:val="none"/>
              </w:rPr>
              <w:t>评审基准价</w:t>
            </w:r>
          </w:p>
        </w:tc>
        <w:tc>
          <w:tcPr>
            <w:tcW w:w="53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bCs/>
                <w:color w:val="auto"/>
                <w:highlight w:val="none"/>
              </w:rPr>
            </w:pPr>
            <w:r>
              <w:rPr>
                <w:rFonts w:hint="eastAsia"/>
                <w:color w:val="auto"/>
                <w:highlight w:val="none"/>
              </w:rPr>
              <w:t>评分标准</w:t>
            </w: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bCs/>
                <w:color w:val="auto"/>
                <w:highlight w:val="none"/>
              </w:rPr>
            </w:pPr>
            <w:r>
              <w:rPr>
                <w:rFonts w:hint="eastAsia"/>
                <w:color w:val="auto"/>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9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color w:val="auto"/>
                <w:highlight w:val="none"/>
              </w:rPr>
            </w:pPr>
            <w:r>
              <w:rPr>
                <w:rFonts w:hint="eastAsia"/>
                <w:b/>
                <w:color w:val="auto"/>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color w:val="auto"/>
                <w:highlight w:val="none"/>
              </w:rPr>
            </w:pPr>
            <w:r>
              <w:rPr>
                <w:rFonts w:hint="eastAsia" w:ascii="宋体" w:hAnsi="宋体" w:cs="宋体"/>
                <w:color w:val="auto"/>
                <w:sz w:val="24"/>
                <w:highlight w:val="none"/>
              </w:rPr>
              <w:t>报价评分</w:t>
            </w:r>
          </w:p>
        </w:tc>
        <w:tc>
          <w:tcPr>
            <w:tcW w:w="4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left"/>
              <w:textAlignment w:val="auto"/>
              <w:rPr>
                <w:rFonts w:hint="default" w:ascii="宋体" w:hAnsi="宋体"/>
                <w:b/>
                <w:color w:val="auto"/>
                <w:sz w:val="24"/>
                <w:highlight w:val="none"/>
              </w:rPr>
            </w:pPr>
            <w:r>
              <w:rPr>
                <w:rFonts w:hint="default" w:ascii="宋体" w:hAnsi="宋体"/>
                <w:b/>
                <w:color w:val="auto"/>
                <w:sz w:val="24"/>
                <w:highlight w:val="none"/>
              </w:rPr>
              <w:t>比选申请人价格大于上控价时比选申请文件作无效处理</w:t>
            </w:r>
            <w:r>
              <w:rPr>
                <w:rFonts w:hint="eastAsia" w:ascii="宋体" w:hAnsi="宋体"/>
                <w:b/>
                <w:color w:val="auto"/>
                <w:sz w:val="24"/>
                <w:highlight w:val="none"/>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left"/>
              <w:textAlignment w:val="auto"/>
              <w:rPr>
                <w:rFonts w:hint="default" w:ascii="宋体" w:hAnsi="宋体"/>
                <w:color w:val="auto"/>
                <w:sz w:val="24"/>
                <w:highlight w:val="none"/>
              </w:rPr>
            </w:pPr>
            <w:r>
              <w:rPr>
                <w:rFonts w:hint="eastAsia" w:ascii="宋体" w:hAnsi="宋体"/>
                <w:color w:val="auto"/>
                <w:sz w:val="24"/>
                <w:highlight w:val="none"/>
              </w:rPr>
              <w:t>（1）有效报价范围：为比选申请总价低于或等于比选控制价，通过资格评审、初步评审的，经评标委员会审定不存在严重不平衡、不合理、不低于其企业成本的比选申请人的比选申请总价。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left"/>
              <w:textAlignment w:val="auto"/>
              <w:rPr>
                <w:rFonts w:hint="default"/>
                <w:b/>
                <w:bCs/>
                <w:color w:val="auto"/>
                <w:highlight w:val="none"/>
              </w:rPr>
            </w:pPr>
            <w:r>
              <w:rPr>
                <w:rFonts w:hint="eastAsia" w:ascii="宋体" w:hAnsi="宋体"/>
                <w:color w:val="auto"/>
                <w:sz w:val="24"/>
                <w:highlight w:val="none"/>
              </w:rPr>
              <w:t>（2）在有效报价范围内，满足比选文件要求且报价最低的比选申请报价为评标基准价，基准价报价得分为</w:t>
            </w:r>
            <w:r>
              <w:rPr>
                <w:rFonts w:hint="eastAsia" w:ascii="宋体" w:hAnsi="宋体"/>
                <w:color w:val="auto"/>
                <w:sz w:val="24"/>
                <w:highlight w:val="none"/>
                <w:lang w:val="en-US" w:eastAsia="zh-CN"/>
              </w:rPr>
              <w:t>35</w:t>
            </w:r>
            <w:r>
              <w:rPr>
                <w:rFonts w:hint="eastAsia" w:ascii="宋体" w:hAnsi="宋体"/>
                <w:color w:val="auto"/>
                <w:sz w:val="24"/>
                <w:highlight w:val="none"/>
              </w:rPr>
              <w:t>分。</w:t>
            </w:r>
          </w:p>
        </w:tc>
        <w:tc>
          <w:tcPr>
            <w:tcW w:w="53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left"/>
              <w:textAlignment w:val="auto"/>
              <w:rPr>
                <w:rFonts w:hint="default" w:ascii="宋体" w:hAnsi="宋体"/>
                <w:color w:val="auto"/>
                <w:sz w:val="24"/>
                <w:highlight w:val="none"/>
              </w:rPr>
            </w:pPr>
            <w:r>
              <w:rPr>
                <w:rFonts w:hint="eastAsia" w:ascii="宋体" w:hAnsi="宋体"/>
                <w:color w:val="auto"/>
                <w:sz w:val="24"/>
                <w:highlight w:val="none"/>
              </w:rPr>
              <w:t>等于评审基准价的比选申请报价分为满分</w:t>
            </w:r>
            <w:r>
              <w:rPr>
                <w:rFonts w:hint="eastAsia" w:ascii="宋体" w:hAnsi="宋体"/>
                <w:color w:val="auto"/>
                <w:sz w:val="24"/>
                <w:highlight w:val="none"/>
                <w:lang w:val="en-US" w:eastAsia="zh-CN"/>
              </w:rPr>
              <w:t>35</w:t>
            </w:r>
            <w:r>
              <w:rPr>
                <w:rFonts w:hint="eastAsia" w:ascii="宋体" w:hAnsi="宋体"/>
                <w:color w:val="auto"/>
                <w:sz w:val="24"/>
                <w:highlight w:val="none"/>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left"/>
              <w:textAlignment w:val="auto"/>
              <w:rPr>
                <w:rFonts w:hint="default" w:ascii="宋体" w:hAnsi="宋体"/>
                <w:color w:val="auto"/>
                <w:sz w:val="24"/>
                <w:highlight w:val="none"/>
              </w:rPr>
            </w:pPr>
            <w:r>
              <w:rPr>
                <w:rFonts w:hint="eastAsia" w:ascii="宋体" w:hAnsi="宋体"/>
                <w:color w:val="auto"/>
                <w:sz w:val="24"/>
                <w:highlight w:val="none"/>
              </w:rPr>
              <w:t>其他比选申请人的比选申请报价分统一按照下列公式计算：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left"/>
              <w:textAlignment w:val="auto"/>
              <w:rPr>
                <w:rFonts w:hint="default"/>
                <w:color w:val="auto"/>
                <w:highlight w:val="none"/>
              </w:rPr>
            </w:pPr>
            <w:r>
              <w:rPr>
                <w:rFonts w:hint="eastAsia" w:ascii="宋体" w:hAnsi="宋体"/>
                <w:color w:val="auto"/>
                <w:sz w:val="24"/>
                <w:highlight w:val="none"/>
              </w:rPr>
              <w:t>某比选申请人报价分=评标基准价/某比选申请人报价×</w:t>
            </w:r>
            <w:r>
              <w:rPr>
                <w:rFonts w:hint="eastAsia" w:ascii="宋体" w:hAnsi="宋体"/>
                <w:color w:val="auto"/>
                <w:sz w:val="24"/>
                <w:highlight w:val="none"/>
                <w:lang w:val="en-US" w:eastAsia="zh-CN"/>
              </w:rPr>
              <w:t>35</w:t>
            </w:r>
            <w:r>
              <w:rPr>
                <w:rFonts w:hint="eastAsia" w:ascii="宋体" w:hAnsi="宋体"/>
                <w:color w:val="auto"/>
                <w:sz w:val="24"/>
                <w:highlight w:val="none"/>
              </w:rPr>
              <w:t>分。计算结果保留2位小数。</w:t>
            </w:r>
          </w:p>
        </w:tc>
        <w:tc>
          <w:tcPr>
            <w:tcW w:w="10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color w:val="auto"/>
                <w:highlight w:val="none"/>
              </w:rPr>
            </w:pPr>
          </w:p>
        </w:tc>
        <w:tc>
          <w:tcPr>
            <w:tcW w:w="4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bCs/>
                <w:color w:val="auto"/>
                <w:highlight w:val="none"/>
              </w:rPr>
            </w:pPr>
          </w:p>
        </w:tc>
        <w:tc>
          <w:tcPr>
            <w:tcW w:w="5339"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eastAsia="宋体"/>
                <w:b/>
                <w:bCs/>
                <w:color w:val="auto"/>
                <w:highlight w:val="none"/>
                <w:lang w:val="en-US" w:eastAsia="zh-CN"/>
              </w:rPr>
            </w:pPr>
            <w:r>
              <w:rPr>
                <w:rFonts w:hint="eastAsia"/>
                <w:b/>
                <w:bCs/>
                <w:color w:val="auto"/>
                <w:sz w:val="24"/>
                <w:szCs w:val="24"/>
                <w:highlight w:val="none"/>
                <w:lang w:val="en-US" w:eastAsia="zh-CN"/>
              </w:rPr>
              <w:t>价格</w:t>
            </w:r>
            <w:r>
              <w:rPr>
                <w:rFonts w:hint="eastAsia"/>
                <w:b/>
                <w:bCs/>
                <w:color w:val="auto"/>
                <w:sz w:val="24"/>
                <w:szCs w:val="24"/>
                <w:highlight w:val="none"/>
              </w:rPr>
              <w:t>文件得分</w:t>
            </w:r>
            <w:r>
              <w:rPr>
                <w:rFonts w:hint="eastAsia" w:ascii="宋体" w:hAnsi="宋体" w:cs="宋体"/>
                <w:color w:val="auto"/>
                <w:kern w:val="0"/>
                <w:sz w:val="24"/>
                <w:highlight w:val="none"/>
              </w:rPr>
              <w:t>（满分</w:t>
            </w:r>
            <w:r>
              <w:rPr>
                <w:rFonts w:hint="eastAsia" w:ascii="宋体" w:hAnsi="宋体" w:cs="宋体"/>
                <w:color w:val="auto"/>
                <w:kern w:val="0"/>
                <w:sz w:val="24"/>
                <w:highlight w:val="none"/>
                <w:lang w:val="en-US" w:eastAsia="zh-CN"/>
              </w:rPr>
              <w:t>35</w:t>
            </w:r>
            <w:r>
              <w:rPr>
                <w:rFonts w:hint="default" w:ascii="宋体" w:hAnsi="宋体" w:cs="宋体"/>
                <w:color w:val="auto"/>
                <w:kern w:val="0"/>
                <w:sz w:val="24"/>
                <w:highlight w:val="none"/>
              </w:rPr>
              <w:t>分）</w:t>
            </w:r>
          </w:p>
        </w:tc>
        <w:tc>
          <w:tcPr>
            <w:tcW w:w="10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jc w:val="center"/>
              <w:textAlignment w:val="auto"/>
              <w:rPr>
                <w:rFonts w:hint="default"/>
                <w:b/>
                <w:bCs/>
                <w:color w:val="auto"/>
                <w:highlight w:val="none"/>
              </w:rPr>
            </w:pPr>
          </w:p>
        </w:tc>
      </w:tr>
    </w:tbl>
    <w:p>
      <w:pPr>
        <w:rPr>
          <w:rFonts w:hint="eastAsia" w:ascii="宋体" w:hAnsi="宋体"/>
          <w:b/>
          <w:color w:val="auto"/>
          <w:sz w:val="28"/>
          <w:szCs w:val="28"/>
          <w:highlight w:val="none"/>
        </w:rPr>
      </w:pPr>
      <w:bookmarkStart w:id="1879" w:name="_Toc159931600"/>
      <w:bookmarkStart w:id="1880" w:name="_Toc27809"/>
      <w:bookmarkStart w:id="1881" w:name="_Toc5155"/>
      <w:bookmarkStart w:id="1882" w:name="_Toc1490"/>
      <w:bookmarkStart w:id="1883" w:name="_Toc25688"/>
      <w:bookmarkStart w:id="1884" w:name="_Toc11238"/>
      <w:bookmarkStart w:id="1885" w:name="_Toc15960"/>
      <w:r>
        <w:rPr>
          <w:rFonts w:hint="eastAsia" w:ascii="宋体" w:hAnsi="宋体"/>
          <w:b/>
          <w:color w:val="auto"/>
          <w:sz w:val="28"/>
          <w:szCs w:val="28"/>
          <w:highlight w:val="none"/>
        </w:rPr>
        <w:br w:type="page"/>
      </w:r>
    </w:p>
    <w:p>
      <w:pPr>
        <w:pStyle w:val="41"/>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firstLineChars="0"/>
        <w:textAlignment w:val="auto"/>
        <w:outlineLvl w:val="1"/>
        <w:rPr>
          <w:rFonts w:ascii="宋体" w:hAnsi="宋体"/>
          <w:b/>
          <w:color w:val="auto"/>
          <w:sz w:val="28"/>
          <w:szCs w:val="28"/>
          <w:highlight w:val="none"/>
        </w:rPr>
      </w:pPr>
      <w:r>
        <w:rPr>
          <w:rFonts w:hint="eastAsia" w:ascii="宋体" w:hAnsi="宋体"/>
          <w:b/>
          <w:color w:val="auto"/>
          <w:sz w:val="28"/>
          <w:szCs w:val="28"/>
          <w:highlight w:val="none"/>
        </w:rPr>
        <w:t>附表六 比选申请报价修正表</w:t>
      </w:r>
      <w:bookmarkEnd w:id="1879"/>
      <w:bookmarkEnd w:id="1880"/>
      <w:bookmarkEnd w:id="1881"/>
      <w:bookmarkEnd w:id="1882"/>
      <w:bookmarkEnd w:id="1883"/>
      <w:bookmarkEnd w:id="1884"/>
      <w:bookmarkEnd w:id="1885"/>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textAlignment w:val="auto"/>
        <w:rPr>
          <w:rFonts w:ascii="宋体" w:hAnsi="宋体"/>
          <w:b/>
          <w:color w:val="auto"/>
          <w:sz w:val="24"/>
          <w:highlight w:val="none"/>
        </w:rPr>
      </w:pPr>
      <w:bookmarkStart w:id="1886" w:name="_Toc15981_WPSOffice_Level2"/>
      <w:bookmarkStart w:id="1887" w:name="_Toc22356_WPSOffice_Level2"/>
      <w:r>
        <w:rPr>
          <w:rFonts w:hint="eastAsia" w:ascii="宋体" w:hAnsi="宋体"/>
          <w:b/>
          <w:color w:val="auto"/>
          <w:sz w:val="24"/>
          <w:highlight w:val="none"/>
        </w:rPr>
        <w:t>比选申请报价修正表</w:t>
      </w:r>
      <w:bookmarkEnd w:id="1886"/>
      <w:bookmarkEnd w:id="1887"/>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b/>
                <w:color w:val="auto"/>
                <w:sz w:val="24"/>
                <w:highlight w:val="none"/>
              </w:rPr>
            </w:pPr>
            <w:r>
              <w:rPr>
                <w:rFonts w:hint="eastAsia" w:ascii="宋体" w:hAnsi="宋体"/>
                <w:b/>
                <w:color w:val="auto"/>
                <w:sz w:val="24"/>
                <w:highlight w:val="none"/>
              </w:rPr>
              <w:t>编号</w:t>
            </w:r>
          </w:p>
        </w:tc>
        <w:tc>
          <w:tcPr>
            <w:tcW w:w="3474"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b/>
                <w:color w:val="auto"/>
                <w:sz w:val="24"/>
                <w:highlight w:val="none"/>
              </w:rPr>
            </w:pPr>
            <w:r>
              <w:rPr>
                <w:rFonts w:hint="eastAsia" w:ascii="宋体" w:hAnsi="宋体"/>
                <w:b/>
                <w:color w:val="auto"/>
                <w:sz w:val="24"/>
                <w:highlight w:val="none"/>
              </w:rPr>
              <w:t>修正项目</w:t>
            </w:r>
          </w:p>
        </w:tc>
        <w:tc>
          <w:tcPr>
            <w:tcW w:w="3872"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b/>
                <w:color w:val="auto"/>
                <w:sz w:val="24"/>
                <w:highlight w:val="none"/>
              </w:rPr>
            </w:pPr>
            <w:r>
              <w:rPr>
                <w:rFonts w:hint="eastAsia" w:ascii="宋体" w:hAnsi="宋体"/>
                <w:b/>
                <w:color w:val="auto"/>
                <w:sz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b/>
                <w:color w:val="auto"/>
                <w:sz w:val="24"/>
                <w:highlight w:val="none"/>
              </w:rPr>
            </w:pPr>
            <w:r>
              <w:rPr>
                <w:rFonts w:hint="eastAsia" w:ascii="宋体" w:hAnsi="宋体"/>
                <w:b/>
                <w:color w:val="auto"/>
                <w:sz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c>
          <w:tcPr>
            <w:tcW w:w="3474"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c>
          <w:tcPr>
            <w:tcW w:w="3872"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c>
          <w:tcPr>
            <w:tcW w:w="3474"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c>
          <w:tcPr>
            <w:tcW w:w="3872"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c>
          <w:tcPr>
            <w:tcW w:w="3474"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c>
          <w:tcPr>
            <w:tcW w:w="3872"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color w:val="auto"/>
                <w:highlight w:val="none"/>
              </w:rPr>
            </w:pPr>
          </w:p>
        </w:tc>
        <w:tc>
          <w:tcPr>
            <w:tcW w:w="3474"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宋体" w:hAnsi="宋体" w:cs="宋体"/>
                <w:color w:val="auto"/>
                <w:highlight w:val="none"/>
              </w:rPr>
            </w:pPr>
          </w:p>
        </w:tc>
        <w:tc>
          <w:tcPr>
            <w:tcW w:w="3872"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color w:val="auto"/>
                <w:highlight w:val="none"/>
              </w:rPr>
            </w:pPr>
          </w:p>
        </w:tc>
        <w:tc>
          <w:tcPr>
            <w:tcW w:w="3474"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color w:val="auto"/>
                <w:highlight w:val="none"/>
              </w:rPr>
            </w:pPr>
          </w:p>
        </w:tc>
        <w:tc>
          <w:tcPr>
            <w:tcW w:w="3872"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宋体" w:hAnsi="宋体"/>
                <w:b/>
                <w:color w:val="auto"/>
                <w:sz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宋体" w:hAnsi="宋体"/>
                <w:b/>
                <w:color w:val="auto"/>
                <w:sz w:val="24"/>
                <w:highlight w:val="none"/>
              </w:rPr>
            </w:pPr>
            <w:r>
              <w:rPr>
                <w:rFonts w:hint="eastAsia" w:ascii="宋体" w:hAnsi="宋体"/>
                <w:b/>
                <w:color w:val="auto"/>
                <w:sz w:val="24"/>
                <w:highlight w:val="none"/>
              </w:rPr>
              <w:t>修正前比选申请报价总价：</w:t>
            </w:r>
          </w:p>
        </w:tc>
        <w:tc>
          <w:tcPr>
            <w:tcW w:w="11735" w:type="dxa"/>
            <w:gridSpan w:val="3"/>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b/>
                <w:color w:val="auto"/>
                <w:sz w:val="24"/>
                <w:highlight w:val="none"/>
              </w:rPr>
            </w:pPr>
            <w:r>
              <w:rPr>
                <w:rFonts w:hint="eastAsia" w:ascii="宋体" w:hAnsi="宋体"/>
                <w:b/>
                <w:color w:val="auto"/>
                <w:sz w:val="24"/>
                <w:highlight w:val="none"/>
              </w:rPr>
              <w:t>修正后比选申请报价总价：</w:t>
            </w:r>
          </w:p>
        </w:tc>
        <w:tc>
          <w:tcPr>
            <w:tcW w:w="11735" w:type="dxa"/>
            <w:gridSpan w:val="3"/>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b/>
                <w:color w:val="auto"/>
                <w:sz w:val="24"/>
                <w:highlight w:val="none"/>
              </w:rPr>
            </w:pPr>
            <w:r>
              <w:rPr>
                <w:rFonts w:hint="eastAsia" w:ascii="宋体" w:hAnsi="宋体"/>
                <w:b/>
                <w:color w:val="auto"/>
                <w:sz w:val="24"/>
                <w:highlight w:val="none"/>
              </w:rPr>
              <w:t>比选申请人名称</w:t>
            </w:r>
          </w:p>
        </w:tc>
        <w:tc>
          <w:tcPr>
            <w:tcW w:w="11735" w:type="dxa"/>
            <w:gridSpan w:val="3"/>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cs="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b/>
                <w:color w:val="auto"/>
                <w:sz w:val="24"/>
                <w:highlight w:val="none"/>
              </w:rPr>
            </w:pPr>
            <w:r>
              <w:rPr>
                <w:rFonts w:hint="eastAsia" w:ascii="宋体" w:hAnsi="宋体"/>
                <w:b/>
                <w:color w:val="auto"/>
                <w:sz w:val="24"/>
                <w:highlight w:val="none"/>
              </w:rPr>
              <w:t>比选申请人声明</w:t>
            </w:r>
          </w:p>
        </w:tc>
        <w:tc>
          <w:tcPr>
            <w:tcW w:w="11735" w:type="dxa"/>
            <w:gridSpan w:val="3"/>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b/>
                <w:color w:val="auto"/>
                <w:sz w:val="24"/>
                <w:highlight w:val="none"/>
              </w:rPr>
            </w:pPr>
            <w:r>
              <w:rPr>
                <w:rFonts w:hint="eastAsia" w:ascii="宋体" w:hAnsi="宋体" w:cs="宋体"/>
                <w:b/>
                <w:color w:val="auto"/>
                <w:sz w:val="24"/>
                <w:highlight w:val="none"/>
              </w:rPr>
              <w:t>我单位（</w:t>
            </w:r>
            <w:r>
              <w:rPr>
                <w:rFonts w:hint="default" w:ascii="宋体" w:hAnsi="宋体"/>
                <w:b/>
                <w:color w:val="auto"/>
                <w:sz w:val="44"/>
                <w:szCs w:val="44"/>
                <w:highlight w:val="none"/>
              </w:rPr>
              <w:t>□</w:t>
            </w:r>
            <w:r>
              <w:rPr>
                <w:rFonts w:hint="eastAsia" w:ascii="宋体" w:hAnsi="宋体" w:cs="宋体"/>
                <w:b/>
                <w:color w:val="auto"/>
                <w:sz w:val="24"/>
                <w:highlight w:val="none"/>
              </w:rPr>
              <w:t>接受</w:t>
            </w:r>
            <w:r>
              <w:rPr>
                <w:rFonts w:hint="default" w:ascii="宋体" w:hAnsi="宋体"/>
                <w:b/>
                <w:color w:val="auto"/>
                <w:sz w:val="44"/>
                <w:szCs w:val="44"/>
                <w:highlight w:val="none"/>
              </w:rPr>
              <w:t>□</w:t>
            </w:r>
            <w:r>
              <w:rPr>
                <w:rFonts w:hint="default" w:ascii="宋体" w:hAnsi="宋体"/>
                <w:b/>
                <w:color w:val="auto"/>
                <w:sz w:val="24"/>
                <w:highlight w:val="none"/>
              </w:rPr>
              <w:t>不接受</w:t>
            </w:r>
            <w:r>
              <w:rPr>
                <w:rFonts w:hint="eastAsia" w:ascii="宋体" w:hAnsi="宋体"/>
                <w:b/>
                <w:color w:val="auto"/>
                <w:sz w:val="24"/>
                <w:highlight w:val="none"/>
              </w:rPr>
              <w:t>）本评分办法第3.4款价格评审确定的评审总价和中选价。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b/>
                <w:color w:val="auto"/>
                <w:sz w:val="24"/>
                <w:highlight w:val="none"/>
              </w:rPr>
            </w:pPr>
            <w:r>
              <w:rPr>
                <w:rFonts w:hint="eastAsia" w:ascii="宋体" w:hAnsi="宋体"/>
                <w:b/>
                <w:color w:val="auto"/>
                <w:sz w:val="24"/>
                <w:highlight w:val="none"/>
              </w:rPr>
              <w:t>比选申请人代表签字</w:t>
            </w:r>
          </w:p>
        </w:tc>
        <w:tc>
          <w:tcPr>
            <w:tcW w:w="11735" w:type="dxa"/>
            <w:gridSpan w:val="3"/>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cs="宋体"/>
                <w:b/>
                <w:color w:val="auto"/>
                <w:sz w:val="24"/>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cs="宋体"/>
                <w:b/>
                <w:color w:val="auto"/>
                <w:sz w:val="24"/>
                <w:highlight w:val="none"/>
              </w:rPr>
            </w:pPr>
            <w:r>
              <w:rPr>
                <w:rFonts w:hint="eastAsia" w:ascii="宋体" w:hAnsi="宋体" w:cs="宋体"/>
                <w:b/>
                <w:color w:val="auto"/>
                <w:sz w:val="24"/>
                <w:highlight w:val="none"/>
              </w:rPr>
              <w:t xml:space="preserve">                                                                     日期：    年  月   日</w:t>
            </w:r>
          </w:p>
        </w:tc>
      </w:tr>
    </w:tbl>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left"/>
        <w:textAlignment w:val="auto"/>
        <w:rPr>
          <w:color w:val="auto"/>
          <w:highlight w:val="none"/>
        </w:rPr>
      </w:pPr>
      <w:r>
        <w:rPr>
          <w:rFonts w:hint="eastAsia" w:ascii="宋体" w:hAnsi="宋体"/>
          <w:color w:val="auto"/>
          <w:highlight w:val="none"/>
        </w:rPr>
        <w:t>注：评审总价以修正后的总价为准，如比选申请人不接受按以上规则确定的评审总价和中选价，则其比选申请将被拒绝。</w:t>
      </w:r>
    </w:p>
    <w:sectPr>
      <w:pgSz w:w="16838" w:h="11905" w:orient="landscape"/>
      <w:pgMar w:top="1417" w:right="1417" w:bottom="1417" w:left="1417" w:header="454" w:footer="567" w:gutter="0"/>
      <w:pgNumType w:fmt="decimal"/>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20"/>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40</w:t>
                          </w:r>
                          <w:r>
                            <w:fldChar w:fldCharType="end"/>
                          </w:r>
                          <w:r>
                            <w:t xml:space="preserve"> 页 共 </w:t>
                          </w:r>
                          <w:r>
                            <w:rPr>
                              <w:rFonts w:hint="eastAsia"/>
                              <w:lang w:val="en-US" w:eastAsia="zh-CN"/>
                            </w:rPr>
                            <w:t>99</w:t>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40</w:t>
                    </w:r>
                    <w:r>
                      <w:fldChar w:fldCharType="end"/>
                    </w:r>
                    <w:r>
                      <w:t xml:space="preserve"> 页 共 </w:t>
                    </w:r>
                    <w:r>
                      <w:rPr>
                        <w:rFonts w:hint="eastAsia"/>
                        <w:lang w:val="en-US" w:eastAsia="zh-CN"/>
                      </w:rPr>
                      <w:t>99</w:t>
                    </w:r>
                    <w:r>
                      <w:t>页</w:t>
                    </w:r>
                  </w:p>
                </w:txbxContent>
              </v:textbox>
            </v:shape>
          </w:pict>
        </mc:Fallback>
      </mc:AlternateContent>
    </w:r>
  </w:p>
  <w:p>
    <w:pPr>
      <w:pStyle w:val="20"/>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pPr>
                          <w:r>
                            <w:t xml:space="preserve">第 </w:t>
                          </w:r>
                          <w:r>
                            <w:fldChar w:fldCharType="begin"/>
                          </w:r>
                          <w:r>
                            <w:instrText xml:space="preserve"> PAGE  \* MERGEFORMAT </w:instrText>
                          </w:r>
                          <w:r>
                            <w:fldChar w:fldCharType="separate"/>
                          </w:r>
                          <w:r>
                            <w:t>62</w:t>
                          </w:r>
                          <w:r>
                            <w:fldChar w:fldCharType="end"/>
                          </w:r>
                          <w:r>
                            <w:t xml:space="preserve"> 页 共 </w:t>
                          </w:r>
                          <w:r>
                            <w:rPr>
                              <w:rFonts w:hint="eastAsia"/>
                              <w:lang w:val="en-US" w:eastAsia="zh-CN"/>
                            </w:rPr>
                            <w:t>99</w:t>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62</w:t>
                    </w:r>
                    <w:r>
                      <w:fldChar w:fldCharType="end"/>
                    </w:r>
                    <w:r>
                      <w:t xml:space="preserve"> 页 共 </w:t>
                    </w:r>
                    <w:r>
                      <w:rPr>
                        <w:rFonts w:hint="eastAsia"/>
                        <w:lang w:val="en-US" w:eastAsia="zh-CN"/>
                      </w:rPr>
                      <w:t>99</w:t>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22taQzgEAAJcDAAAOAAAAAAAAAAEAIAAAAB8BAABkcnMv&#10;ZTJvRG9jLnhtbFBLBQYAAAAABgAGAFkBAABf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cente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t xml:space="preserve">第 </w:t>
                          </w:r>
                          <w:r>
                            <w:fldChar w:fldCharType="begin"/>
                          </w:r>
                          <w:r>
                            <w:instrText xml:space="preserve"> PAGE  \* MERGEFORMAT </w:instrText>
                          </w:r>
                          <w:r>
                            <w:fldChar w:fldCharType="separate"/>
                          </w:r>
                          <w:r>
                            <w:t>97</w:t>
                          </w:r>
                          <w:r>
                            <w:fldChar w:fldCharType="end"/>
                          </w:r>
                          <w:r>
                            <w:t xml:space="preserve"> 页 共 </w:t>
                          </w:r>
                          <w:r>
                            <w:rPr>
                              <w:rFonts w:hint="eastAsia"/>
                              <w:lang w:val="en-US" w:eastAsia="zh-CN"/>
                            </w:rPr>
                            <w:t>99</w:t>
                          </w:r>
                          <w:r>
                            <w:t>页</w:t>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60288;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2Nfnr0gAAAAMBAAAPAAAAAAAAAAEAIAAAACIAAABkcnMvZG93bnJldi54&#10;bWxQSwECFAAUAAAACACHTuJA/BW59jkCAABgBAAADgAAAAAAAAABACAAAAAhAQAAZHJzL2Uyb0Rv&#10;Yy54bWxQSwUGAAAAAAYABgBZAQAAzAUAAAAA&#10;">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97</w:t>
                    </w:r>
                    <w:r>
                      <w:fldChar w:fldCharType="end"/>
                    </w:r>
                    <w:r>
                      <w:t xml:space="preserve"> 页 共 </w:t>
                    </w:r>
                    <w:r>
                      <w:rPr>
                        <w:rFonts w:hint="eastAsia"/>
                        <w:lang w:val="en-US" w:eastAsia="zh-CN"/>
                      </w:rPr>
                      <w:t>99</w:t>
                    </w:r>
                    <w: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left" w:pos="2847"/>
        <w:tab w:val="left" w:pos="3510"/>
        <w:tab w:val="left" w:pos="4002"/>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C19D8"/>
    <w:multiLevelType w:val="singleLevel"/>
    <w:tmpl w:val="824C19D8"/>
    <w:lvl w:ilvl="0" w:tentative="0">
      <w:start w:val="4"/>
      <w:numFmt w:val="chineseCounting"/>
      <w:suff w:val="space"/>
      <w:lvlText w:val="第%1章"/>
      <w:lvlJc w:val="left"/>
      <w:rPr>
        <w:rFonts w:hint="eastAsia"/>
      </w:rPr>
    </w:lvl>
  </w:abstractNum>
  <w:abstractNum w:abstractNumId="1">
    <w:nsid w:val="9B65E441"/>
    <w:multiLevelType w:val="singleLevel"/>
    <w:tmpl w:val="9B65E441"/>
    <w:lvl w:ilvl="0" w:tentative="0">
      <w:start w:val="1"/>
      <w:numFmt w:val="decimal"/>
      <w:suff w:val="nothing"/>
      <w:lvlText w:val="（%1）"/>
      <w:lvlJc w:val="left"/>
    </w:lvl>
  </w:abstractNum>
  <w:abstractNum w:abstractNumId="2">
    <w:nsid w:val="BF5A1CEB"/>
    <w:multiLevelType w:val="singleLevel"/>
    <w:tmpl w:val="BF5A1CEB"/>
    <w:lvl w:ilvl="0" w:tentative="0">
      <w:start w:val="1"/>
      <w:numFmt w:val="decimal"/>
      <w:lvlText w:val="%1."/>
      <w:lvlJc w:val="left"/>
      <w:pPr>
        <w:tabs>
          <w:tab w:val="left" w:pos="312"/>
        </w:tabs>
      </w:pPr>
    </w:lvl>
  </w:abstractNum>
  <w:abstractNum w:abstractNumId="3">
    <w:nsid w:val="19325A0C"/>
    <w:multiLevelType w:val="multilevel"/>
    <w:tmpl w:val="19325A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5">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6">
    <w:nsid w:val="2F000011"/>
    <w:multiLevelType w:val="multilevel"/>
    <w:tmpl w:val="2F000011"/>
    <w:lvl w:ilvl="0" w:tentative="0">
      <w:start w:val="1"/>
      <w:numFmt w:val="chineseCountingThousand"/>
      <w:lvlText w:val="第%1章"/>
      <w:lvlJc w:val="left"/>
      <w:pPr>
        <w:tabs>
          <w:tab w:val="left" w:pos="1134"/>
        </w:tabs>
        <w:ind w:left="430" w:hanging="1134"/>
      </w:pPr>
      <w:rPr>
        <w:rFonts w:hint="default" w:cs="Times New Roman"/>
      </w:rPr>
    </w:lvl>
    <w:lvl w:ilvl="1" w:tentative="0">
      <w:start w:val="1"/>
      <w:numFmt w:val="lowerLetter"/>
      <w:lvlText w:val="%2)"/>
      <w:lvlJc w:val="left"/>
      <w:pPr>
        <w:tabs>
          <w:tab w:val="left" w:pos="840"/>
        </w:tabs>
        <w:ind w:left="136" w:hanging="420"/>
      </w:pPr>
      <w:rPr>
        <w:rFonts w:cs="Times New Roman"/>
      </w:rPr>
    </w:lvl>
    <w:lvl w:ilvl="2" w:tentative="0">
      <w:start w:val="1"/>
      <w:numFmt w:val="lowerRoman"/>
      <w:lvlText w:val="%3."/>
      <w:lvlJc w:val="right"/>
      <w:pPr>
        <w:tabs>
          <w:tab w:val="left" w:pos="1260"/>
        </w:tabs>
        <w:ind w:left="556" w:hanging="420"/>
      </w:pPr>
      <w:rPr>
        <w:rFonts w:cs="Times New Roman"/>
      </w:rPr>
    </w:lvl>
    <w:lvl w:ilvl="3" w:tentative="0">
      <w:start w:val="1"/>
      <w:numFmt w:val="decimal"/>
      <w:lvlText w:val="%4."/>
      <w:lvlJc w:val="left"/>
      <w:pPr>
        <w:tabs>
          <w:tab w:val="left" w:pos="1680"/>
        </w:tabs>
        <w:ind w:left="976" w:hanging="420"/>
      </w:pPr>
      <w:rPr>
        <w:rFonts w:cs="Times New Roman"/>
      </w:rPr>
    </w:lvl>
    <w:lvl w:ilvl="4" w:tentative="0">
      <w:start w:val="1"/>
      <w:numFmt w:val="lowerLetter"/>
      <w:lvlText w:val="%5)"/>
      <w:lvlJc w:val="left"/>
      <w:pPr>
        <w:tabs>
          <w:tab w:val="left" w:pos="2100"/>
        </w:tabs>
        <w:ind w:left="1396" w:hanging="420"/>
      </w:pPr>
      <w:rPr>
        <w:rFonts w:cs="Times New Roman"/>
      </w:rPr>
    </w:lvl>
    <w:lvl w:ilvl="5" w:tentative="0">
      <w:start w:val="1"/>
      <w:numFmt w:val="lowerRoman"/>
      <w:lvlText w:val="%6."/>
      <w:lvlJc w:val="right"/>
      <w:pPr>
        <w:tabs>
          <w:tab w:val="left" w:pos="2520"/>
        </w:tabs>
        <w:ind w:left="1816" w:hanging="420"/>
      </w:pPr>
      <w:rPr>
        <w:rFonts w:cs="Times New Roman"/>
      </w:rPr>
    </w:lvl>
    <w:lvl w:ilvl="6" w:tentative="0">
      <w:start w:val="1"/>
      <w:numFmt w:val="decimal"/>
      <w:lvlText w:val="%7."/>
      <w:lvlJc w:val="left"/>
      <w:pPr>
        <w:tabs>
          <w:tab w:val="left" w:pos="2940"/>
        </w:tabs>
        <w:ind w:left="2236" w:hanging="420"/>
      </w:pPr>
      <w:rPr>
        <w:rFonts w:cs="Times New Roman"/>
      </w:rPr>
    </w:lvl>
    <w:lvl w:ilvl="7" w:tentative="0">
      <w:start w:val="1"/>
      <w:numFmt w:val="lowerLetter"/>
      <w:lvlText w:val="%8)"/>
      <w:lvlJc w:val="left"/>
      <w:pPr>
        <w:tabs>
          <w:tab w:val="left" w:pos="3360"/>
        </w:tabs>
        <w:ind w:left="2656" w:hanging="420"/>
      </w:pPr>
      <w:rPr>
        <w:rFonts w:cs="Times New Roman"/>
      </w:rPr>
    </w:lvl>
    <w:lvl w:ilvl="8" w:tentative="0">
      <w:start w:val="1"/>
      <w:numFmt w:val="lowerRoman"/>
      <w:lvlText w:val="%9."/>
      <w:lvlJc w:val="right"/>
      <w:pPr>
        <w:tabs>
          <w:tab w:val="left" w:pos="3780"/>
        </w:tabs>
        <w:ind w:left="3076" w:hanging="420"/>
      </w:pPr>
      <w:rPr>
        <w:rFonts w:cs="Times New Roman"/>
      </w:rPr>
    </w:lvl>
  </w:abstractNum>
  <w:abstractNum w:abstractNumId="7">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8">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9">
    <w:nsid w:val="38B2A1CA"/>
    <w:multiLevelType w:val="singleLevel"/>
    <w:tmpl w:val="38B2A1CA"/>
    <w:lvl w:ilvl="0" w:tentative="0">
      <w:start w:val="1"/>
      <w:numFmt w:val="decimal"/>
      <w:suff w:val="nothing"/>
      <w:lvlText w:val="（%1）"/>
      <w:lvlJc w:val="left"/>
    </w:lvl>
  </w:abstractNum>
  <w:abstractNum w:abstractNumId="10">
    <w:nsid w:val="3B78B771"/>
    <w:multiLevelType w:val="singleLevel"/>
    <w:tmpl w:val="3B78B771"/>
    <w:lvl w:ilvl="0" w:tentative="0">
      <w:start w:val="1"/>
      <w:numFmt w:val="decimal"/>
      <w:lvlText w:val="(%1)"/>
      <w:lvlJc w:val="left"/>
      <w:pPr>
        <w:ind w:left="425" w:hanging="425"/>
      </w:pPr>
      <w:rPr>
        <w:rFonts w:hint="default"/>
      </w:rPr>
    </w:lvl>
  </w:abstractNum>
  <w:abstractNum w:abstractNumId="11">
    <w:nsid w:val="3D9C7CD2"/>
    <w:multiLevelType w:val="singleLevel"/>
    <w:tmpl w:val="3D9C7CD2"/>
    <w:lvl w:ilvl="0" w:tentative="0">
      <w:start w:val="1"/>
      <w:numFmt w:val="decimal"/>
      <w:lvlText w:val="%1."/>
      <w:lvlJc w:val="left"/>
      <w:pPr>
        <w:tabs>
          <w:tab w:val="left" w:pos="312"/>
        </w:tabs>
      </w:pPr>
    </w:lvl>
  </w:abstractNum>
  <w:abstractNum w:abstractNumId="12">
    <w:nsid w:val="41980CBA"/>
    <w:multiLevelType w:val="singleLevel"/>
    <w:tmpl w:val="41980CBA"/>
    <w:lvl w:ilvl="0" w:tentative="0">
      <w:start w:val="1"/>
      <w:numFmt w:val="decimal"/>
      <w:lvlText w:val="%1."/>
      <w:lvlJc w:val="left"/>
      <w:pPr>
        <w:tabs>
          <w:tab w:val="left" w:pos="312"/>
        </w:tabs>
      </w:pPr>
    </w:lvl>
  </w:abstractNum>
  <w:abstractNum w:abstractNumId="13">
    <w:nsid w:val="4ACE49F1"/>
    <w:multiLevelType w:val="singleLevel"/>
    <w:tmpl w:val="4ACE49F1"/>
    <w:lvl w:ilvl="0" w:tentative="0">
      <w:start w:val="1"/>
      <w:numFmt w:val="decimal"/>
      <w:lvlText w:val="%1."/>
      <w:lvlJc w:val="left"/>
      <w:pPr>
        <w:tabs>
          <w:tab w:val="left" w:pos="312"/>
        </w:tabs>
      </w:pPr>
    </w:lvl>
  </w:abstractNum>
  <w:abstractNum w:abstractNumId="14">
    <w:nsid w:val="63785095"/>
    <w:multiLevelType w:val="singleLevel"/>
    <w:tmpl w:val="63785095"/>
    <w:lvl w:ilvl="0" w:tentative="0">
      <w:start w:val="1"/>
      <w:numFmt w:val="decimal"/>
      <w:lvlText w:val="%1."/>
      <w:lvlJc w:val="left"/>
      <w:pPr>
        <w:tabs>
          <w:tab w:val="left" w:pos="312"/>
        </w:tabs>
      </w:pPr>
    </w:lvl>
  </w:abstractNum>
  <w:num w:numId="1">
    <w:abstractNumId w:val="6"/>
  </w:num>
  <w:num w:numId="2">
    <w:abstractNumId w:val="8"/>
  </w:num>
  <w:num w:numId="3">
    <w:abstractNumId w:val="5"/>
  </w:num>
  <w:num w:numId="4">
    <w:abstractNumId w:val="4"/>
  </w:num>
  <w:num w:numId="5">
    <w:abstractNumId w:val="7"/>
  </w:num>
  <w:num w:numId="6">
    <w:abstractNumId w:val="14"/>
  </w:num>
  <w:num w:numId="7">
    <w:abstractNumId w:val="9"/>
  </w:num>
  <w:num w:numId="8">
    <w:abstractNumId w:val="0"/>
  </w:num>
  <w:num w:numId="9">
    <w:abstractNumId w:val="10"/>
  </w:num>
  <w:num w:numId="10">
    <w:abstractNumId w:val="2"/>
  </w:num>
  <w:num w:numId="11">
    <w:abstractNumId w:val="12"/>
  </w:num>
  <w:num w:numId="12">
    <w:abstractNumId w:val="11"/>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YTQ0NWFhYTFmNzI1ODgxNjVkMGYyZjMzMGVkMzkifQ=="/>
    <w:docVar w:name="KSO_WPS_MARK_KEY" w:val="88021290-147b-4976-9abb-0cad719b7431"/>
  </w:docVars>
  <w:rsids>
    <w:rsidRoot w:val="00172A27"/>
    <w:rsid w:val="000000F2"/>
    <w:rsid w:val="00000139"/>
    <w:rsid w:val="000045EA"/>
    <w:rsid w:val="00007C3F"/>
    <w:rsid w:val="00007D0F"/>
    <w:rsid w:val="00012671"/>
    <w:rsid w:val="00012D71"/>
    <w:rsid w:val="000143B4"/>
    <w:rsid w:val="000153C5"/>
    <w:rsid w:val="00015B06"/>
    <w:rsid w:val="00022F88"/>
    <w:rsid w:val="000246E5"/>
    <w:rsid w:val="00030F30"/>
    <w:rsid w:val="00041435"/>
    <w:rsid w:val="000437E6"/>
    <w:rsid w:val="00043E88"/>
    <w:rsid w:val="00050898"/>
    <w:rsid w:val="0005200D"/>
    <w:rsid w:val="00053430"/>
    <w:rsid w:val="0006119F"/>
    <w:rsid w:val="000645DE"/>
    <w:rsid w:val="000649D9"/>
    <w:rsid w:val="00064F62"/>
    <w:rsid w:val="00067BAA"/>
    <w:rsid w:val="00070470"/>
    <w:rsid w:val="00074337"/>
    <w:rsid w:val="00081F9C"/>
    <w:rsid w:val="0008222E"/>
    <w:rsid w:val="00092270"/>
    <w:rsid w:val="00092B1B"/>
    <w:rsid w:val="0009493E"/>
    <w:rsid w:val="0009578B"/>
    <w:rsid w:val="00095B78"/>
    <w:rsid w:val="000A0870"/>
    <w:rsid w:val="000A15C0"/>
    <w:rsid w:val="000A1767"/>
    <w:rsid w:val="000A49C9"/>
    <w:rsid w:val="000B34C7"/>
    <w:rsid w:val="000B47F0"/>
    <w:rsid w:val="000B580F"/>
    <w:rsid w:val="000B5BA2"/>
    <w:rsid w:val="000B7740"/>
    <w:rsid w:val="000C1668"/>
    <w:rsid w:val="000C1D2F"/>
    <w:rsid w:val="000C20C1"/>
    <w:rsid w:val="000C2569"/>
    <w:rsid w:val="000C32A2"/>
    <w:rsid w:val="000C53FF"/>
    <w:rsid w:val="000C56A1"/>
    <w:rsid w:val="000C68D6"/>
    <w:rsid w:val="000D2B9F"/>
    <w:rsid w:val="000D3045"/>
    <w:rsid w:val="000E072A"/>
    <w:rsid w:val="000E7DA5"/>
    <w:rsid w:val="000F56F5"/>
    <w:rsid w:val="000F5E28"/>
    <w:rsid w:val="000F6EB3"/>
    <w:rsid w:val="00100517"/>
    <w:rsid w:val="00102558"/>
    <w:rsid w:val="0011106B"/>
    <w:rsid w:val="0011296C"/>
    <w:rsid w:val="001207B4"/>
    <w:rsid w:val="00126DC2"/>
    <w:rsid w:val="00126FBA"/>
    <w:rsid w:val="001315CE"/>
    <w:rsid w:val="001315D9"/>
    <w:rsid w:val="00133115"/>
    <w:rsid w:val="00133A8C"/>
    <w:rsid w:val="00135B62"/>
    <w:rsid w:val="00135C49"/>
    <w:rsid w:val="00135CAC"/>
    <w:rsid w:val="00136FF6"/>
    <w:rsid w:val="001411F2"/>
    <w:rsid w:val="00141670"/>
    <w:rsid w:val="001445DC"/>
    <w:rsid w:val="001520D4"/>
    <w:rsid w:val="0015296D"/>
    <w:rsid w:val="00155FD4"/>
    <w:rsid w:val="00157033"/>
    <w:rsid w:val="001573CC"/>
    <w:rsid w:val="0017175E"/>
    <w:rsid w:val="0017442C"/>
    <w:rsid w:val="00180594"/>
    <w:rsid w:val="00183519"/>
    <w:rsid w:val="001847D7"/>
    <w:rsid w:val="00184CF1"/>
    <w:rsid w:val="00186A28"/>
    <w:rsid w:val="00190130"/>
    <w:rsid w:val="00190B14"/>
    <w:rsid w:val="001A37D3"/>
    <w:rsid w:val="001A3FCA"/>
    <w:rsid w:val="001A4DE3"/>
    <w:rsid w:val="001B0893"/>
    <w:rsid w:val="001B36E7"/>
    <w:rsid w:val="001B51C0"/>
    <w:rsid w:val="001C0C50"/>
    <w:rsid w:val="001C4286"/>
    <w:rsid w:val="001E0D82"/>
    <w:rsid w:val="001E0D93"/>
    <w:rsid w:val="001E5985"/>
    <w:rsid w:val="001E5F4A"/>
    <w:rsid w:val="001E6308"/>
    <w:rsid w:val="001F01A1"/>
    <w:rsid w:val="001F0F70"/>
    <w:rsid w:val="00201DC0"/>
    <w:rsid w:val="002041A6"/>
    <w:rsid w:val="00205033"/>
    <w:rsid w:val="00206D2E"/>
    <w:rsid w:val="00210D44"/>
    <w:rsid w:val="00212AF9"/>
    <w:rsid w:val="0021505D"/>
    <w:rsid w:val="00226768"/>
    <w:rsid w:val="00226771"/>
    <w:rsid w:val="00226B2E"/>
    <w:rsid w:val="00226D0E"/>
    <w:rsid w:val="00233B35"/>
    <w:rsid w:val="00235FAD"/>
    <w:rsid w:val="00237A98"/>
    <w:rsid w:val="00237B66"/>
    <w:rsid w:val="002402C4"/>
    <w:rsid w:val="0024287B"/>
    <w:rsid w:val="002441F7"/>
    <w:rsid w:val="0024741B"/>
    <w:rsid w:val="00261C13"/>
    <w:rsid w:val="00261C93"/>
    <w:rsid w:val="00265564"/>
    <w:rsid w:val="00266870"/>
    <w:rsid w:val="00272F80"/>
    <w:rsid w:val="0027764C"/>
    <w:rsid w:val="0028366D"/>
    <w:rsid w:val="00285273"/>
    <w:rsid w:val="00285531"/>
    <w:rsid w:val="002A056A"/>
    <w:rsid w:val="002A20A0"/>
    <w:rsid w:val="002B1394"/>
    <w:rsid w:val="002C556E"/>
    <w:rsid w:val="002C5B0F"/>
    <w:rsid w:val="002D23D9"/>
    <w:rsid w:val="002D2720"/>
    <w:rsid w:val="002D2931"/>
    <w:rsid w:val="002D6D0E"/>
    <w:rsid w:val="002E190D"/>
    <w:rsid w:val="002E6BE3"/>
    <w:rsid w:val="002E73CC"/>
    <w:rsid w:val="00311468"/>
    <w:rsid w:val="00313976"/>
    <w:rsid w:val="003166B6"/>
    <w:rsid w:val="00316E03"/>
    <w:rsid w:val="003207F4"/>
    <w:rsid w:val="00320BB7"/>
    <w:rsid w:val="00327148"/>
    <w:rsid w:val="00330D78"/>
    <w:rsid w:val="003354EE"/>
    <w:rsid w:val="00336F6C"/>
    <w:rsid w:val="00337C6A"/>
    <w:rsid w:val="00345B87"/>
    <w:rsid w:val="003464E7"/>
    <w:rsid w:val="00353318"/>
    <w:rsid w:val="00354E36"/>
    <w:rsid w:val="003568E4"/>
    <w:rsid w:val="00361313"/>
    <w:rsid w:val="00366002"/>
    <w:rsid w:val="0036732D"/>
    <w:rsid w:val="003706A5"/>
    <w:rsid w:val="003712A4"/>
    <w:rsid w:val="00383573"/>
    <w:rsid w:val="00393EBC"/>
    <w:rsid w:val="00395A23"/>
    <w:rsid w:val="003976C2"/>
    <w:rsid w:val="003976F0"/>
    <w:rsid w:val="003A0C71"/>
    <w:rsid w:val="003A170B"/>
    <w:rsid w:val="003A286A"/>
    <w:rsid w:val="003A7F1A"/>
    <w:rsid w:val="003B097F"/>
    <w:rsid w:val="003B2656"/>
    <w:rsid w:val="003B3099"/>
    <w:rsid w:val="003B3C51"/>
    <w:rsid w:val="003B43D3"/>
    <w:rsid w:val="003B4610"/>
    <w:rsid w:val="003B5109"/>
    <w:rsid w:val="003B6BE9"/>
    <w:rsid w:val="003C312A"/>
    <w:rsid w:val="003C4653"/>
    <w:rsid w:val="003D0506"/>
    <w:rsid w:val="003D17D8"/>
    <w:rsid w:val="003D3A75"/>
    <w:rsid w:val="003D3B2E"/>
    <w:rsid w:val="003D6118"/>
    <w:rsid w:val="003E454F"/>
    <w:rsid w:val="003E6DFB"/>
    <w:rsid w:val="003F1C69"/>
    <w:rsid w:val="003F2270"/>
    <w:rsid w:val="003F746F"/>
    <w:rsid w:val="004043A2"/>
    <w:rsid w:val="004117BD"/>
    <w:rsid w:val="00412A48"/>
    <w:rsid w:val="00414B71"/>
    <w:rsid w:val="00417574"/>
    <w:rsid w:val="004215F1"/>
    <w:rsid w:val="0042215D"/>
    <w:rsid w:val="00425513"/>
    <w:rsid w:val="0043285C"/>
    <w:rsid w:val="00436E82"/>
    <w:rsid w:val="00437188"/>
    <w:rsid w:val="00440F9A"/>
    <w:rsid w:val="00441161"/>
    <w:rsid w:val="00443ADE"/>
    <w:rsid w:val="0044418D"/>
    <w:rsid w:val="004444B9"/>
    <w:rsid w:val="004518D2"/>
    <w:rsid w:val="0045479E"/>
    <w:rsid w:val="004632AA"/>
    <w:rsid w:val="00464EF1"/>
    <w:rsid w:val="00466E82"/>
    <w:rsid w:val="00473B02"/>
    <w:rsid w:val="00476FBE"/>
    <w:rsid w:val="00483264"/>
    <w:rsid w:val="00483FD0"/>
    <w:rsid w:val="004918F3"/>
    <w:rsid w:val="00496DFD"/>
    <w:rsid w:val="004A0C16"/>
    <w:rsid w:val="004A0D30"/>
    <w:rsid w:val="004A5543"/>
    <w:rsid w:val="004A585E"/>
    <w:rsid w:val="004A6BD6"/>
    <w:rsid w:val="004B1E96"/>
    <w:rsid w:val="004B508D"/>
    <w:rsid w:val="004B62C0"/>
    <w:rsid w:val="004B6350"/>
    <w:rsid w:val="004C09AF"/>
    <w:rsid w:val="004C28A9"/>
    <w:rsid w:val="004C3243"/>
    <w:rsid w:val="004C7017"/>
    <w:rsid w:val="004D03B0"/>
    <w:rsid w:val="004D1018"/>
    <w:rsid w:val="004D449E"/>
    <w:rsid w:val="004D4C3A"/>
    <w:rsid w:val="004E0AD3"/>
    <w:rsid w:val="004E12DE"/>
    <w:rsid w:val="004E3041"/>
    <w:rsid w:val="004F6E95"/>
    <w:rsid w:val="00500C4A"/>
    <w:rsid w:val="00505261"/>
    <w:rsid w:val="00507578"/>
    <w:rsid w:val="00510E4D"/>
    <w:rsid w:val="00512701"/>
    <w:rsid w:val="00512A45"/>
    <w:rsid w:val="00517012"/>
    <w:rsid w:val="005179CA"/>
    <w:rsid w:val="00525916"/>
    <w:rsid w:val="0052634A"/>
    <w:rsid w:val="00532363"/>
    <w:rsid w:val="00541401"/>
    <w:rsid w:val="005418DB"/>
    <w:rsid w:val="0054269C"/>
    <w:rsid w:val="005448AD"/>
    <w:rsid w:val="00545844"/>
    <w:rsid w:val="00545C28"/>
    <w:rsid w:val="005470DC"/>
    <w:rsid w:val="00562190"/>
    <w:rsid w:val="005639E1"/>
    <w:rsid w:val="00564C20"/>
    <w:rsid w:val="00571D43"/>
    <w:rsid w:val="00574C3B"/>
    <w:rsid w:val="00575AB8"/>
    <w:rsid w:val="0057690D"/>
    <w:rsid w:val="00584B6B"/>
    <w:rsid w:val="00586EEC"/>
    <w:rsid w:val="00587B70"/>
    <w:rsid w:val="00590D98"/>
    <w:rsid w:val="005A1A6A"/>
    <w:rsid w:val="005A2E67"/>
    <w:rsid w:val="005A5B47"/>
    <w:rsid w:val="005B01E0"/>
    <w:rsid w:val="005B13C6"/>
    <w:rsid w:val="005B2E43"/>
    <w:rsid w:val="005B439E"/>
    <w:rsid w:val="005C0AA6"/>
    <w:rsid w:val="005C5759"/>
    <w:rsid w:val="005C5B0E"/>
    <w:rsid w:val="005C6881"/>
    <w:rsid w:val="005D0204"/>
    <w:rsid w:val="005D0BB2"/>
    <w:rsid w:val="005D1CA7"/>
    <w:rsid w:val="005D2E70"/>
    <w:rsid w:val="005D30DE"/>
    <w:rsid w:val="005D3FBE"/>
    <w:rsid w:val="005E5912"/>
    <w:rsid w:val="005F2A05"/>
    <w:rsid w:val="005F2C46"/>
    <w:rsid w:val="005F5B89"/>
    <w:rsid w:val="00606397"/>
    <w:rsid w:val="006173A4"/>
    <w:rsid w:val="00622520"/>
    <w:rsid w:val="00624673"/>
    <w:rsid w:val="00627505"/>
    <w:rsid w:val="006279E7"/>
    <w:rsid w:val="00634596"/>
    <w:rsid w:val="006425FA"/>
    <w:rsid w:val="00642B95"/>
    <w:rsid w:val="00644532"/>
    <w:rsid w:val="006457FD"/>
    <w:rsid w:val="00647559"/>
    <w:rsid w:val="00651F7F"/>
    <w:rsid w:val="006523EB"/>
    <w:rsid w:val="00653C14"/>
    <w:rsid w:val="0065460D"/>
    <w:rsid w:val="0066001D"/>
    <w:rsid w:val="0066187E"/>
    <w:rsid w:val="006679DC"/>
    <w:rsid w:val="00670400"/>
    <w:rsid w:val="006724B7"/>
    <w:rsid w:val="00672F69"/>
    <w:rsid w:val="00677925"/>
    <w:rsid w:val="00677A8A"/>
    <w:rsid w:val="00683396"/>
    <w:rsid w:val="00690FA6"/>
    <w:rsid w:val="006922EC"/>
    <w:rsid w:val="00693DF4"/>
    <w:rsid w:val="00695EDE"/>
    <w:rsid w:val="006A23E9"/>
    <w:rsid w:val="006A2F07"/>
    <w:rsid w:val="006A4D72"/>
    <w:rsid w:val="006A543A"/>
    <w:rsid w:val="006A74C5"/>
    <w:rsid w:val="006B6F3C"/>
    <w:rsid w:val="006B7962"/>
    <w:rsid w:val="006C2D0C"/>
    <w:rsid w:val="006C4DC3"/>
    <w:rsid w:val="006C77CD"/>
    <w:rsid w:val="006D4826"/>
    <w:rsid w:val="006E1C8A"/>
    <w:rsid w:val="006F48AD"/>
    <w:rsid w:val="006F51E1"/>
    <w:rsid w:val="006F56A7"/>
    <w:rsid w:val="006F629E"/>
    <w:rsid w:val="007032FC"/>
    <w:rsid w:val="00703D29"/>
    <w:rsid w:val="00703F0B"/>
    <w:rsid w:val="007076B1"/>
    <w:rsid w:val="00712A8D"/>
    <w:rsid w:val="0071330B"/>
    <w:rsid w:val="00722F66"/>
    <w:rsid w:val="00722FCE"/>
    <w:rsid w:val="007258A2"/>
    <w:rsid w:val="007325A0"/>
    <w:rsid w:val="00733600"/>
    <w:rsid w:val="007339A9"/>
    <w:rsid w:val="007345D7"/>
    <w:rsid w:val="00735BD4"/>
    <w:rsid w:val="00737A61"/>
    <w:rsid w:val="00741B8D"/>
    <w:rsid w:val="00746901"/>
    <w:rsid w:val="00750C92"/>
    <w:rsid w:val="00751CDD"/>
    <w:rsid w:val="00753178"/>
    <w:rsid w:val="00754FB0"/>
    <w:rsid w:val="00756CAA"/>
    <w:rsid w:val="007619A3"/>
    <w:rsid w:val="00762CB8"/>
    <w:rsid w:val="0077088A"/>
    <w:rsid w:val="00773380"/>
    <w:rsid w:val="007808DF"/>
    <w:rsid w:val="00781088"/>
    <w:rsid w:val="00785F88"/>
    <w:rsid w:val="00786B37"/>
    <w:rsid w:val="00792362"/>
    <w:rsid w:val="00792DB5"/>
    <w:rsid w:val="007A04DC"/>
    <w:rsid w:val="007A287A"/>
    <w:rsid w:val="007A2EB0"/>
    <w:rsid w:val="007A2F44"/>
    <w:rsid w:val="007B04FF"/>
    <w:rsid w:val="007B38CA"/>
    <w:rsid w:val="007B6DA0"/>
    <w:rsid w:val="007C15ED"/>
    <w:rsid w:val="007C19AE"/>
    <w:rsid w:val="007C2CCC"/>
    <w:rsid w:val="007C337F"/>
    <w:rsid w:val="007C5E92"/>
    <w:rsid w:val="007D0888"/>
    <w:rsid w:val="007D15E0"/>
    <w:rsid w:val="007D1BCF"/>
    <w:rsid w:val="007D2A21"/>
    <w:rsid w:val="007D2FAE"/>
    <w:rsid w:val="007D399D"/>
    <w:rsid w:val="007D47B8"/>
    <w:rsid w:val="007D59AF"/>
    <w:rsid w:val="007D7DEB"/>
    <w:rsid w:val="007F0619"/>
    <w:rsid w:val="007F28DB"/>
    <w:rsid w:val="007F4345"/>
    <w:rsid w:val="0080289D"/>
    <w:rsid w:val="00803C1E"/>
    <w:rsid w:val="00804954"/>
    <w:rsid w:val="008057F1"/>
    <w:rsid w:val="00810B98"/>
    <w:rsid w:val="0081164E"/>
    <w:rsid w:val="00813A89"/>
    <w:rsid w:val="0081520A"/>
    <w:rsid w:val="00816129"/>
    <w:rsid w:val="008177BD"/>
    <w:rsid w:val="00824189"/>
    <w:rsid w:val="008252F0"/>
    <w:rsid w:val="00825CDA"/>
    <w:rsid w:val="00826A20"/>
    <w:rsid w:val="00826EBD"/>
    <w:rsid w:val="0083668C"/>
    <w:rsid w:val="00840E0D"/>
    <w:rsid w:val="008461E9"/>
    <w:rsid w:val="008475AA"/>
    <w:rsid w:val="00852234"/>
    <w:rsid w:val="00854482"/>
    <w:rsid w:val="00856873"/>
    <w:rsid w:val="00860F02"/>
    <w:rsid w:val="00861912"/>
    <w:rsid w:val="008657A4"/>
    <w:rsid w:val="0086730C"/>
    <w:rsid w:val="00871B1E"/>
    <w:rsid w:val="00871EE6"/>
    <w:rsid w:val="00877F0C"/>
    <w:rsid w:val="0088026D"/>
    <w:rsid w:val="00881EB7"/>
    <w:rsid w:val="00884884"/>
    <w:rsid w:val="0088570D"/>
    <w:rsid w:val="00887902"/>
    <w:rsid w:val="00887983"/>
    <w:rsid w:val="00891420"/>
    <w:rsid w:val="008925F2"/>
    <w:rsid w:val="00892829"/>
    <w:rsid w:val="00895FBB"/>
    <w:rsid w:val="008A0C18"/>
    <w:rsid w:val="008A1E1B"/>
    <w:rsid w:val="008B0302"/>
    <w:rsid w:val="008B0655"/>
    <w:rsid w:val="008B0696"/>
    <w:rsid w:val="008B224C"/>
    <w:rsid w:val="008B6854"/>
    <w:rsid w:val="008B6EFB"/>
    <w:rsid w:val="008C0265"/>
    <w:rsid w:val="008C0CEF"/>
    <w:rsid w:val="008C1BE4"/>
    <w:rsid w:val="008C2226"/>
    <w:rsid w:val="008C77F8"/>
    <w:rsid w:val="008D2976"/>
    <w:rsid w:val="008D727A"/>
    <w:rsid w:val="008E500C"/>
    <w:rsid w:val="008F2A48"/>
    <w:rsid w:val="008F720F"/>
    <w:rsid w:val="009010FB"/>
    <w:rsid w:val="009021F6"/>
    <w:rsid w:val="00902910"/>
    <w:rsid w:val="00904592"/>
    <w:rsid w:val="00906D34"/>
    <w:rsid w:val="009103FB"/>
    <w:rsid w:val="009112F1"/>
    <w:rsid w:val="009120C7"/>
    <w:rsid w:val="009123C5"/>
    <w:rsid w:val="009149F0"/>
    <w:rsid w:val="00916179"/>
    <w:rsid w:val="00917615"/>
    <w:rsid w:val="00921A28"/>
    <w:rsid w:val="00925337"/>
    <w:rsid w:val="00931174"/>
    <w:rsid w:val="009352E0"/>
    <w:rsid w:val="00937B1F"/>
    <w:rsid w:val="0094110B"/>
    <w:rsid w:val="00943AAF"/>
    <w:rsid w:val="00944B82"/>
    <w:rsid w:val="00945006"/>
    <w:rsid w:val="009451A1"/>
    <w:rsid w:val="00952E2E"/>
    <w:rsid w:val="00956B31"/>
    <w:rsid w:val="00956FA8"/>
    <w:rsid w:val="00957AA0"/>
    <w:rsid w:val="009604CB"/>
    <w:rsid w:val="00961F4A"/>
    <w:rsid w:val="009620BE"/>
    <w:rsid w:val="00965538"/>
    <w:rsid w:val="0097464F"/>
    <w:rsid w:val="00984BFB"/>
    <w:rsid w:val="009912C9"/>
    <w:rsid w:val="00991B49"/>
    <w:rsid w:val="009932AA"/>
    <w:rsid w:val="00995A55"/>
    <w:rsid w:val="009A7B76"/>
    <w:rsid w:val="009B0988"/>
    <w:rsid w:val="009B66CC"/>
    <w:rsid w:val="009C5DF4"/>
    <w:rsid w:val="009C7AF9"/>
    <w:rsid w:val="009D12B7"/>
    <w:rsid w:val="009D3453"/>
    <w:rsid w:val="009D74A2"/>
    <w:rsid w:val="009E1329"/>
    <w:rsid w:val="009E28E5"/>
    <w:rsid w:val="009E4CE3"/>
    <w:rsid w:val="009E530D"/>
    <w:rsid w:val="009F1549"/>
    <w:rsid w:val="009F214A"/>
    <w:rsid w:val="009F374F"/>
    <w:rsid w:val="009F3F98"/>
    <w:rsid w:val="009F588C"/>
    <w:rsid w:val="00A02C14"/>
    <w:rsid w:val="00A03373"/>
    <w:rsid w:val="00A05ECF"/>
    <w:rsid w:val="00A07012"/>
    <w:rsid w:val="00A11C51"/>
    <w:rsid w:val="00A1337E"/>
    <w:rsid w:val="00A2023E"/>
    <w:rsid w:val="00A249A4"/>
    <w:rsid w:val="00A2528E"/>
    <w:rsid w:val="00A34C49"/>
    <w:rsid w:val="00A450AA"/>
    <w:rsid w:val="00A461C1"/>
    <w:rsid w:val="00A52C1B"/>
    <w:rsid w:val="00A53C2C"/>
    <w:rsid w:val="00A54B67"/>
    <w:rsid w:val="00A54F86"/>
    <w:rsid w:val="00A615BB"/>
    <w:rsid w:val="00A63392"/>
    <w:rsid w:val="00A722C5"/>
    <w:rsid w:val="00A8049B"/>
    <w:rsid w:val="00A83B99"/>
    <w:rsid w:val="00A859DC"/>
    <w:rsid w:val="00A872DA"/>
    <w:rsid w:val="00A9122E"/>
    <w:rsid w:val="00A91F36"/>
    <w:rsid w:val="00A93777"/>
    <w:rsid w:val="00A93A7F"/>
    <w:rsid w:val="00A94CC2"/>
    <w:rsid w:val="00AA0FB3"/>
    <w:rsid w:val="00AA140A"/>
    <w:rsid w:val="00AA64EA"/>
    <w:rsid w:val="00AB6B27"/>
    <w:rsid w:val="00AC056E"/>
    <w:rsid w:val="00AD6B25"/>
    <w:rsid w:val="00AD6ED0"/>
    <w:rsid w:val="00AD73A3"/>
    <w:rsid w:val="00AE043C"/>
    <w:rsid w:val="00AE2C17"/>
    <w:rsid w:val="00AE5333"/>
    <w:rsid w:val="00AE6F3C"/>
    <w:rsid w:val="00AF196A"/>
    <w:rsid w:val="00AF3CC8"/>
    <w:rsid w:val="00AF54E1"/>
    <w:rsid w:val="00B04E81"/>
    <w:rsid w:val="00B1360D"/>
    <w:rsid w:val="00B14E6B"/>
    <w:rsid w:val="00B16089"/>
    <w:rsid w:val="00B1754B"/>
    <w:rsid w:val="00B266B6"/>
    <w:rsid w:val="00B31CA2"/>
    <w:rsid w:val="00B327E3"/>
    <w:rsid w:val="00B448CF"/>
    <w:rsid w:val="00B457D5"/>
    <w:rsid w:val="00B47764"/>
    <w:rsid w:val="00B4784E"/>
    <w:rsid w:val="00B5294B"/>
    <w:rsid w:val="00B52D63"/>
    <w:rsid w:val="00B61E59"/>
    <w:rsid w:val="00B62476"/>
    <w:rsid w:val="00B67011"/>
    <w:rsid w:val="00B71D9B"/>
    <w:rsid w:val="00B73134"/>
    <w:rsid w:val="00B80D2F"/>
    <w:rsid w:val="00B82E58"/>
    <w:rsid w:val="00B84F33"/>
    <w:rsid w:val="00B863CD"/>
    <w:rsid w:val="00B90EB4"/>
    <w:rsid w:val="00B96A2A"/>
    <w:rsid w:val="00B97802"/>
    <w:rsid w:val="00BA0E5D"/>
    <w:rsid w:val="00BA3124"/>
    <w:rsid w:val="00BA37AA"/>
    <w:rsid w:val="00BA430E"/>
    <w:rsid w:val="00BA47FF"/>
    <w:rsid w:val="00BA55B3"/>
    <w:rsid w:val="00BB2B84"/>
    <w:rsid w:val="00BC27C8"/>
    <w:rsid w:val="00BC6146"/>
    <w:rsid w:val="00BC7F03"/>
    <w:rsid w:val="00BD228F"/>
    <w:rsid w:val="00BD389A"/>
    <w:rsid w:val="00BD67D8"/>
    <w:rsid w:val="00BE0E72"/>
    <w:rsid w:val="00BE2F9C"/>
    <w:rsid w:val="00BE3C13"/>
    <w:rsid w:val="00BE51E0"/>
    <w:rsid w:val="00BE6FF1"/>
    <w:rsid w:val="00BF3812"/>
    <w:rsid w:val="00BF4099"/>
    <w:rsid w:val="00BF5EC4"/>
    <w:rsid w:val="00C06754"/>
    <w:rsid w:val="00C07A4F"/>
    <w:rsid w:val="00C13489"/>
    <w:rsid w:val="00C244BA"/>
    <w:rsid w:val="00C254EC"/>
    <w:rsid w:val="00C25AD7"/>
    <w:rsid w:val="00C31620"/>
    <w:rsid w:val="00C35A6C"/>
    <w:rsid w:val="00C3605A"/>
    <w:rsid w:val="00C40424"/>
    <w:rsid w:val="00C4070E"/>
    <w:rsid w:val="00C446BE"/>
    <w:rsid w:val="00C46538"/>
    <w:rsid w:val="00C46568"/>
    <w:rsid w:val="00C519A3"/>
    <w:rsid w:val="00C524FA"/>
    <w:rsid w:val="00C5356C"/>
    <w:rsid w:val="00C557E5"/>
    <w:rsid w:val="00C61DF1"/>
    <w:rsid w:val="00C636A8"/>
    <w:rsid w:val="00C6379C"/>
    <w:rsid w:val="00C645B2"/>
    <w:rsid w:val="00C649A3"/>
    <w:rsid w:val="00C64C38"/>
    <w:rsid w:val="00C64D53"/>
    <w:rsid w:val="00C67B6C"/>
    <w:rsid w:val="00C716E6"/>
    <w:rsid w:val="00C738D8"/>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1E6"/>
    <w:rsid w:val="00CC6D92"/>
    <w:rsid w:val="00CD04A5"/>
    <w:rsid w:val="00CD0CA9"/>
    <w:rsid w:val="00CD3C2F"/>
    <w:rsid w:val="00CD7D67"/>
    <w:rsid w:val="00CE01EF"/>
    <w:rsid w:val="00CE69E8"/>
    <w:rsid w:val="00CF001A"/>
    <w:rsid w:val="00CF355D"/>
    <w:rsid w:val="00CF4EE2"/>
    <w:rsid w:val="00D0134F"/>
    <w:rsid w:val="00D0202D"/>
    <w:rsid w:val="00D037DA"/>
    <w:rsid w:val="00D06A07"/>
    <w:rsid w:val="00D14665"/>
    <w:rsid w:val="00D14E99"/>
    <w:rsid w:val="00D1571D"/>
    <w:rsid w:val="00D21E36"/>
    <w:rsid w:val="00D22F96"/>
    <w:rsid w:val="00D2321E"/>
    <w:rsid w:val="00D23492"/>
    <w:rsid w:val="00D26520"/>
    <w:rsid w:val="00D277F8"/>
    <w:rsid w:val="00D300DD"/>
    <w:rsid w:val="00D44F13"/>
    <w:rsid w:val="00D46020"/>
    <w:rsid w:val="00D479CD"/>
    <w:rsid w:val="00D6035F"/>
    <w:rsid w:val="00D74E9C"/>
    <w:rsid w:val="00D829D0"/>
    <w:rsid w:val="00D83BA3"/>
    <w:rsid w:val="00D83FEB"/>
    <w:rsid w:val="00D841A1"/>
    <w:rsid w:val="00D84F11"/>
    <w:rsid w:val="00D92C17"/>
    <w:rsid w:val="00D930BB"/>
    <w:rsid w:val="00D932AD"/>
    <w:rsid w:val="00D93779"/>
    <w:rsid w:val="00D95A48"/>
    <w:rsid w:val="00D95A4C"/>
    <w:rsid w:val="00D964EF"/>
    <w:rsid w:val="00D967A2"/>
    <w:rsid w:val="00D96D37"/>
    <w:rsid w:val="00DB181C"/>
    <w:rsid w:val="00DD0759"/>
    <w:rsid w:val="00DD645E"/>
    <w:rsid w:val="00DE249D"/>
    <w:rsid w:val="00DE4CB0"/>
    <w:rsid w:val="00DE5EAC"/>
    <w:rsid w:val="00DE77B9"/>
    <w:rsid w:val="00DF13EC"/>
    <w:rsid w:val="00E02431"/>
    <w:rsid w:val="00E03C51"/>
    <w:rsid w:val="00E11081"/>
    <w:rsid w:val="00E11C3A"/>
    <w:rsid w:val="00E22781"/>
    <w:rsid w:val="00E255AC"/>
    <w:rsid w:val="00E26053"/>
    <w:rsid w:val="00E305F9"/>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67D6"/>
    <w:rsid w:val="00E8709E"/>
    <w:rsid w:val="00E93BCC"/>
    <w:rsid w:val="00E9439E"/>
    <w:rsid w:val="00E96E54"/>
    <w:rsid w:val="00EA11E5"/>
    <w:rsid w:val="00EA1ED7"/>
    <w:rsid w:val="00EA45BE"/>
    <w:rsid w:val="00EA5C66"/>
    <w:rsid w:val="00EA7D2D"/>
    <w:rsid w:val="00EB0C24"/>
    <w:rsid w:val="00EB7510"/>
    <w:rsid w:val="00EC2D7B"/>
    <w:rsid w:val="00EC4905"/>
    <w:rsid w:val="00EC5B8E"/>
    <w:rsid w:val="00EC7653"/>
    <w:rsid w:val="00ED5241"/>
    <w:rsid w:val="00ED64CD"/>
    <w:rsid w:val="00ED7DBB"/>
    <w:rsid w:val="00EE5896"/>
    <w:rsid w:val="00EE6E83"/>
    <w:rsid w:val="00EF20F4"/>
    <w:rsid w:val="00EF2D43"/>
    <w:rsid w:val="00EF2D68"/>
    <w:rsid w:val="00EF5BD9"/>
    <w:rsid w:val="00EF6456"/>
    <w:rsid w:val="00F03403"/>
    <w:rsid w:val="00F06631"/>
    <w:rsid w:val="00F115E5"/>
    <w:rsid w:val="00F121C0"/>
    <w:rsid w:val="00F1492D"/>
    <w:rsid w:val="00F2140E"/>
    <w:rsid w:val="00F21E0F"/>
    <w:rsid w:val="00F275D0"/>
    <w:rsid w:val="00F33035"/>
    <w:rsid w:val="00F331FE"/>
    <w:rsid w:val="00F344D6"/>
    <w:rsid w:val="00F35244"/>
    <w:rsid w:val="00F35F13"/>
    <w:rsid w:val="00F37250"/>
    <w:rsid w:val="00F3752A"/>
    <w:rsid w:val="00F40FBF"/>
    <w:rsid w:val="00F41ABA"/>
    <w:rsid w:val="00F43D41"/>
    <w:rsid w:val="00F502E0"/>
    <w:rsid w:val="00F52F5A"/>
    <w:rsid w:val="00F550F5"/>
    <w:rsid w:val="00F56501"/>
    <w:rsid w:val="00F603CC"/>
    <w:rsid w:val="00F70419"/>
    <w:rsid w:val="00F74EBD"/>
    <w:rsid w:val="00F80561"/>
    <w:rsid w:val="00F80DDA"/>
    <w:rsid w:val="00F82ADB"/>
    <w:rsid w:val="00F831B3"/>
    <w:rsid w:val="00F86B8B"/>
    <w:rsid w:val="00F8733F"/>
    <w:rsid w:val="00F94057"/>
    <w:rsid w:val="00FA73E0"/>
    <w:rsid w:val="00FB3AAB"/>
    <w:rsid w:val="00FC02B4"/>
    <w:rsid w:val="00FD1370"/>
    <w:rsid w:val="00FD2D14"/>
    <w:rsid w:val="00FD5F55"/>
    <w:rsid w:val="00FE3364"/>
    <w:rsid w:val="00FE4AEE"/>
    <w:rsid w:val="00FE6711"/>
    <w:rsid w:val="00FF2D5E"/>
    <w:rsid w:val="00FF3FB5"/>
    <w:rsid w:val="00FF5A2F"/>
    <w:rsid w:val="01931D25"/>
    <w:rsid w:val="01D73702"/>
    <w:rsid w:val="02050299"/>
    <w:rsid w:val="022C71BD"/>
    <w:rsid w:val="02741B48"/>
    <w:rsid w:val="02982B8B"/>
    <w:rsid w:val="02B0261F"/>
    <w:rsid w:val="02E826FD"/>
    <w:rsid w:val="03532FA6"/>
    <w:rsid w:val="03A27FDE"/>
    <w:rsid w:val="03BD3D36"/>
    <w:rsid w:val="03DC17E3"/>
    <w:rsid w:val="041472D6"/>
    <w:rsid w:val="043467F3"/>
    <w:rsid w:val="04A258FF"/>
    <w:rsid w:val="04AB5538"/>
    <w:rsid w:val="04B56FFC"/>
    <w:rsid w:val="05093F9D"/>
    <w:rsid w:val="0590322C"/>
    <w:rsid w:val="05AA653C"/>
    <w:rsid w:val="06377F9B"/>
    <w:rsid w:val="065A06FB"/>
    <w:rsid w:val="06E774C5"/>
    <w:rsid w:val="06F24C32"/>
    <w:rsid w:val="06F4320E"/>
    <w:rsid w:val="07002189"/>
    <w:rsid w:val="07057008"/>
    <w:rsid w:val="07131EBF"/>
    <w:rsid w:val="074B5DC3"/>
    <w:rsid w:val="07A15B45"/>
    <w:rsid w:val="07CA2FAC"/>
    <w:rsid w:val="07D83FA0"/>
    <w:rsid w:val="081751D4"/>
    <w:rsid w:val="081859DF"/>
    <w:rsid w:val="08597DA5"/>
    <w:rsid w:val="08971C5B"/>
    <w:rsid w:val="09062A4A"/>
    <w:rsid w:val="09077ABD"/>
    <w:rsid w:val="091B6C1C"/>
    <w:rsid w:val="09417BAA"/>
    <w:rsid w:val="098A1205"/>
    <w:rsid w:val="09DA06B8"/>
    <w:rsid w:val="09E37F70"/>
    <w:rsid w:val="0A34391E"/>
    <w:rsid w:val="0A526203"/>
    <w:rsid w:val="0AA65EBF"/>
    <w:rsid w:val="0ADF5149"/>
    <w:rsid w:val="0AEF37B3"/>
    <w:rsid w:val="0B1A2EE8"/>
    <w:rsid w:val="0B330FE2"/>
    <w:rsid w:val="0B331CC2"/>
    <w:rsid w:val="0B380146"/>
    <w:rsid w:val="0BA2166C"/>
    <w:rsid w:val="0BDA548E"/>
    <w:rsid w:val="0BFC38B9"/>
    <w:rsid w:val="0C211877"/>
    <w:rsid w:val="0C2B27AC"/>
    <w:rsid w:val="0C341B7B"/>
    <w:rsid w:val="0C656D19"/>
    <w:rsid w:val="0C735F2D"/>
    <w:rsid w:val="0C9E0E40"/>
    <w:rsid w:val="0CA1065F"/>
    <w:rsid w:val="0CDC0361"/>
    <w:rsid w:val="0CFE5E3A"/>
    <w:rsid w:val="0D0429D6"/>
    <w:rsid w:val="0D0A57A7"/>
    <w:rsid w:val="0D460BF6"/>
    <w:rsid w:val="0D850E58"/>
    <w:rsid w:val="0D9A41BC"/>
    <w:rsid w:val="0D9B7E75"/>
    <w:rsid w:val="0DA16E77"/>
    <w:rsid w:val="0DE16BD7"/>
    <w:rsid w:val="0E250E55"/>
    <w:rsid w:val="0ECC12D1"/>
    <w:rsid w:val="0ED61827"/>
    <w:rsid w:val="0FA17473"/>
    <w:rsid w:val="0FBA1BF8"/>
    <w:rsid w:val="0FCB1378"/>
    <w:rsid w:val="0FD77389"/>
    <w:rsid w:val="0FDA6697"/>
    <w:rsid w:val="10072427"/>
    <w:rsid w:val="108A31F2"/>
    <w:rsid w:val="109F647B"/>
    <w:rsid w:val="10A357D8"/>
    <w:rsid w:val="10CB76D4"/>
    <w:rsid w:val="11524D90"/>
    <w:rsid w:val="11B80EC8"/>
    <w:rsid w:val="11BF6026"/>
    <w:rsid w:val="11CC6F30"/>
    <w:rsid w:val="12B56815"/>
    <w:rsid w:val="12F658B3"/>
    <w:rsid w:val="136D4045"/>
    <w:rsid w:val="138B101F"/>
    <w:rsid w:val="13E36028"/>
    <w:rsid w:val="13FE76FB"/>
    <w:rsid w:val="142C45C0"/>
    <w:rsid w:val="142F43C4"/>
    <w:rsid w:val="14391EBC"/>
    <w:rsid w:val="14A61F77"/>
    <w:rsid w:val="14A83E1E"/>
    <w:rsid w:val="14C34F24"/>
    <w:rsid w:val="14D7514B"/>
    <w:rsid w:val="15143415"/>
    <w:rsid w:val="153D191B"/>
    <w:rsid w:val="15537438"/>
    <w:rsid w:val="15BC62C4"/>
    <w:rsid w:val="162304A9"/>
    <w:rsid w:val="16450C97"/>
    <w:rsid w:val="165840B5"/>
    <w:rsid w:val="16C62AF7"/>
    <w:rsid w:val="16C73B21"/>
    <w:rsid w:val="16C872BC"/>
    <w:rsid w:val="16EA6AE9"/>
    <w:rsid w:val="170822A7"/>
    <w:rsid w:val="17595E53"/>
    <w:rsid w:val="17693981"/>
    <w:rsid w:val="178526DD"/>
    <w:rsid w:val="17E7723B"/>
    <w:rsid w:val="17FD7140"/>
    <w:rsid w:val="182072A4"/>
    <w:rsid w:val="185E0ADF"/>
    <w:rsid w:val="186837A2"/>
    <w:rsid w:val="18790093"/>
    <w:rsid w:val="18A73166"/>
    <w:rsid w:val="18B2778A"/>
    <w:rsid w:val="18CE0525"/>
    <w:rsid w:val="193E5369"/>
    <w:rsid w:val="195C3428"/>
    <w:rsid w:val="198F297E"/>
    <w:rsid w:val="19D968D8"/>
    <w:rsid w:val="1A325A0A"/>
    <w:rsid w:val="1AEB78E6"/>
    <w:rsid w:val="1BC07C10"/>
    <w:rsid w:val="1BF8705E"/>
    <w:rsid w:val="1C416732"/>
    <w:rsid w:val="1CF157CF"/>
    <w:rsid w:val="1D1175F9"/>
    <w:rsid w:val="1D20640B"/>
    <w:rsid w:val="1D2652DF"/>
    <w:rsid w:val="1DA309DB"/>
    <w:rsid w:val="1DEC5EE7"/>
    <w:rsid w:val="1DF443A0"/>
    <w:rsid w:val="1E2506ED"/>
    <w:rsid w:val="1E310D67"/>
    <w:rsid w:val="1E4E4164"/>
    <w:rsid w:val="1E4F67AE"/>
    <w:rsid w:val="1E533D00"/>
    <w:rsid w:val="1E92683A"/>
    <w:rsid w:val="1E992EA6"/>
    <w:rsid w:val="1EAB0141"/>
    <w:rsid w:val="1F2F512A"/>
    <w:rsid w:val="1F585CFC"/>
    <w:rsid w:val="1F662DBD"/>
    <w:rsid w:val="1F725BF5"/>
    <w:rsid w:val="1F7E19C3"/>
    <w:rsid w:val="1FCD0633"/>
    <w:rsid w:val="2011113D"/>
    <w:rsid w:val="202D72FE"/>
    <w:rsid w:val="20353462"/>
    <w:rsid w:val="20580C17"/>
    <w:rsid w:val="20A7394C"/>
    <w:rsid w:val="20C619DA"/>
    <w:rsid w:val="20E656E0"/>
    <w:rsid w:val="211B69CF"/>
    <w:rsid w:val="21A60CA8"/>
    <w:rsid w:val="21A977C5"/>
    <w:rsid w:val="21DC7C19"/>
    <w:rsid w:val="21E84F63"/>
    <w:rsid w:val="221451BC"/>
    <w:rsid w:val="224C1304"/>
    <w:rsid w:val="23192EA4"/>
    <w:rsid w:val="231F28AF"/>
    <w:rsid w:val="233F7861"/>
    <w:rsid w:val="2384756A"/>
    <w:rsid w:val="23A06601"/>
    <w:rsid w:val="23AA6C7F"/>
    <w:rsid w:val="23C61050"/>
    <w:rsid w:val="23C864C0"/>
    <w:rsid w:val="23FE2E8A"/>
    <w:rsid w:val="24192F4D"/>
    <w:rsid w:val="24365E92"/>
    <w:rsid w:val="24767F2E"/>
    <w:rsid w:val="249E6E14"/>
    <w:rsid w:val="24C83E91"/>
    <w:rsid w:val="24E97644"/>
    <w:rsid w:val="24F12BA4"/>
    <w:rsid w:val="24F77760"/>
    <w:rsid w:val="257505F6"/>
    <w:rsid w:val="25A36ABF"/>
    <w:rsid w:val="25B00242"/>
    <w:rsid w:val="25D074A1"/>
    <w:rsid w:val="26103708"/>
    <w:rsid w:val="263E0061"/>
    <w:rsid w:val="26433F0F"/>
    <w:rsid w:val="26A044CD"/>
    <w:rsid w:val="26A30A50"/>
    <w:rsid w:val="26A420F1"/>
    <w:rsid w:val="26E261D6"/>
    <w:rsid w:val="27455C6D"/>
    <w:rsid w:val="27FA6A57"/>
    <w:rsid w:val="281669B5"/>
    <w:rsid w:val="2831562D"/>
    <w:rsid w:val="28583F36"/>
    <w:rsid w:val="285B510C"/>
    <w:rsid w:val="28814A9F"/>
    <w:rsid w:val="298F31CF"/>
    <w:rsid w:val="29CC61D1"/>
    <w:rsid w:val="29FF65A7"/>
    <w:rsid w:val="2A2F03E4"/>
    <w:rsid w:val="2A766F12"/>
    <w:rsid w:val="2A807A33"/>
    <w:rsid w:val="2A834AE2"/>
    <w:rsid w:val="2A8555CF"/>
    <w:rsid w:val="2AAE5141"/>
    <w:rsid w:val="2AC63E3A"/>
    <w:rsid w:val="2AD908DC"/>
    <w:rsid w:val="2BE041B6"/>
    <w:rsid w:val="2C2F3C4E"/>
    <w:rsid w:val="2C5006AD"/>
    <w:rsid w:val="2C950AFD"/>
    <w:rsid w:val="2C9B22E6"/>
    <w:rsid w:val="2CAE7E10"/>
    <w:rsid w:val="2CD177EE"/>
    <w:rsid w:val="2D68207B"/>
    <w:rsid w:val="2D9A265E"/>
    <w:rsid w:val="2DBC34F0"/>
    <w:rsid w:val="2DCA302C"/>
    <w:rsid w:val="2E4D6100"/>
    <w:rsid w:val="2E8D1C8D"/>
    <w:rsid w:val="2E9712D9"/>
    <w:rsid w:val="2F1E028E"/>
    <w:rsid w:val="2F59325D"/>
    <w:rsid w:val="2F6D7B0F"/>
    <w:rsid w:val="2F9A2F5E"/>
    <w:rsid w:val="2FCA0696"/>
    <w:rsid w:val="2FDE6635"/>
    <w:rsid w:val="2FF3196F"/>
    <w:rsid w:val="30154371"/>
    <w:rsid w:val="301819E1"/>
    <w:rsid w:val="302E3EBE"/>
    <w:rsid w:val="30647C7C"/>
    <w:rsid w:val="30761B12"/>
    <w:rsid w:val="30823509"/>
    <w:rsid w:val="30B71106"/>
    <w:rsid w:val="31091261"/>
    <w:rsid w:val="310D1313"/>
    <w:rsid w:val="312A6D66"/>
    <w:rsid w:val="31D077C5"/>
    <w:rsid w:val="320C6026"/>
    <w:rsid w:val="321821BE"/>
    <w:rsid w:val="32294BA7"/>
    <w:rsid w:val="32A97B6A"/>
    <w:rsid w:val="32CF2642"/>
    <w:rsid w:val="32DF0D23"/>
    <w:rsid w:val="32F211F7"/>
    <w:rsid w:val="33133BB4"/>
    <w:rsid w:val="33280313"/>
    <w:rsid w:val="332B6461"/>
    <w:rsid w:val="33694A91"/>
    <w:rsid w:val="339A47FA"/>
    <w:rsid w:val="339B6AD5"/>
    <w:rsid w:val="34EB675E"/>
    <w:rsid w:val="350A3DC1"/>
    <w:rsid w:val="354B1BEC"/>
    <w:rsid w:val="35C1166C"/>
    <w:rsid w:val="35DB1DA8"/>
    <w:rsid w:val="35DC7431"/>
    <w:rsid w:val="35F750FF"/>
    <w:rsid w:val="35FA576C"/>
    <w:rsid w:val="363B2FD9"/>
    <w:rsid w:val="363F7B73"/>
    <w:rsid w:val="366011AB"/>
    <w:rsid w:val="3689216E"/>
    <w:rsid w:val="368E4BD0"/>
    <w:rsid w:val="377C50FB"/>
    <w:rsid w:val="37A12A4B"/>
    <w:rsid w:val="37CA01F4"/>
    <w:rsid w:val="37DD2E4D"/>
    <w:rsid w:val="38103901"/>
    <w:rsid w:val="387D5183"/>
    <w:rsid w:val="38C3368A"/>
    <w:rsid w:val="39081182"/>
    <w:rsid w:val="39291086"/>
    <w:rsid w:val="394675C9"/>
    <w:rsid w:val="396909A8"/>
    <w:rsid w:val="397D41B6"/>
    <w:rsid w:val="39A43E9E"/>
    <w:rsid w:val="39B90C45"/>
    <w:rsid w:val="3A667F7C"/>
    <w:rsid w:val="3A72247D"/>
    <w:rsid w:val="3A9625D3"/>
    <w:rsid w:val="3AC0143A"/>
    <w:rsid w:val="3AEC50AC"/>
    <w:rsid w:val="3AEE5BCA"/>
    <w:rsid w:val="3AFC150B"/>
    <w:rsid w:val="3B0B3DB7"/>
    <w:rsid w:val="3B27634E"/>
    <w:rsid w:val="3B4F27BE"/>
    <w:rsid w:val="3B507960"/>
    <w:rsid w:val="3B9C1EA7"/>
    <w:rsid w:val="3C502C92"/>
    <w:rsid w:val="3C536315"/>
    <w:rsid w:val="3CC11BBD"/>
    <w:rsid w:val="3CDD7E68"/>
    <w:rsid w:val="3CEF7A5F"/>
    <w:rsid w:val="3D11278F"/>
    <w:rsid w:val="3D5972FE"/>
    <w:rsid w:val="3DBD6E6B"/>
    <w:rsid w:val="3DDB2309"/>
    <w:rsid w:val="3E1C7648"/>
    <w:rsid w:val="3E370C7F"/>
    <w:rsid w:val="3E5B3E5B"/>
    <w:rsid w:val="3E7513A8"/>
    <w:rsid w:val="3E806858"/>
    <w:rsid w:val="3EF86FED"/>
    <w:rsid w:val="3F7034A4"/>
    <w:rsid w:val="3F92383F"/>
    <w:rsid w:val="3FA81303"/>
    <w:rsid w:val="3FDF4541"/>
    <w:rsid w:val="402B1DAB"/>
    <w:rsid w:val="403C5B80"/>
    <w:rsid w:val="40880BF2"/>
    <w:rsid w:val="409148B3"/>
    <w:rsid w:val="40D57DED"/>
    <w:rsid w:val="40D83EF0"/>
    <w:rsid w:val="40E24800"/>
    <w:rsid w:val="41682F77"/>
    <w:rsid w:val="4183336E"/>
    <w:rsid w:val="41836991"/>
    <w:rsid w:val="4191768D"/>
    <w:rsid w:val="41C9151C"/>
    <w:rsid w:val="41F805B2"/>
    <w:rsid w:val="42022D64"/>
    <w:rsid w:val="42022F38"/>
    <w:rsid w:val="423F6B2A"/>
    <w:rsid w:val="42946B5F"/>
    <w:rsid w:val="42EC40B4"/>
    <w:rsid w:val="4344009D"/>
    <w:rsid w:val="43D93C12"/>
    <w:rsid w:val="43F765D2"/>
    <w:rsid w:val="441A760A"/>
    <w:rsid w:val="44666AA8"/>
    <w:rsid w:val="448307E0"/>
    <w:rsid w:val="44EC0CD9"/>
    <w:rsid w:val="4537386B"/>
    <w:rsid w:val="45520307"/>
    <w:rsid w:val="45600E31"/>
    <w:rsid w:val="45675A2E"/>
    <w:rsid w:val="45A463AA"/>
    <w:rsid w:val="46137C9E"/>
    <w:rsid w:val="465D4F3E"/>
    <w:rsid w:val="46633F07"/>
    <w:rsid w:val="466C44A4"/>
    <w:rsid w:val="46781715"/>
    <w:rsid w:val="467F6306"/>
    <w:rsid w:val="4695523C"/>
    <w:rsid w:val="471053F0"/>
    <w:rsid w:val="47424AC0"/>
    <w:rsid w:val="475805A3"/>
    <w:rsid w:val="47F32301"/>
    <w:rsid w:val="48030847"/>
    <w:rsid w:val="480F6272"/>
    <w:rsid w:val="481B76A6"/>
    <w:rsid w:val="4869672F"/>
    <w:rsid w:val="48FB1C7C"/>
    <w:rsid w:val="48FD2238"/>
    <w:rsid w:val="496E6505"/>
    <w:rsid w:val="49701D6B"/>
    <w:rsid w:val="49E264F9"/>
    <w:rsid w:val="49FD1B21"/>
    <w:rsid w:val="4A024867"/>
    <w:rsid w:val="4A545997"/>
    <w:rsid w:val="4B3B68BB"/>
    <w:rsid w:val="4B762703"/>
    <w:rsid w:val="4B871DCE"/>
    <w:rsid w:val="4B984E9C"/>
    <w:rsid w:val="4B99014B"/>
    <w:rsid w:val="4BF62A76"/>
    <w:rsid w:val="4C42649C"/>
    <w:rsid w:val="4C5D5564"/>
    <w:rsid w:val="4C6D595B"/>
    <w:rsid w:val="4CA007E2"/>
    <w:rsid w:val="4CBE78F6"/>
    <w:rsid w:val="4CC73309"/>
    <w:rsid w:val="4D515F9E"/>
    <w:rsid w:val="4D672896"/>
    <w:rsid w:val="4DC9648B"/>
    <w:rsid w:val="4E175B2C"/>
    <w:rsid w:val="4E862AB3"/>
    <w:rsid w:val="4EA1323F"/>
    <w:rsid w:val="4EB3234F"/>
    <w:rsid w:val="4EDE622F"/>
    <w:rsid w:val="4EE37540"/>
    <w:rsid w:val="4EEC28FC"/>
    <w:rsid w:val="4F6643D7"/>
    <w:rsid w:val="505066D1"/>
    <w:rsid w:val="50672889"/>
    <w:rsid w:val="50AB7689"/>
    <w:rsid w:val="50F43583"/>
    <w:rsid w:val="515355B8"/>
    <w:rsid w:val="516D4136"/>
    <w:rsid w:val="517235B6"/>
    <w:rsid w:val="517F5328"/>
    <w:rsid w:val="51B5514C"/>
    <w:rsid w:val="51FD38AD"/>
    <w:rsid w:val="521E7444"/>
    <w:rsid w:val="52287B99"/>
    <w:rsid w:val="5270414C"/>
    <w:rsid w:val="52B23907"/>
    <w:rsid w:val="52B5357A"/>
    <w:rsid w:val="52F34D26"/>
    <w:rsid w:val="52FC3135"/>
    <w:rsid w:val="536B5669"/>
    <w:rsid w:val="539F0A6F"/>
    <w:rsid w:val="53A022C0"/>
    <w:rsid w:val="53BE4119"/>
    <w:rsid w:val="53F412E0"/>
    <w:rsid w:val="544D71BC"/>
    <w:rsid w:val="545E662E"/>
    <w:rsid w:val="5495703C"/>
    <w:rsid w:val="54E5595E"/>
    <w:rsid w:val="56006334"/>
    <w:rsid w:val="562C0C5E"/>
    <w:rsid w:val="568E410B"/>
    <w:rsid w:val="56E232D9"/>
    <w:rsid w:val="57B85627"/>
    <w:rsid w:val="582237F6"/>
    <w:rsid w:val="58297586"/>
    <w:rsid w:val="582F5037"/>
    <w:rsid w:val="584549A0"/>
    <w:rsid w:val="5860738B"/>
    <w:rsid w:val="588D7181"/>
    <w:rsid w:val="592B54FE"/>
    <w:rsid w:val="597B4EE7"/>
    <w:rsid w:val="599C5DFA"/>
    <w:rsid w:val="5A045938"/>
    <w:rsid w:val="5A316BA3"/>
    <w:rsid w:val="5AAE12C4"/>
    <w:rsid w:val="5AD531C5"/>
    <w:rsid w:val="5ADD4DB8"/>
    <w:rsid w:val="5AE162A2"/>
    <w:rsid w:val="5B096777"/>
    <w:rsid w:val="5B7F02A9"/>
    <w:rsid w:val="5BAE68A6"/>
    <w:rsid w:val="5C142F3C"/>
    <w:rsid w:val="5C403D31"/>
    <w:rsid w:val="5C507600"/>
    <w:rsid w:val="5CA2110C"/>
    <w:rsid w:val="5CB51BDF"/>
    <w:rsid w:val="5D431D2B"/>
    <w:rsid w:val="5D7619AD"/>
    <w:rsid w:val="5DC25271"/>
    <w:rsid w:val="5E340A9B"/>
    <w:rsid w:val="5E7A51B2"/>
    <w:rsid w:val="5E7F4D68"/>
    <w:rsid w:val="5EAE3669"/>
    <w:rsid w:val="5F13173B"/>
    <w:rsid w:val="5F464EA8"/>
    <w:rsid w:val="5F8C5835"/>
    <w:rsid w:val="5F9F3AD1"/>
    <w:rsid w:val="5FC11BAF"/>
    <w:rsid w:val="5FD1179A"/>
    <w:rsid w:val="5FDE482D"/>
    <w:rsid w:val="60181A41"/>
    <w:rsid w:val="60181EC6"/>
    <w:rsid w:val="607248C2"/>
    <w:rsid w:val="608C047E"/>
    <w:rsid w:val="61424C9B"/>
    <w:rsid w:val="61F62C17"/>
    <w:rsid w:val="61FB0739"/>
    <w:rsid w:val="6220083B"/>
    <w:rsid w:val="62690312"/>
    <w:rsid w:val="627863C5"/>
    <w:rsid w:val="62CC50DB"/>
    <w:rsid w:val="632232BF"/>
    <w:rsid w:val="635B2B24"/>
    <w:rsid w:val="63676F20"/>
    <w:rsid w:val="63AD6147"/>
    <w:rsid w:val="63BC179E"/>
    <w:rsid w:val="63F71F10"/>
    <w:rsid w:val="63FD0716"/>
    <w:rsid w:val="64253FBF"/>
    <w:rsid w:val="64447BD7"/>
    <w:rsid w:val="645049E5"/>
    <w:rsid w:val="64595C3F"/>
    <w:rsid w:val="64993BBB"/>
    <w:rsid w:val="649A66AD"/>
    <w:rsid w:val="656A45E9"/>
    <w:rsid w:val="65A609CB"/>
    <w:rsid w:val="661074B1"/>
    <w:rsid w:val="66C21069"/>
    <w:rsid w:val="66EA76BB"/>
    <w:rsid w:val="67047C2C"/>
    <w:rsid w:val="673F303D"/>
    <w:rsid w:val="67454F0A"/>
    <w:rsid w:val="676E209B"/>
    <w:rsid w:val="67B071BA"/>
    <w:rsid w:val="67CF5FF8"/>
    <w:rsid w:val="67D81B6B"/>
    <w:rsid w:val="67F7385F"/>
    <w:rsid w:val="682664D1"/>
    <w:rsid w:val="6834686B"/>
    <w:rsid w:val="684D2A5C"/>
    <w:rsid w:val="68601845"/>
    <w:rsid w:val="68836956"/>
    <w:rsid w:val="68BC6E36"/>
    <w:rsid w:val="68E60C5C"/>
    <w:rsid w:val="692B3AE2"/>
    <w:rsid w:val="69846640"/>
    <w:rsid w:val="699D22A6"/>
    <w:rsid w:val="699F1D94"/>
    <w:rsid w:val="69D602C2"/>
    <w:rsid w:val="69DB3BEA"/>
    <w:rsid w:val="6A1922B7"/>
    <w:rsid w:val="6A2C0B97"/>
    <w:rsid w:val="6A3C2E03"/>
    <w:rsid w:val="6AEE5609"/>
    <w:rsid w:val="6B1A2749"/>
    <w:rsid w:val="6B4230C1"/>
    <w:rsid w:val="6B65108E"/>
    <w:rsid w:val="6BB564A9"/>
    <w:rsid w:val="6BDC610F"/>
    <w:rsid w:val="6BF643D8"/>
    <w:rsid w:val="6C103AA2"/>
    <w:rsid w:val="6C1F6BB5"/>
    <w:rsid w:val="6C5A19CF"/>
    <w:rsid w:val="6CAC0ED7"/>
    <w:rsid w:val="6D00026D"/>
    <w:rsid w:val="6D01750D"/>
    <w:rsid w:val="6D3E35BC"/>
    <w:rsid w:val="6D714558"/>
    <w:rsid w:val="6D814FED"/>
    <w:rsid w:val="6D8639B6"/>
    <w:rsid w:val="6DC45BE1"/>
    <w:rsid w:val="6E4E3042"/>
    <w:rsid w:val="6EA513FD"/>
    <w:rsid w:val="6EDF6C80"/>
    <w:rsid w:val="6EFB49A1"/>
    <w:rsid w:val="6F066154"/>
    <w:rsid w:val="6F142B2E"/>
    <w:rsid w:val="6F323893"/>
    <w:rsid w:val="6F491901"/>
    <w:rsid w:val="6F7264A0"/>
    <w:rsid w:val="6F871F9E"/>
    <w:rsid w:val="6FA61B78"/>
    <w:rsid w:val="6FFA7221"/>
    <w:rsid w:val="70120F7C"/>
    <w:rsid w:val="706A7574"/>
    <w:rsid w:val="708F6791"/>
    <w:rsid w:val="709E5656"/>
    <w:rsid w:val="70E75D5E"/>
    <w:rsid w:val="71350702"/>
    <w:rsid w:val="715F6CA0"/>
    <w:rsid w:val="717A2FBC"/>
    <w:rsid w:val="72412E3C"/>
    <w:rsid w:val="72524E6E"/>
    <w:rsid w:val="726745A1"/>
    <w:rsid w:val="72A12D35"/>
    <w:rsid w:val="72FE29AB"/>
    <w:rsid w:val="73386562"/>
    <w:rsid w:val="73AB078A"/>
    <w:rsid w:val="73AF229B"/>
    <w:rsid w:val="73CF427B"/>
    <w:rsid w:val="745274EE"/>
    <w:rsid w:val="749B604C"/>
    <w:rsid w:val="74A61487"/>
    <w:rsid w:val="74A6344E"/>
    <w:rsid w:val="74F30E1E"/>
    <w:rsid w:val="75022074"/>
    <w:rsid w:val="75216EF7"/>
    <w:rsid w:val="752A6BC5"/>
    <w:rsid w:val="75332ACD"/>
    <w:rsid w:val="75485900"/>
    <w:rsid w:val="7560440F"/>
    <w:rsid w:val="75775E00"/>
    <w:rsid w:val="757B5044"/>
    <w:rsid w:val="75AA357B"/>
    <w:rsid w:val="76936E11"/>
    <w:rsid w:val="76946CFC"/>
    <w:rsid w:val="76C9703A"/>
    <w:rsid w:val="776552C6"/>
    <w:rsid w:val="77697BD3"/>
    <w:rsid w:val="777A2C11"/>
    <w:rsid w:val="77873860"/>
    <w:rsid w:val="77AF4C57"/>
    <w:rsid w:val="77F90E77"/>
    <w:rsid w:val="780A3E07"/>
    <w:rsid w:val="78672F03"/>
    <w:rsid w:val="795A0147"/>
    <w:rsid w:val="79703A50"/>
    <w:rsid w:val="79715D42"/>
    <w:rsid w:val="79733A3B"/>
    <w:rsid w:val="79B529AA"/>
    <w:rsid w:val="79E03380"/>
    <w:rsid w:val="79F57369"/>
    <w:rsid w:val="7A001B66"/>
    <w:rsid w:val="7A040DA0"/>
    <w:rsid w:val="7A761A22"/>
    <w:rsid w:val="7B2568B4"/>
    <w:rsid w:val="7B2710E0"/>
    <w:rsid w:val="7B314A56"/>
    <w:rsid w:val="7B58479C"/>
    <w:rsid w:val="7B712803"/>
    <w:rsid w:val="7B7E5653"/>
    <w:rsid w:val="7B8B3945"/>
    <w:rsid w:val="7BA66BE6"/>
    <w:rsid w:val="7BEA3C3C"/>
    <w:rsid w:val="7BEB3862"/>
    <w:rsid w:val="7C8331AD"/>
    <w:rsid w:val="7D5250D2"/>
    <w:rsid w:val="7DA97531"/>
    <w:rsid w:val="7E2A07AF"/>
    <w:rsid w:val="7E4B7033"/>
    <w:rsid w:val="7E553215"/>
    <w:rsid w:val="7E553AE7"/>
    <w:rsid w:val="7E5A4CCF"/>
    <w:rsid w:val="7F8A1ED6"/>
    <w:rsid w:val="7FAA563D"/>
    <w:rsid w:val="7FC6747F"/>
    <w:rsid w:val="7FE674D9"/>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next w:val="3"/>
    <w:link w:val="54"/>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qFormat/>
    <w:uiPriority w:val="99"/>
    <w:pPr>
      <w:widowControl w:val="0"/>
      <w:spacing w:before="0" w:after="0" w:afterAutospacing="0"/>
      <w:ind w:left="0" w:right="0" w:firstLine="420"/>
    </w:pPr>
    <w:rPr>
      <w:kern w:val="2"/>
      <w:sz w:val="24"/>
      <w:szCs w:val="20"/>
    </w:rPr>
  </w:style>
  <w:style w:type="paragraph" w:styleId="9">
    <w:name w:val="caption"/>
    <w:basedOn w:val="1"/>
    <w:next w:val="1"/>
    <w:qFormat/>
    <w:uiPriority w:val="0"/>
    <w:pPr>
      <w:widowControl w:val="0"/>
      <w:spacing w:before="0" w:after="0" w:afterAutospacing="0" w:line="240" w:lineRule="auto"/>
      <w:ind w:left="0" w:right="0" w:firstLine="0"/>
    </w:pPr>
    <w:rPr>
      <w:rFonts w:ascii="Cambria" w:hAnsi="Cambria" w:eastAsia="黑体"/>
      <w:sz w:val="20"/>
      <w:szCs w:val="20"/>
    </w:rPr>
  </w:style>
  <w:style w:type="paragraph" w:styleId="10">
    <w:name w:val="Document Map"/>
    <w:basedOn w:val="1"/>
    <w:semiHidden/>
    <w:unhideWhenUsed/>
    <w:qFormat/>
    <w:uiPriority w:val="0"/>
    <w:rPr>
      <w:rFonts w:ascii="宋体"/>
      <w:sz w:val="18"/>
      <w:szCs w:val="18"/>
    </w:rPr>
  </w:style>
  <w:style w:type="paragraph" w:styleId="11">
    <w:name w:val="annotation text"/>
    <w:basedOn w:val="1"/>
    <w:semiHidden/>
    <w:unhideWhenUsed/>
    <w:qFormat/>
    <w:uiPriority w:val="0"/>
    <w:pPr>
      <w:jc w:val="left"/>
    </w:pPr>
  </w:style>
  <w:style w:type="paragraph" w:styleId="12">
    <w:name w:val="Body Text"/>
    <w:basedOn w:val="1"/>
    <w:link w:val="56"/>
    <w:unhideWhenUsed/>
    <w:qFormat/>
    <w:uiPriority w:val="99"/>
    <w:pPr>
      <w:spacing w:after="120"/>
    </w:pPr>
  </w:style>
  <w:style w:type="paragraph" w:styleId="13">
    <w:name w:val="Body Text Indent"/>
    <w:basedOn w:val="1"/>
    <w:link w:val="70"/>
    <w:semiHidden/>
    <w:unhideWhenUsed/>
    <w:qFormat/>
    <w:uiPriority w:val="99"/>
    <w:pPr>
      <w:spacing w:after="120"/>
      <w:ind w:left="420" w:leftChars="200"/>
    </w:pPr>
  </w:style>
  <w:style w:type="paragraph" w:styleId="14">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5">
    <w:name w:val="toc 3"/>
    <w:basedOn w:val="1"/>
    <w:next w:val="1"/>
    <w:unhideWhenUsed/>
    <w:qFormat/>
    <w:uiPriority w:val="39"/>
    <w:pPr>
      <w:ind w:left="840" w:firstLine="0"/>
    </w:pPr>
  </w:style>
  <w:style w:type="paragraph" w:styleId="16">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Date"/>
    <w:basedOn w:val="1"/>
    <w:next w:val="1"/>
    <w:link w:val="58"/>
    <w:semiHidden/>
    <w:unhideWhenUsed/>
    <w:qFormat/>
    <w:uiPriority w:val="99"/>
    <w:pPr>
      <w:ind w:left="100" w:leftChars="2500"/>
    </w:pPr>
  </w:style>
  <w:style w:type="paragraph" w:styleId="18">
    <w:name w:val="Balloon Text"/>
    <w:basedOn w:val="1"/>
    <w:semiHidden/>
    <w:unhideWhenUsed/>
    <w:qFormat/>
    <w:uiPriority w:val="0"/>
    <w:pPr>
      <w:spacing w:after="0" w:line="240" w:lineRule="auto"/>
    </w:pPr>
    <w:rPr>
      <w:sz w:val="18"/>
      <w:szCs w:val="18"/>
    </w:rPr>
  </w:style>
  <w:style w:type="paragraph" w:styleId="19">
    <w:name w:val="footer"/>
    <w:basedOn w:val="1"/>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3">
    <w:name w:val="footnote text"/>
    <w:basedOn w:val="1"/>
    <w:semiHidden/>
    <w:unhideWhenUsed/>
    <w:qFormat/>
    <w:uiPriority w:val="0"/>
    <w:pPr>
      <w:snapToGrid w:val="0"/>
      <w:jc w:val="left"/>
    </w:pPr>
    <w:rPr>
      <w:sz w:val="18"/>
      <w:szCs w:val="18"/>
    </w:rPr>
  </w:style>
  <w:style w:type="paragraph" w:styleId="24">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5">
    <w:name w:val="Body Text Indent 3"/>
    <w:basedOn w:val="1"/>
    <w:qFormat/>
    <w:uiPriority w:val="0"/>
    <w:pPr>
      <w:spacing w:after="120"/>
      <w:ind w:left="420" w:firstLine="0"/>
    </w:pPr>
    <w:rPr>
      <w:sz w:val="16"/>
      <w:szCs w:val="16"/>
    </w:rPr>
  </w:style>
  <w:style w:type="paragraph" w:styleId="26">
    <w:name w:val="toc 2"/>
    <w:basedOn w:val="1"/>
    <w:next w:val="1"/>
    <w:unhideWhenUsed/>
    <w:qFormat/>
    <w:uiPriority w:val="39"/>
    <w:pPr>
      <w:ind w:left="420" w:firstLine="0"/>
    </w:pPr>
  </w:style>
  <w:style w:type="paragraph" w:styleId="27">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8">
    <w:name w:val="Body Text 2"/>
    <w:basedOn w:val="1"/>
    <w:link w:val="65"/>
    <w:unhideWhenUsed/>
    <w:qFormat/>
    <w:uiPriority w:val="0"/>
    <w:pPr>
      <w:widowControl w:val="0"/>
      <w:spacing w:before="100" w:beforeAutospacing="1" w:after="0" w:afterAutospacing="0" w:line="240" w:lineRule="auto"/>
      <w:ind w:left="0" w:right="0" w:firstLine="0"/>
    </w:pPr>
    <w:rPr>
      <w:sz w:val="20"/>
    </w:rPr>
  </w:style>
  <w:style w:type="paragraph" w:styleId="29">
    <w:name w:val="Normal (Web)"/>
    <w:basedOn w:val="1"/>
    <w:unhideWhenUsed/>
    <w:qFormat/>
    <w:uiPriority w:val="99"/>
    <w:pPr>
      <w:spacing w:before="100" w:beforeAutospacing="1" w:line="240" w:lineRule="auto"/>
      <w:ind w:left="0" w:right="0" w:firstLine="0"/>
      <w:jc w:val="left"/>
    </w:pPr>
    <w:rPr>
      <w:rFonts w:ascii="宋体" w:hAnsi="宋体" w:cs="宋体"/>
      <w:sz w:val="24"/>
      <w:szCs w:val="24"/>
    </w:rPr>
  </w:style>
  <w:style w:type="paragraph" w:styleId="30">
    <w:name w:val="annotation subject"/>
    <w:basedOn w:val="11"/>
    <w:next w:val="11"/>
    <w:semiHidden/>
    <w:unhideWhenUsed/>
    <w:qFormat/>
    <w:uiPriority w:val="0"/>
    <w:rPr>
      <w:b/>
    </w:rPr>
  </w:style>
  <w:style w:type="paragraph" w:styleId="31">
    <w:name w:val="Body Text First Indent"/>
    <w:basedOn w:val="12"/>
    <w:unhideWhenUsed/>
    <w:qFormat/>
    <w:uiPriority w:val="99"/>
    <w:pPr>
      <w:spacing w:beforeLines="0" w:afterLines="0" w:line="360" w:lineRule="auto"/>
    </w:pPr>
    <w:rPr>
      <w:rFonts w:hint="default"/>
      <w:b/>
      <w:sz w:val="28"/>
      <w:szCs w:val="22"/>
    </w:rPr>
  </w:style>
  <w:style w:type="paragraph" w:styleId="32">
    <w:name w:val="Body Text First Indent 2"/>
    <w:basedOn w:val="13"/>
    <w:next w:val="1"/>
    <w:link w:val="69"/>
    <w:semiHidden/>
    <w:unhideWhenUsed/>
    <w:qFormat/>
    <w:uiPriority w:val="99"/>
    <w:pPr>
      <w:ind w:firstLine="420" w:firstLineChars="200"/>
    </w:pPr>
  </w:style>
  <w:style w:type="table" w:styleId="34">
    <w:name w:val="Table Grid"/>
    <w:basedOn w:val="3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0"/>
    <w:rPr>
      <w:rFonts w:cs="Times New Roman"/>
      <w:b/>
    </w:rPr>
  </w:style>
  <w:style w:type="character" w:styleId="37">
    <w:name w:val="page number"/>
    <w:basedOn w:val="35"/>
    <w:qFormat/>
    <w:uiPriority w:val="0"/>
  </w:style>
  <w:style w:type="character" w:styleId="38">
    <w:name w:val="Hyperlink"/>
    <w:basedOn w:val="35"/>
    <w:unhideWhenUsed/>
    <w:qFormat/>
    <w:uiPriority w:val="99"/>
    <w:rPr>
      <w:color w:val="0000FF"/>
      <w:u w:val="single"/>
    </w:rPr>
  </w:style>
  <w:style w:type="character" w:styleId="39">
    <w:name w:val="annotation reference"/>
    <w:basedOn w:val="35"/>
    <w:semiHidden/>
    <w:unhideWhenUsed/>
    <w:qFormat/>
    <w:uiPriority w:val="0"/>
    <w:rPr>
      <w:sz w:val="21"/>
      <w:szCs w:val="21"/>
    </w:rPr>
  </w:style>
  <w:style w:type="character" w:styleId="40">
    <w:name w:val="footnote reference"/>
    <w:basedOn w:val="35"/>
    <w:semiHidden/>
    <w:unhideWhenUsed/>
    <w:qFormat/>
    <w:uiPriority w:val="0"/>
    <w:rPr>
      <w:vertAlign w:val="superscript"/>
    </w:rPr>
  </w:style>
  <w:style w:type="paragraph" w:styleId="41">
    <w:name w:val="List Paragraph"/>
    <w:basedOn w:val="1"/>
    <w:qFormat/>
    <w:uiPriority w:val="34"/>
    <w:pPr>
      <w:ind w:firstLine="200"/>
    </w:pPr>
    <w:rPr>
      <w:rFonts w:ascii="Calibri" w:hAnsi="Calibri"/>
    </w:rPr>
  </w:style>
  <w:style w:type="character" w:customStyle="1" w:styleId="42">
    <w:name w:val="正文文本 2 Char"/>
    <w:basedOn w:val="35"/>
    <w:qFormat/>
    <w:uiPriority w:val="0"/>
    <w:rPr>
      <w:rFonts w:ascii="Times New Roman" w:hAnsi="Times New Roman" w:eastAsia="宋体" w:cs="Times New Roman"/>
    </w:rPr>
  </w:style>
  <w:style w:type="character" w:customStyle="1" w:styleId="43">
    <w:name w:val="16"/>
    <w:basedOn w:val="35"/>
    <w:qFormat/>
    <w:uiPriority w:val="0"/>
    <w:rPr>
      <w:rFonts w:hint="default" w:ascii="Times New Roman" w:hAnsi="Times New Roman" w:cs="Times New Roman"/>
      <w:color w:val="0000FF"/>
      <w:u w:val="single"/>
    </w:rPr>
  </w:style>
  <w:style w:type="character" w:customStyle="1" w:styleId="44">
    <w:name w:val="15"/>
    <w:basedOn w:val="35"/>
    <w:qFormat/>
    <w:uiPriority w:val="0"/>
    <w:rPr>
      <w:rFonts w:hint="default" w:ascii="Times New Roman" w:hAnsi="Times New Roman" w:cs="Times New Roman"/>
      <w:color w:val="0000FF"/>
      <w:u w:val="single"/>
    </w:rPr>
  </w:style>
  <w:style w:type="character" w:customStyle="1" w:styleId="45">
    <w:name w:val="标题 3 Char"/>
    <w:qFormat/>
    <w:uiPriority w:val="0"/>
    <w:rPr>
      <w:b/>
      <w:sz w:val="24"/>
      <w:szCs w:val="24"/>
    </w:rPr>
  </w:style>
  <w:style w:type="character" w:customStyle="1" w:styleId="46">
    <w:name w:val="标题 2 Char"/>
    <w:qFormat/>
    <w:uiPriority w:val="0"/>
    <w:rPr>
      <w:rFonts w:ascii="Arial" w:hAnsi="Arial" w:eastAsia="黑体"/>
      <w:b/>
      <w:sz w:val="32"/>
      <w:szCs w:val="32"/>
    </w:rPr>
  </w:style>
  <w:style w:type="character" w:customStyle="1" w:styleId="47">
    <w:name w:val="批注框文本 Char"/>
    <w:basedOn w:val="35"/>
    <w:semiHidden/>
    <w:qFormat/>
    <w:uiPriority w:val="0"/>
    <w:rPr>
      <w:sz w:val="18"/>
      <w:szCs w:val="18"/>
    </w:rPr>
  </w:style>
  <w:style w:type="character" w:customStyle="1" w:styleId="48">
    <w:name w:val="批注文字 Char"/>
    <w:basedOn w:val="35"/>
    <w:semiHidden/>
    <w:qFormat/>
    <w:uiPriority w:val="0"/>
    <w:rPr>
      <w:sz w:val="21"/>
      <w:szCs w:val="21"/>
    </w:rPr>
  </w:style>
  <w:style w:type="character" w:customStyle="1" w:styleId="49">
    <w:name w:val="批注主题 Char"/>
    <w:basedOn w:val="48"/>
    <w:semiHidden/>
    <w:qFormat/>
    <w:uiPriority w:val="0"/>
    <w:rPr>
      <w:b/>
      <w:sz w:val="21"/>
      <w:szCs w:val="21"/>
    </w:rPr>
  </w:style>
  <w:style w:type="character" w:customStyle="1" w:styleId="50">
    <w:name w:val="文档结构图 Char"/>
    <w:basedOn w:val="35"/>
    <w:semiHidden/>
    <w:qFormat/>
    <w:uiPriority w:val="0"/>
    <w:rPr>
      <w:rFonts w:ascii="宋体"/>
      <w:sz w:val="18"/>
      <w:szCs w:val="18"/>
    </w:rPr>
  </w:style>
  <w:style w:type="character" w:customStyle="1" w:styleId="51">
    <w:name w:val="页脚 Char"/>
    <w:qFormat/>
    <w:uiPriority w:val="99"/>
    <w:rPr>
      <w:sz w:val="18"/>
      <w:szCs w:val="18"/>
    </w:rPr>
  </w:style>
  <w:style w:type="character" w:customStyle="1" w:styleId="52">
    <w:name w:val="脚注文本 Char"/>
    <w:basedOn w:val="35"/>
    <w:semiHidden/>
    <w:qFormat/>
    <w:uiPriority w:val="0"/>
    <w:rPr>
      <w:sz w:val="18"/>
      <w:szCs w:val="18"/>
    </w:rPr>
  </w:style>
  <w:style w:type="paragraph" w:customStyle="1" w:styleId="53">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4">
    <w:name w:val="纯文本 Char"/>
    <w:link w:val="2"/>
    <w:qFormat/>
    <w:locked/>
    <w:uiPriority w:val="0"/>
    <w:rPr>
      <w:rFonts w:ascii="宋体" w:hAnsi="Courier New" w:cs="宋体"/>
    </w:rPr>
  </w:style>
  <w:style w:type="paragraph" w:customStyle="1" w:styleId="55">
    <w:name w:val="修订1"/>
    <w:hidden/>
    <w:semiHidden/>
    <w:qFormat/>
    <w:uiPriority w:val="99"/>
    <w:rPr>
      <w:rFonts w:ascii="Times New Roman" w:hAnsi="Times New Roman" w:eastAsia="宋体" w:cs="Times New Roman"/>
      <w:sz w:val="21"/>
      <w:szCs w:val="21"/>
      <w:lang w:val="en-US" w:eastAsia="zh-CN" w:bidi="ar-SA"/>
    </w:rPr>
  </w:style>
  <w:style w:type="character" w:customStyle="1" w:styleId="56">
    <w:name w:val="正文文本 Char"/>
    <w:basedOn w:val="35"/>
    <w:link w:val="12"/>
    <w:semiHidden/>
    <w:qFormat/>
    <w:uiPriority w:val="99"/>
    <w:rPr>
      <w:sz w:val="21"/>
      <w:szCs w:val="21"/>
    </w:rPr>
  </w:style>
  <w:style w:type="paragraph" w:customStyle="1" w:styleId="57">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8">
    <w:name w:val="日期 Char"/>
    <w:basedOn w:val="35"/>
    <w:link w:val="17"/>
    <w:semiHidden/>
    <w:qFormat/>
    <w:uiPriority w:val="99"/>
    <w:rPr>
      <w:sz w:val="21"/>
      <w:szCs w:val="21"/>
    </w:rPr>
  </w:style>
  <w:style w:type="character" w:customStyle="1" w:styleId="59">
    <w:name w:val="font11"/>
    <w:basedOn w:val="35"/>
    <w:qFormat/>
    <w:uiPriority w:val="0"/>
    <w:rPr>
      <w:rFonts w:hint="eastAsia" w:ascii="宋体" w:hAnsi="宋体" w:eastAsia="宋体" w:cs="宋体"/>
      <w:color w:val="000000"/>
      <w:sz w:val="20"/>
      <w:szCs w:val="20"/>
      <w:u w:val="none"/>
    </w:rPr>
  </w:style>
  <w:style w:type="character" w:customStyle="1" w:styleId="60">
    <w:name w:val="font31"/>
    <w:basedOn w:val="35"/>
    <w:qFormat/>
    <w:uiPriority w:val="0"/>
    <w:rPr>
      <w:rFonts w:hint="default" w:ascii="Calibri" w:hAnsi="Calibri" w:cs="Calibri"/>
      <w:color w:val="000000"/>
      <w:sz w:val="20"/>
      <w:szCs w:val="20"/>
      <w:u w:val="none"/>
    </w:rPr>
  </w:style>
  <w:style w:type="character" w:customStyle="1" w:styleId="61">
    <w:name w:val="font41"/>
    <w:basedOn w:val="35"/>
    <w:qFormat/>
    <w:uiPriority w:val="0"/>
    <w:rPr>
      <w:rFonts w:hint="eastAsia" w:ascii="宋体" w:hAnsi="宋体" w:eastAsia="宋体" w:cs="宋体"/>
      <w:color w:val="000000"/>
      <w:sz w:val="22"/>
      <w:szCs w:val="22"/>
      <w:u w:val="none"/>
    </w:rPr>
  </w:style>
  <w:style w:type="paragraph" w:customStyle="1" w:styleId="62">
    <w:name w:val="WPSOffice手动目录 1"/>
    <w:qFormat/>
    <w:uiPriority w:val="0"/>
    <w:rPr>
      <w:rFonts w:ascii="Times New Roman" w:hAnsi="Times New Roman" w:eastAsia="宋体" w:cs="Times New Roman"/>
      <w:lang w:val="en-US" w:eastAsia="zh-CN" w:bidi="ar-SA"/>
    </w:rPr>
  </w:style>
  <w:style w:type="paragraph" w:customStyle="1" w:styleId="6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4">
    <w:name w:val="font01"/>
    <w:basedOn w:val="35"/>
    <w:qFormat/>
    <w:uiPriority w:val="0"/>
    <w:rPr>
      <w:rFonts w:hint="eastAsia" w:ascii="宋体" w:hAnsi="宋体" w:eastAsia="宋体" w:cs="宋体"/>
      <w:b/>
      <w:color w:val="FF0000"/>
      <w:sz w:val="22"/>
      <w:szCs w:val="22"/>
      <w:u w:val="none"/>
    </w:rPr>
  </w:style>
  <w:style w:type="character" w:customStyle="1" w:styleId="65">
    <w:name w:val="正文文本 2 Char1"/>
    <w:basedOn w:val="35"/>
    <w:link w:val="28"/>
    <w:qFormat/>
    <w:uiPriority w:val="0"/>
    <w:rPr>
      <w:szCs w:val="21"/>
    </w:rPr>
  </w:style>
  <w:style w:type="paragraph" w:customStyle="1" w:styleId="66">
    <w:name w:val="正文1"/>
    <w:basedOn w:val="8"/>
    <w:qFormat/>
    <w:uiPriority w:val="0"/>
    <w:pPr>
      <w:widowControl/>
      <w:adjustRightInd w:val="0"/>
      <w:snapToGrid w:val="0"/>
      <w:ind w:firstLine="480" w:firstLineChars="200"/>
      <w:jc w:val="left"/>
    </w:pPr>
    <w:rPr>
      <w:rFonts w:ascii="宋体" w:hAnsi="宋体"/>
      <w:sz w:val="20"/>
      <w:szCs w:val="24"/>
    </w:rPr>
  </w:style>
  <w:style w:type="paragraph" w:customStyle="1" w:styleId="67">
    <w:name w:val="列出段落2"/>
    <w:basedOn w:val="1"/>
    <w:qFormat/>
    <w:uiPriority w:val="34"/>
    <w:pPr>
      <w:widowControl w:val="0"/>
      <w:spacing w:before="0" w:after="0" w:afterAutospacing="0" w:line="240" w:lineRule="auto"/>
      <w:ind w:left="0" w:right="0" w:firstLine="0"/>
    </w:pPr>
    <w:rPr>
      <w:rFonts w:ascii="Calibri" w:hAnsi="Calibri" w:eastAsia="Times New Roman"/>
      <w:sz w:val="24"/>
      <w:szCs w:val="24"/>
    </w:rPr>
  </w:style>
  <w:style w:type="character" w:customStyle="1" w:styleId="68">
    <w:name w:val="font21"/>
    <w:basedOn w:val="35"/>
    <w:qFormat/>
    <w:uiPriority w:val="0"/>
    <w:rPr>
      <w:rFonts w:hint="eastAsia" w:ascii="宋体" w:hAnsi="宋体" w:eastAsia="宋体" w:cs="宋体"/>
      <w:b/>
      <w:bCs/>
      <w:color w:val="000000"/>
      <w:sz w:val="21"/>
      <w:szCs w:val="21"/>
      <w:u w:val="none"/>
    </w:rPr>
  </w:style>
  <w:style w:type="character" w:customStyle="1" w:styleId="69">
    <w:name w:val="正文首行缩进 2 Char"/>
    <w:basedOn w:val="70"/>
    <w:link w:val="32"/>
    <w:qFormat/>
    <w:uiPriority w:val="0"/>
    <w:rPr>
      <w:sz w:val="21"/>
      <w:szCs w:val="21"/>
    </w:rPr>
  </w:style>
  <w:style w:type="character" w:customStyle="1" w:styleId="70">
    <w:name w:val="正文文本缩进 Char"/>
    <w:basedOn w:val="35"/>
    <w:link w:val="13"/>
    <w:qFormat/>
    <w:uiPriority w:val="0"/>
    <w:rPr>
      <w:sz w:val="21"/>
      <w:szCs w:val="21"/>
    </w:rPr>
  </w:style>
  <w:style w:type="character" w:customStyle="1" w:styleId="71">
    <w:name w:val="font51"/>
    <w:basedOn w:val="35"/>
    <w:qFormat/>
    <w:uiPriority w:val="0"/>
    <w:rPr>
      <w:rFonts w:hint="default" w:ascii="Tahoma" w:hAnsi="Tahoma" w:eastAsia="Tahoma" w:cs="Tahoma"/>
      <w:color w:val="000000"/>
      <w:sz w:val="16"/>
      <w:szCs w:val="16"/>
      <w:u w:val="none"/>
    </w:rPr>
  </w:style>
  <w:style w:type="paragraph" w:customStyle="1" w:styleId="7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3">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74">
    <w:name w:val="Char Char Char Char Char Char Char Char Char Char Char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5.xml"/><Relationship Id="rId17" Type="http://schemas.openxmlformats.org/officeDocument/2006/relationships/header" Target="header9.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2142D-73DF-4D3C-B094-B36260EFC67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100</Pages>
  <Words>52625</Words>
  <Characters>55790</Characters>
  <Lines>1</Lines>
  <Paragraphs>1</Paragraphs>
  <TotalTime>21</TotalTime>
  <ScaleCrop>false</ScaleCrop>
  <LinksUpToDate>false</LinksUpToDate>
  <CharactersWithSpaces>57324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2021-10-09T02:40:00Z</dcterms:created>
  <dc:creator>NTKO</dc:creator>
  <cp:lastModifiedBy>马上有人鱼线的程哥</cp:lastModifiedBy>
  <cp:lastPrinted>2024-04-19T03:09:59Z</cp:lastPrinted>
  <dcterms:modified xsi:type="dcterms:W3CDTF">2024-04-19T03:30:53Z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7D21222E535242CBBA642F3910710176</vt:lpwstr>
  </property>
</Properties>
</file>