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8"/>
        <w:spacing w:before="0"/>
        <w:jc w:val="center"/>
        <w:rPr>
          <w:rFonts w:hint="eastAsia" w:ascii="宋体" w:hAnsi="宋体" w:eastAsia="宋体"/>
          <w:b/>
          <w:color w:val="auto"/>
          <w:spacing w:val="-4"/>
          <w:sz w:val="44"/>
          <w:szCs w:val="44"/>
          <w:highlight w:val="none"/>
          <w:lang w:eastAsia="zh-CN"/>
        </w:rPr>
      </w:pPr>
      <w:r>
        <w:rPr>
          <w:rFonts w:hint="eastAsia" w:ascii="宋体" w:hAnsi="宋体"/>
          <w:b/>
          <w:color w:val="auto"/>
          <w:spacing w:val="-4"/>
          <w:sz w:val="44"/>
          <w:szCs w:val="44"/>
          <w:highlight w:val="none"/>
        </w:rPr>
        <w:t>运营公司安全生产标准化建设一级达标评价项目（2024年-2026年）</w:t>
      </w:r>
      <w:r>
        <w:rPr>
          <w:rFonts w:hint="eastAsia" w:ascii="宋体" w:hAnsi="宋体"/>
          <w:b/>
          <w:color w:val="auto"/>
          <w:spacing w:val="-4"/>
          <w:sz w:val="44"/>
          <w:szCs w:val="44"/>
          <w:highlight w:val="none"/>
          <w:lang w:eastAsia="zh-CN"/>
        </w:rPr>
        <w:t>（</w:t>
      </w:r>
      <w:r>
        <w:rPr>
          <w:rFonts w:hint="eastAsia" w:ascii="宋体" w:hAnsi="宋体"/>
          <w:b/>
          <w:color w:val="auto"/>
          <w:spacing w:val="-4"/>
          <w:sz w:val="44"/>
          <w:szCs w:val="44"/>
          <w:highlight w:val="none"/>
          <w:lang w:val="en-US" w:eastAsia="zh-CN"/>
        </w:rPr>
        <w:t>第二次</w:t>
      </w:r>
      <w:r>
        <w:rPr>
          <w:rFonts w:hint="eastAsia" w:ascii="宋体" w:hAnsi="宋体"/>
          <w:b/>
          <w:color w:val="auto"/>
          <w:spacing w:val="-4"/>
          <w:sz w:val="44"/>
          <w:szCs w:val="44"/>
          <w:highlight w:val="none"/>
          <w:lang w:eastAsia="zh-CN"/>
        </w:rPr>
        <w:t>）</w:t>
      </w:r>
    </w:p>
    <w:p>
      <w:pPr>
        <w:pStyle w:val="28"/>
        <w:spacing w:before="0"/>
        <w:ind w:right="-57"/>
        <w:jc w:val="center"/>
        <w:rPr>
          <w:rFonts w:ascii="宋体" w:hAnsi="宋体"/>
          <w:b/>
          <w:color w:val="auto"/>
          <w:spacing w:val="-4"/>
          <w:sz w:val="44"/>
          <w:szCs w:val="44"/>
          <w:highlight w:val="none"/>
        </w:rPr>
      </w:pPr>
    </w:p>
    <w:p>
      <w:pPr>
        <w:spacing w:before="0"/>
        <w:ind w:left="0" w:right="-57"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highlight w:val="none"/>
        </w:rPr>
        <w:t>项目编号：202401100001</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w:t>
      </w:r>
      <w:r>
        <w:rPr>
          <w:rFonts w:hint="eastAsia" w:ascii="宋体" w:hAnsi="宋体"/>
          <w:b/>
          <w:color w:val="auto"/>
          <w:sz w:val="32"/>
          <w:szCs w:val="32"/>
          <w:highlight w:val="none"/>
          <w:u w:val="single"/>
        </w:rPr>
        <w:t>运营</w:t>
      </w:r>
      <w:r>
        <w:rPr>
          <w:rFonts w:ascii="宋体" w:hAnsi="宋体"/>
          <w:b/>
          <w:color w:val="auto"/>
          <w:sz w:val="32"/>
          <w:szCs w:val="32"/>
          <w:highlight w:val="none"/>
          <w:u w:val="single"/>
        </w:rPr>
        <w:t>有限公司</w:t>
      </w:r>
    </w:p>
    <w:p>
      <w:pPr>
        <w:spacing w:before="0"/>
        <w:ind w:right="-57" w:firstLine="0"/>
        <w:jc w:val="center"/>
        <w:rPr>
          <w:rFonts w:ascii="宋体" w:hAnsi="宋体"/>
          <w:color w:val="auto"/>
          <w:highlight w:val="none"/>
        </w:rPr>
      </w:pPr>
      <w:r>
        <w:rPr>
          <w:rFonts w:hint="eastAsia" w:ascii="宋体" w:hAnsi="宋体"/>
          <w:b/>
          <w:color w:val="auto"/>
          <w:sz w:val="36"/>
          <w:szCs w:val="36"/>
          <w:highlight w:val="none"/>
        </w:rPr>
        <w:t>202</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月</w:t>
      </w:r>
    </w:p>
    <w:p>
      <w:pPr>
        <w:ind w:left="0" w:right="-57" w:firstLine="0"/>
        <w:rPr>
          <w:rFonts w:ascii="宋体" w:hAnsi="宋体"/>
          <w:color w:val="auto"/>
          <w:sz w:val="36"/>
          <w:szCs w:val="36"/>
          <w:highlight w:val="none"/>
        </w:rPr>
        <w:sectPr>
          <w:headerReference r:id="rId5" w:type="default"/>
          <w:footerReference r:id="rId6" w:type="default"/>
          <w:pgSz w:w="11905" w:h="16838"/>
          <w:pgMar w:top="1417" w:right="1417" w:bottom="1417" w:left="1417" w:header="0" w:footer="0" w:gutter="0"/>
          <w:pgNumType w:fmt="decimal" w:start="1" w:chapStyle="1"/>
          <w:cols w:space="720" w:num="1"/>
          <w:docGrid w:linePitch="312" w:charSpace="0"/>
        </w:sectPr>
      </w:pPr>
    </w:p>
    <w:p>
      <w:pPr>
        <w:spacing w:before="0" w:beforeLines="-2147483648" w:after="0" w:afterLines="-2147483648" w:line="240" w:lineRule="auto"/>
        <w:ind w:left="0" w:leftChars="0" w:right="0" w:rightChars="0" w:firstLine="0" w:firstLineChars="0"/>
        <w:jc w:val="center"/>
        <w:rPr>
          <w:b/>
          <w:bCs/>
          <w:color w:val="auto"/>
          <w:sz w:val="32"/>
          <w:szCs w:val="32"/>
          <w:highlight w:val="none"/>
        </w:rPr>
      </w:pPr>
      <w:r>
        <w:rPr>
          <w:rFonts w:ascii="宋体" w:hAnsi="宋体" w:eastAsia="宋体"/>
          <w:b/>
          <w:bCs/>
          <w:color w:val="auto"/>
          <w:sz w:val="32"/>
          <w:szCs w:val="32"/>
          <w:highlight w:val="none"/>
        </w:rPr>
        <w:t>目</w:t>
      </w:r>
      <w:r>
        <w:rPr>
          <w:rFonts w:hint="eastAsia" w:ascii="宋体" w:hAnsi="宋体" w:eastAsia="宋体"/>
          <w:b/>
          <w:bCs/>
          <w:color w:val="auto"/>
          <w:sz w:val="32"/>
          <w:szCs w:val="32"/>
          <w:highlight w:val="none"/>
          <w:lang w:val="en-US" w:eastAsia="zh-CN"/>
        </w:rPr>
        <w:t xml:space="preserve">  </w:t>
      </w:r>
      <w:r>
        <w:rPr>
          <w:rFonts w:ascii="宋体" w:hAnsi="宋体" w:eastAsia="宋体"/>
          <w:b/>
          <w:bCs/>
          <w:color w:val="auto"/>
          <w:sz w:val="32"/>
          <w:szCs w:val="32"/>
          <w:highlight w:val="none"/>
        </w:rPr>
        <w:t>录</w:t>
      </w:r>
    </w:p>
    <w:p>
      <w:pPr>
        <w:pStyle w:val="21"/>
        <w:tabs>
          <w:tab w:val="right" w:leader="dot" w:pos="9071"/>
        </w:tabs>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highlight w:val="none"/>
        </w:rPr>
        <w:instrText xml:space="preserve"> HYPERLINK \l _Toc18732 </w:instrText>
      </w:r>
      <w:r>
        <w:rPr>
          <w:highlight w:val="none"/>
        </w:rPr>
        <w:fldChar w:fldCharType="separate"/>
      </w:r>
      <w:r>
        <w:rPr>
          <w:rFonts w:hint="eastAsia" w:ascii="宋体" w:hAnsi="宋体" w:eastAsia="宋体"/>
          <w:highlight w:val="none"/>
        </w:rPr>
        <w:t>第一章比选公告</w:t>
      </w:r>
      <w:r>
        <w:tab/>
      </w:r>
      <w:r>
        <w:fldChar w:fldCharType="begin"/>
      </w:r>
      <w:r>
        <w:instrText xml:space="preserve"> PAGEREF _Toc18732 \h </w:instrText>
      </w:r>
      <w:r>
        <w:fldChar w:fldCharType="separate"/>
      </w:r>
      <w:r>
        <w:t>5</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_Toc24484 </w:instrText>
      </w:r>
      <w:r>
        <w:rPr>
          <w:highlight w:val="none"/>
        </w:rPr>
        <w:fldChar w:fldCharType="separate"/>
      </w:r>
      <w:r>
        <w:rPr>
          <w:rFonts w:hint="eastAsia" w:ascii="宋体" w:hAnsi="宋体" w:eastAsia="宋体"/>
          <w:highlight w:val="none"/>
        </w:rPr>
        <w:t>第二章比选申请须知</w:t>
      </w:r>
      <w:r>
        <w:tab/>
      </w:r>
      <w:r>
        <w:fldChar w:fldCharType="begin"/>
      </w:r>
      <w:r>
        <w:instrText xml:space="preserve"> PAGEREF _Toc24484 \h </w:instrText>
      </w:r>
      <w:r>
        <w:fldChar w:fldCharType="separate"/>
      </w:r>
      <w:r>
        <w:t>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_Toc6806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_Toc6806 \h </w:instrText>
      </w:r>
      <w:r>
        <w:fldChar w:fldCharType="separate"/>
      </w:r>
      <w:r>
        <w:t>12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_Toc26910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_Toc26910 \h </w:instrText>
      </w:r>
      <w:r>
        <w:fldChar w:fldCharType="separate"/>
      </w:r>
      <w:r>
        <w:t>13</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_Toc20512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_Toc20512 \h </w:instrText>
      </w:r>
      <w:r>
        <w:fldChar w:fldCharType="separate"/>
      </w:r>
      <w:r>
        <w:t>14</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_Toc28985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_Toc28985 \h </w:instrText>
      </w:r>
      <w:r>
        <w:fldChar w:fldCharType="separate"/>
      </w:r>
      <w:r>
        <w:t>16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_Toc25025 </w:instrText>
      </w:r>
      <w:r>
        <w:rPr>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_Toc25025 \h </w:instrText>
      </w:r>
      <w:r>
        <w:fldChar w:fldCharType="separate"/>
      </w:r>
      <w:r>
        <w:t>17</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_Toc21030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_Toc21030 \h </w:instrText>
      </w:r>
      <w:r>
        <w:fldChar w:fldCharType="separate"/>
      </w:r>
      <w:r>
        <w:t>19</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_Toc17067 </w:instrText>
      </w:r>
      <w:r>
        <w:rPr>
          <w:highlight w:val="none"/>
        </w:rPr>
        <w:fldChar w:fldCharType="separate"/>
      </w:r>
      <w:r>
        <w:rPr>
          <w:rFonts w:hint="eastAsia" w:ascii="宋体" w:hAnsi="宋体" w:eastAsia="宋体"/>
          <w:highlight w:val="none"/>
        </w:rPr>
        <w:t>第三章合同条款及格式</w:t>
      </w:r>
      <w:r>
        <w:tab/>
      </w:r>
      <w:r>
        <w:fldChar w:fldCharType="begin"/>
      </w:r>
      <w:r>
        <w:instrText xml:space="preserve"> PAGEREF _Toc17067 \h </w:instrText>
      </w:r>
      <w:r>
        <w:fldChar w:fldCharType="separate"/>
      </w:r>
      <w:r>
        <w:t>22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_Toc21740 </w:instrText>
      </w:r>
      <w:r>
        <w:rPr>
          <w:highlight w:val="none"/>
        </w:rPr>
        <w:fldChar w:fldCharType="separate"/>
      </w:r>
      <w:r>
        <w:rPr>
          <w:rFonts w:hint="eastAsia" w:ascii="宋体" w:hAnsi="宋体"/>
          <w:szCs w:val="24"/>
          <w:highlight w:val="none"/>
        </w:rPr>
        <w:t>一、合同协议书</w:t>
      </w:r>
      <w:r>
        <w:tab/>
      </w:r>
      <w:r>
        <w:fldChar w:fldCharType="begin"/>
      </w:r>
      <w:r>
        <w:instrText xml:space="preserve"> PAGEREF _Toc21740 \h </w:instrText>
      </w:r>
      <w:r>
        <w:fldChar w:fldCharType="separate"/>
      </w:r>
      <w:r>
        <w:t>22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_Toc14314 </w:instrText>
      </w:r>
      <w:r>
        <w:rPr>
          <w:highlight w:val="none"/>
        </w:rPr>
        <w:fldChar w:fldCharType="separate"/>
      </w:r>
      <w:r>
        <w:rPr>
          <w:rFonts w:hint="eastAsia" w:ascii="宋体" w:hAnsi="宋体"/>
          <w:szCs w:val="24"/>
          <w:highlight w:val="none"/>
          <w:lang w:val="en-US" w:eastAsia="zh-CN"/>
        </w:rPr>
        <w:t>二</w:t>
      </w:r>
      <w:r>
        <w:rPr>
          <w:rFonts w:hint="eastAsia" w:ascii="宋体" w:hAnsi="宋体"/>
          <w:szCs w:val="24"/>
          <w:highlight w:val="none"/>
        </w:rPr>
        <w:t>、</w:t>
      </w:r>
      <w:r>
        <w:rPr>
          <w:rFonts w:hint="eastAsia" w:ascii="宋体" w:hAnsi="宋体"/>
          <w:szCs w:val="24"/>
          <w:highlight w:val="none"/>
          <w:lang w:val="en-US" w:eastAsia="zh-CN"/>
        </w:rPr>
        <w:t>中选通知</w:t>
      </w:r>
      <w:r>
        <w:rPr>
          <w:rFonts w:hint="eastAsia" w:ascii="宋体" w:hAnsi="宋体"/>
          <w:szCs w:val="24"/>
          <w:highlight w:val="none"/>
        </w:rPr>
        <w:t>书</w:t>
      </w:r>
      <w:r>
        <w:tab/>
      </w:r>
      <w:r>
        <w:fldChar w:fldCharType="begin"/>
      </w:r>
      <w:r>
        <w:instrText xml:space="preserve"> PAGEREF _Toc14314 \h </w:instrText>
      </w:r>
      <w:r>
        <w:fldChar w:fldCharType="separate"/>
      </w:r>
      <w:r>
        <w:t>25</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_Toc12830 </w:instrText>
      </w:r>
      <w:r>
        <w:rPr>
          <w:highlight w:val="none"/>
        </w:rPr>
        <w:fldChar w:fldCharType="separate"/>
      </w:r>
      <w:r>
        <w:rPr>
          <w:rFonts w:hint="eastAsia" w:ascii="宋体" w:hAnsi="宋体"/>
          <w:szCs w:val="24"/>
          <w:highlight w:val="none"/>
          <w:lang w:val="en-US" w:eastAsia="zh-CN"/>
        </w:rPr>
        <w:t>三</w:t>
      </w:r>
      <w:r>
        <w:rPr>
          <w:rFonts w:hint="eastAsia" w:ascii="宋体" w:hAnsi="宋体"/>
          <w:szCs w:val="24"/>
          <w:highlight w:val="none"/>
        </w:rPr>
        <w:t>、合同条款</w:t>
      </w:r>
      <w:r>
        <w:tab/>
      </w:r>
      <w:r>
        <w:fldChar w:fldCharType="begin"/>
      </w:r>
      <w:r>
        <w:instrText xml:space="preserve"> PAGEREF _Toc12830 \h </w:instrText>
      </w:r>
      <w:r>
        <w:fldChar w:fldCharType="separate"/>
      </w:r>
      <w:r>
        <w:t>26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_Toc18605 </w:instrText>
      </w:r>
      <w:r>
        <w:rPr>
          <w:highlight w:val="none"/>
        </w:rPr>
        <w:fldChar w:fldCharType="separate"/>
      </w:r>
      <w:r>
        <w:rPr>
          <w:rFonts w:hint="eastAsia" w:ascii="宋体" w:hAnsi="宋体" w:eastAsia="宋体" w:cs="宋体"/>
          <w:highlight w:val="none"/>
        </w:rPr>
        <w:t>1.定义及解释</w:t>
      </w:r>
      <w:r>
        <w:tab/>
      </w:r>
      <w:r>
        <w:fldChar w:fldCharType="begin"/>
      </w:r>
      <w:r>
        <w:instrText xml:space="preserve"> PAGEREF _Toc18605 \h </w:instrText>
      </w:r>
      <w:r>
        <w:fldChar w:fldCharType="separate"/>
      </w:r>
      <w:r>
        <w:t>26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_Toc26988 </w:instrText>
      </w:r>
      <w:r>
        <w:rPr>
          <w:highlight w:val="none"/>
        </w:rPr>
        <w:fldChar w:fldCharType="separate"/>
      </w:r>
      <w:r>
        <w:rPr>
          <w:rFonts w:hint="eastAsia" w:ascii="宋体" w:hAnsi="宋体" w:eastAsia="宋体" w:cs="宋体"/>
          <w:highlight w:val="none"/>
        </w:rPr>
        <w:t>2.适用性</w:t>
      </w:r>
      <w:r>
        <w:tab/>
      </w:r>
      <w:r>
        <w:fldChar w:fldCharType="begin"/>
      </w:r>
      <w:r>
        <w:instrText xml:space="preserve"> PAGEREF _Toc26988 \h </w:instrText>
      </w:r>
      <w:r>
        <w:fldChar w:fldCharType="separate"/>
      </w:r>
      <w:r>
        <w:t>26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_Toc15900 </w:instrText>
      </w:r>
      <w:r>
        <w:rPr>
          <w:highlight w:val="none"/>
        </w:rPr>
        <w:fldChar w:fldCharType="separate"/>
      </w:r>
      <w:r>
        <w:rPr>
          <w:rFonts w:hint="eastAsia" w:ascii="宋体" w:hAnsi="宋体" w:eastAsia="宋体" w:cs="宋体"/>
          <w:highlight w:val="none"/>
        </w:rPr>
        <w:t>3.</w:t>
      </w:r>
      <w:r>
        <w:rPr>
          <w:rFonts w:hint="eastAsia" w:ascii="宋体" w:hAnsi="宋体" w:eastAsia="宋体" w:cs="宋体"/>
          <w:bCs/>
          <w:highlight w:val="none"/>
        </w:rPr>
        <w:t>语言文字</w:t>
      </w:r>
      <w:r>
        <w:tab/>
      </w:r>
      <w:r>
        <w:fldChar w:fldCharType="begin"/>
      </w:r>
      <w:r>
        <w:instrText xml:space="preserve"> PAGEREF _Toc15900 \h </w:instrText>
      </w:r>
      <w:r>
        <w:fldChar w:fldCharType="separate"/>
      </w:r>
      <w:r>
        <w:t>26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_Toc11953 </w:instrText>
      </w:r>
      <w:r>
        <w:rPr>
          <w:highlight w:val="none"/>
        </w:rPr>
        <w:fldChar w:fldCharType="separate"/>
      </w:r>
      <w:r>
        <w:rPr>
          <w:rFonts w:hint="eastAsia" w:ascii="宋体" w:hAnsi="宋体" w:eastAsia="宋体" w:cs="宋体"/>
          <w:highlight w:val="none"/>
        </w:rPr>
        <w:t>4.</w:t>
      </w:r>
      <w:r>
        <w:rPr>
          <w:rFonts w:hint="eastAsia" w:ascii="宋体" w:hAnsi="宋体" w:eastAsia="宋体" w:cs="宋体"/>
          <w:bCs/>
          <w:highlight w:val="none"/>
        </w:rPr>
        <w:t>适用法律、标准和规范</w:t>
      </w:r>
      <w:r>
        <w:tab/>
      </w:r>
      <w:r>
        <w:fldChar w:fldCharType="begin"/>
      </w:r>
      <w:r>
        <w:instrText xml:space="preserve"> PAGEREF _Toc11953 \h </w:instrText>
      </w:r>
      <w:r>
        <w:fldChar w:fldCharType="separate"/>
      </w:r>
      <w:r>
        <w:t>26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_Toc5809 </w:instrText>
      </w:r>
      <w:r>
        <w:rPr>
          <w:highlight w:val="none"/>
        </w:rPr>
        <w:fldChar w:fldCharType="separate"/>
      </w:r>
      <w:r>
        <w:rPr>
          <w:rFonts w:hint="eastAsia" w:ascii="宋体" w:hAnsi="宋体" w:eastAsia="宋体" w:cs="宋体"/>
          <w:highlight w:val="none"/>
        </w:rPr>
        <w:t>5.合同文件、资料及使用</w:t>
      </w:r>
      <w:r>
        <w:tab/>
      </w:r>
      <w:r>
        <w:fldChar w:fldCharType="begin"/>
      </w:r>
      <w:r>
        <w:instrText xml:space="preserve"> PAGEREF _Toc5809 \h </w:instrText>
      </w:r>
      <w:r>
        <w:fldChar w:fldCharType="separate"/>
      </w:r>
      <w:r>
        <w:t>27</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_Toc24677 </w:instrText>
      </w:r>
      <w:r>
        <w:rPr>
          <w:highlight w:val="none"/>
        </w:rPr>
        <w:fldChar w:fldCharType="separate"/>
      </w:r>
      <w:r>
        <w:rPr>
          <w:rFonts w:hint="eastAsia" w:ascii="宋体" w:hAnsi="宋体" w:eastAsia="宋体" w:cs="宋体"/>
          <w:highlight w:val="none"/>
        </w:rPr>
        <w:t>6.知识产权</w:t>
      </w:r>
      <w:r>
        <w:tab/>
      </w:r>
      <w:r>
        <w:fldChar w:fldCharType="begin"/>
      </w:r>
      <w:r>
        <w:instrText xml:space="preserve"> PAGEREF _Toc24677 \h </w:instrText>
      </w:r>
      <w:r>
        <w:fldChar w:fldCharType="separate"/>
      </w:r>
      <w:r>
        <w:t>27</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_Toc12641 </w:instrText>
      </w:r>
      <w:r>
        <w:rPr>
          <w:highlight w:val="none"/>
        </w:rPr>
        <w:fldChar w:fldCharType="separate"/>
      </w:r>
      <w:r>
        <w:rPr>
          <w:rFonts w:hint="eastAsia" w:ascii="宋体" w:hAnsi="宋体" w:cs="宋体"/>
          <w:lang w:val="en-US" w:eastAsia="zh-CN"/>
        </w:rPr>
        <w:t xml:space="preserve">7. </w:t>
      </w:r>
      <w:r>
        <w:rPr>
          <w:rFonts w:hint="eastAsia" w:ascii="宋体" w:hAnsi="宋体" w:cs="宋体"/>
          <w:highlight w:val="none"/>
          <w:lang w:val="en-US" w:eastAsia="zh-CN"/>
        </w:rPr>
        <w:t>服务期</w:t>
      </w:r>
      <w:r>
        <w:tab/>
      </w:r>
      <w:r>
        <w:fldChar w:fldCharType="begin"/>
      </w:r>
      <w:r>
        <w:instrText xml:space="preserve"> PAGEREF _Toc12641 \h </w:instrText>
      </w:r>
      <w:r>
        <w:fldChar w:fldCharType="separate"/>
      </w:r>
      <w:r>
        <w:t>28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_Toc23191 </w:instrText>
      </w:r>
      <w:r>
        <w:rPr>
          <w:highlight w:val="none"/>
        </w:rPr>
        <w:fldChar w:fldCharType="separate"/>
      </w:r>
      <w:r>
        <w:rPr>
          <w:rFonts w:hint="eastAsia" w:ascii="宋体" w:hAnsi="宋体" w:cs="宋体"/>
          <w:highlight w:val="none"/>
          <w:lang w:val="en-US" w:eastAsia="zh-CN"/>
        </w:rPr>
        <w:t>8.</w:t>
      </w:r>
      <w:r>
        <w:rPr>
          <w:rFonts w:hint="eastAsia" w:ascii="宋体" w:hAnsi="宋体" w:eastAsia="宋体" w:cs="宋体"/>
          <w:highlight w:val="none"/>
        </w:rPr>
        <w:t>履约担保</w:t>
      </w:r>
      <w:r>
        <w:tab/>
      </w:r>
      <w:r>
        <w:fldChar w:fldCharType="begin"/>
      </w:r>
      <w:r>
        <w:instrText xml:space="preserve"> PAGEREF _Toc23191 \h </w:instrText>
      </w:r>
      <w:r>
        <w:fldChar w:fldCharType="separate"/>
      </w:r>
      <w:r>
        <w:t>28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_Toc22306 </w:instrText>
      </w:r>
      <w:r>
        <w:rPr>
          <w:highlight w:val="none"/>
        </w:rPr>
        <w:fldChar w:fldCharType="separate"/>
      </w:r>
      <w:r>
        <w:rPr>
          <w:rFonts w:hint="eastAsia" w:ascii="宋体" w:hAnsi="宋体" w:cs="宋体"/>
          <w:szCs w:val="21"/>
          <w:highlight w:val="none"/>
          <w:lang w:val="en-US" w:eastAsia="zh-CN"/>
        </w:rPr>
        <w:t>9</w:t>
      </w:r>
      <w:r>
        <w:rPr>
          <w:rFonts w:hint="eastAsia" w:ascii="宋体" w:hAnsi="宋体" w:eastAsia="宋体" w:cs="宋体"/>
          <w:szCs w:val="21"/>
          <w:highlight w:val="none"/>
          <w:lang w:val="en-US" w:eastAsia="zh-CN"/>
        </w:rPr>
        <w:t>.验收要求</w:t>
      </w:r>
      <w:r>
        <w:tab/>
      </w:r>
      <w:r>
        <w:fldChar w:fldCharType="begin"/>
      </w:r>
      <w:r>
        <w:instrText xml:space="preserve"> PAGEREF _Toc22306 \h </w:instrText>
      </w:r>
      <w:r>
        <w:fldChar w:fldCharType="separate"/>
      </w:r>
      <w:r>
        <w:t>28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_Toc21225 </w:instrText>
      </w:r>
      <w:r>
        <w:rPr>
          <w:highlight w:val="none"/>
        </w:rPr>
        <w:fldChar w:fldCharType="separate"/>
      </w:r>
      <w:r>
        <w:rPr>
          <w:rFonts w:hint="eastAsia" w:ascii="宋体" w:hAnsi="宋体" w:cs="宋体"/>
          <w:highlight w:val="none"/>
          <w:lang w:val="en-US" w:eastAsia="zh-CN"/>
        </w:rPr>
        <w:t>10</w:t>
      </w:r>
      <w:r>
        <w:rPr>
          <w:rFonts w:hint="eastAsia" w:ascii="宋体" w:hAnsi="宋体" w:eastAsia="宋体" w:cs="宋体"/>
          <w:highlight w:val="none"/>
        </w:rPr>
        <w:t>.合同价款支付方式</w:t>
      </w:r>
      <w:r>
        <w:tab/>
      </w:r>
      <w:r>
        <w:fldChar w:fldCharType="begin"/>
      </w:r>
      <w:r>
        <w:instrText xml:space="preserve"> PAGEREF _Toc21225 \h </w:instrText>
      </w:r>
      <w:r>
        <w:fldChar w:fldCharType="separate"/>
      </w:r>
      <w:r>
        <w:t>28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_Toc15760 </w:instrText>
      </w:r>
      <w:r>
        <w:rPr>
          <w:highlight w:val="none"/>
        </w:rPr>
        <w:fldChar w:fldCharType="separate"/>
      </w:r>
      <w:r>
        <w:rPr>
          <w:rFonts w:hint="eastAsia" w:ascii="宋体" w:hAnsi="宋体" w:cs="宋体"/>
          <w:highlight w:val="none"/>
          <w:lang w:val="en-US" w:eastAsia="zh-CN"/>
        </w:rPr>
        <w:t>11</w:t>
      </w:r>
      <w:r>
        <w:rPr>
          <w:rFonts w:hint="eastAsia" w:ascii="宋体" w:hAnsi="宋体" w:eastAsia="宋体" w:cs="宋体"/>
          <w:highlight w:val="none"/>
        </w:rPr>
        <w:t>.合同价格</w:t>
      </w:r>
      <w:r>
        <w:tab/>
      </w:r>
      <w:r>
        <w:fldChar w:fldCharType="begin"/>
      </w:r>
      <w:r>
        <w:instrText xml:space="preserve"> PAGEREF _Toc15760 \h </w:instrText>
      </w:r>
      <w:r>
        <w:fldChar w:fldCharType="separate"/>
      </w:r>
      <w:r>
        <w:t>28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_Toc3351 </w:instrText>
      </w:r>
      <w:r>
        <w:rPr>
          <w:highlight w:val="none"/>
        </w:rPr>
        <w:fldChar w:fldCharType="separate"/>
      </w:r>
      <w:r>
        <w:rPr>
          <w:rFonts w:hint="eastAsia" w:ascii="宋体" w:hAnsi="宋体" w:eastAsia="宋体" w:cs="宋体"/>
          <w:highlight w:val="none"/>
          <w:lang w:val="en-US" w:eastAsia="zh-CN"/>
        </w:rPr>
        <w:t>1</w:t>
      </w:r>
      <w:r>
        <w:rPr>
          <w:rFonts w:hint="eastAsia" w:ascii="宋体" w:hAnsi="宋体" w:cs="宋体"/>
          <w:highlight w:val="none"/>
          <w:lang w:val="en-US" w:eastAsia="zh-CN"/>
        </w:rPr>
        <w:t>2</w:t>
      </w:r>
      <w:r>
        <w:rPr>
          <w:rFonts w:hint="eastAsia" w:ascii="宋体" w:hAnsi="宋体" w:eastAsia="宋体" w:cs="宋体"/>
          <w:highlight w:val="none"/>
        </w:rPr>
        <w:t>.合同变更与修改</w:t>
      </w:r>
      <w:r>
        <w:tab/>
      </w:r>
      <w:r>
        <w:fldChar w:fldCharType="begin"/>
      </w:r>
      <w:r>
        <w:instrText xml:space="preserve"> PAGEREF _Toc3351 \h </w:instrText>
      </w:r>
      <w:r>
        <w:fldChar w:fldCharType="separate"/>
      </w:r>
      <w:r>
        <w:t>29</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_Toc13244 </w:instrText>
      </w:r>
      <w:r>
        <w:rPr>
          <w:highlight w:val="none"/>
        </w:rPr>
        <w:fldChar w:fldCharType="separate"/>
      </w:r>
      <w:r>
        <w:rPr>
          <w:rFonts w:hint="eastAsia" w:ascii="宋体" w:hAnsi="宋体" w:eastAsia="宋体" w:cs="宋体"/>
          <w:highlight w:val="none"/>
          <w:lang w:val="en-US" w:eastAsia="zh-CN"/>
        </w:rPr>
        <w:t>1</w:t>
      </w:r>
      <w:r>
        <w:rPr>
          <w:rFonts w:hint="eastAsia" w:ascii="宋体" w:hAnsi="宋体" w:cs="宋体"/>
          <w:highlight w:val="none"/>
          <w:lang w:val="en-US" w:eastAsia="zh-CN"/>
        </w:rPr>
        <w:t>3</w:t>
      </w:r>
      <w:r>
        <w:rPr>
          <w:rFonts w:hint="eastAsia" w:ascii="宋体" w:hAnsi="宋体" w:eastAsia="宋体" w:cs="宋体"/>
          <w:highlight w:val="none"/>
          <w:lang w:val="en-US" w:eastAsia="zh-CN"/>
        </w:rPr>
        <w:t>.</w:t>
      </w:r>
      <w:r>
        <w:rPr>
          <w:rFonts w:hint="eastAsia" w:ascii="宋体" w:hAnsi="宋体" w:eastAsia="宋体" w:cs="宋体"/>
          <w:szCs w:val="21"/>
          <w:highlight w:val="none"/>
        </w:rPr>
        <w:t>考核</w:t>
      </w:r>
      <w:r>
        <w:rPr>
          <w:rFonts w:hint="eastAsia" w:ascii="宋体" w:hAnsi="宋体" w:eastAsia="宋体" w:cs="宋体"/>
          <w:szCs w:val="21"/>
          <w:highlight w:val="none"/>
          <w:lang w:val="en-US" w:eastAsia="zh-CN"/>
        </w:rPr>
        <w:t>评价</w:t>
      </w:r>
      <w:r>
        <w:tab/>
      </w:r>
      <w:r>
        <w:fldChar w:fldCharType="begin"/>
      </w:r>
      <w:r>
        <w:instrText xml:space="preserve"> PAGEREF _Toc13244 \h </w:instrText>
      </w:r>
      <w:r>
        <w:fldChar w:fldCharType="separate"/>
      </w:r>
      <w:r>
        <w:t>29</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_Toc29972 </w:instrText>
      </w:r>
      <w:r>
        <w:rPr>
          <w:highlight w:val="none"/>
        </w:rPr>
        <w:fldChar w:fldCharType="separate"/>
      </w:r>
      <w:r>
        <w:rPr>
          <w:rFonts w:hint="eastAsia" w:ascii="宋体" w:hAnsi="宋体" w:eastAsia="宋体" w:cs="宋体"/>
          <w:highlight w:val="none"/>
          <w:lang w:val="en-US" w:eastAsia="zh-CN"/>
        </w:rPr>
        <w:t>1</w:t>
      </w:r>
      <w:r>
        <w:rPr>
          <w:rFonts w:hint="eastAsia" w:ascii="宋体" w:hAnsi="宋体" w:cs="宋体"/>
          <w:highlight w:val="none"/>
          <w:lang w:val="en-US" w:eastAsia="zh-CN"/>
        </w:rPr>
        <w:t>4</w:t>
      </w:r>
      <w:r>
        <w:rPr>
          <w:rFonts w:hint="eastAsia" w:ascii="宋体" w:hAnsi="宋体" w:eastAsia="宋体" w:cs="宋体"/>
          <w:highlight w:val="none"/>
        </w:rPr>
        <w:t>.转让和分包</w:t>
      </w:r>
      <w:r>
        <w:tab/>
      </w:r>
      <w:r>
        <w:fldChar w:fldCharType="begin"/>
      </w:r>
      <w:r>
        <w:instrText xml:space="preserve"> PAGEREF _Toc29972 \h </w:instrText>
      </w:r>
      <w:r>
        <w:fldChar w:fldCharType="separate"/>
      </w:r>
      <w:r>
        <w:t>30</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_Toc29287 </w:instrText>
      </w:r>
      <w:r>
        <w:rPr>
          <w:highlight w:val="none"/>
        </w:rPr>
        <w:fldChar w:fldCharType="separate"/>
      </w:r>
      <w:r>
        <w:rPr>
          <w:rFonts w:hint="eastAsia" w:ascii="宋体" w:hAnsi="宋体" w:eastAsia="宋体" w:cs="宋体"/>
          <w:highlight w:val="none"/>
          <w:lang w:val="en-US" w:eastAsia="zh-CN"/>
        </w:rPr>
        <w:t>1</w:t>
      </w:r>
      <w:r>
        <w:rPr>
          <w:rFonts w:hint="eastAsia" w:ascii="宋体" w:hAnsi="宋体" w:cs="宋体"/>
          <w:highlight w:val="none"/>
          <w:lang w:val="en-US" w:eastAsia="zh-CN"/>
        </w:rPr>
        <w:t>6</w:t>
      </w:r>
      <w:r>
        <w:rPr>
          <w:rFonts w:hint="eastAsia" w:ascii="宋体" w:hAnsi="宋体" w:eastAsia="宋体" w:cs="宋体"/>
          <w:highlight w:val="none"/>
        </w:rPr>
        <w:t>.</w:t>
      </w:r>
      <w:r>
        <w:rPr>
          <w:rFonts w:hint="eastAsia" w:ascii="宋体" w:hAnsi="宋体" w:eastAsia="宋体" w:cs="宋体"/>
          <w:bCs/>
          <w:highlight w:val="none"/>
        </w:rPr>
        <w:t>合同解除和终止</w:t>
      </w:r>
      <w:r>
        <w:tab/>
      </w:r>
      <w:r>
        <w:fldChar w:fldCharType="begin"/>
      </w:r>
      <w:r>
        <w:instrText xml:space="preserve"> PAGEREF _Toc29287 \h </w:instrText>
      </w:r>
      <w:r>
        <w:fldChar w:fldCharType="separate"/>
      </w:r>
      <w:r>
        <w:t>31</w:t>
      </w:r>
      <w:r>
        <w:fldChar w:fldCharType="end"/>
      </w:r>
      <w:r>
        <w:rPr>
          <w:color w:val="auto"/>
          <w:highlight w:val="none"/>
        </w:rPr>
        <w:fldChar w:fldCharType="end"/>
      </w:r>
    </w:p>
    <w:p>
      <w:pPr>
        <w:pStyle w:val="26"/>
        <w:tabs>
          <w:tab w:val="right" w:leader="dot" w:pos="9071"/>
        </w:tabs>
        <w:ind w:left="0" w:firstLine="420" w:firstLineChars="200"/>
      </w:pPr>
      <w:r>
        <w:rPr>
          <w:color w:val="auto"/>
          <w:highlight w:val="none"/>
        </w:rPr>
        <w:fldChar w:fldCharType="begin"/>
      </w:r>
      <w:r>
        <w:rPr>
          <w:highlight w:val="none"/>
        </w:rPr>
        <w:instrText xml:space="preserve"> HYPERLINK \l _Toc21194 </w:instrText>
      </w:r>
      <w:r>
        <w:rPr>
          <w:highlight w:val="none"/>
        </w:rPr>
        <w:fldChar w:fldCharType="separate"/>
      </w:r>
      <w:r>
        <w:rPr>
          <w:rFonts w:hint="eastAsia" w:ascii="宋体" w:hAnsi="宋体" w:eastAsia="宋体" w:cs="宋体"/>
          <w:highlight w:val="none"/>
          <w:lang w:val="en-US" w:eastAsia="zh-CN"/>
        </w:rPr>
        <w:t>1</w:t>
      </w:r>
      <w:r>
        <w:rPr>
          <w:rFonts w:hint="eastAsia" w:ascii="宋体" w:hAnsi="宋体" w:cs="宋体"/>
          <w:highlight w:val="none"/>
          <w:lang w:val="en-US" w:eastAsia="zh-CN"/>
        </w:rPr>
        <w:t>7</w:t>
      </w:r>
      <w:r>
        <w:rPr>
          <w:rFonts w:hint="eastAsia" w:ascii="宋体" w:hAnsi="宋体" w:eastAsia="宋体" w:cs="宋体"/>
          <w:highlight w:val="none"/>
        </w:rPr>
        <w:t>.通知</w:t>
      </w:r>
      <w:r>
        <w:tab/>
      </w:r>
      <w:r>
        <w:fldChar w:fldCharType="begin"/>
      </w:r>
      <w:r>
        <w:instrText xml:space="preserve"> PAGEREF _Toc21194 \h </w:instrText>
      </w:r>
      <w:r>
        <w:fldChar w:fldCharType="separate"/>
      </w:r>
      <w:r>
        <w:t>31</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_Toc11504 </w:instrText>
      </w:r>
      <w:r>
        <w:rPr>
          <w:highlight w:val="none"/>
        </w:rPr>
        <w:fldChar w:fldCharType="separate"/>
      </w:r>
      <w:r>
        <w:rPr>
          <w:rFonts w:hint="eastAsia" w:ascii="宋体" w:hAnsi="宋体" w:cs="宋体"/>
          <w:highlight w:val="none"/>
          <w:lang w:val="en-US" w:eastAsia="zh-CN"/>
        </w:rPr>
        <w:t>18</w:t>
      </w:r>
      <w:r>
        <w:rPr>
          <w:rFonts w:hint="eastAsia" w:ascii="宋体" w:hAnsi="宋体" w:eastAsia="宋体" w:cs="宋体"/>
          <w:highlight w:val="none"/>
        </w:rPr>
        <w:t>.争端的解决</w:t>
      </w:r>
      <w:r>
        <w:tab/>
      </w:r>
      <w:r>
        <w:fldChar w:fldCharType="begin"/>
      </w:r>
      <w:r>
        <w:instrText xml:space="preserve"> PAGEREF _Toc11504 \h </w:instrText>
      </w:r>
      <w:r>
        <w:fldChar w:fldCharType="separate"/>
      </w:r>
      <w:r>
        <w:t>31</w:t>
      </w:r>
      <w:r>
        <w:fldChar w:fldCharType="end"/>
      </w:r>
      <w:r>
        <w:rPr>
          <w:color w:val="auto"/>
          <w:highlight w:val="none"/>
        </w:rPr>
        <w:fldChar w:fldCharType="end"/>
      </w:r>
    </w:p>
    <w:p>
      <w:pPr>
        <w:pStyle w:val="26"/>
        <w:tabs>
          <w:tab w:val="right" w:leader="dot" w:pos="9071"/>
        </w:tabs>
        <w:rPr>
          <w:rFonts w:hint="eastAsia" w:ascii="宋体" w:hAnsi="宋体" w:eastAsia="宋体" w:cs="宋体"/>
          <w:highlight w:val="none"/>
        </w:rPr>
      </w:pPr>
      <w:r>
        <w:rPr>
          <w:color w:val="auto"/>
          <w:highlight w:val="none"/>
        </w:rPr>
        <w:fldChar w:fldCharType="begin"/>
      </w:r>
      <w:r>
        <w:rPr>
          <w:highlight w:val="none"/>
        </w:rPr>
        <w:instrText xml:space="preserve"> HYPERLINK \l _Toc3801 </w:instrText>
      </w:r>
      <w:r>
        <w:rPr>
          <w:highlight w:val="none"/>
        </w:rPr>
        <w:fldChar w:fldCharType="separate"/>
      </w:r>
      <w:r>
        <w:rPr>
          <w:rFonts w:hint="eastAsia" w:ascii="宋体" w:hAnsi="宋体" w:cs="宋体"/>
          <w:highlight w:val="none"/>
          <w:lang w:val="en-US" w:eastAsia="zh-CN"/>
        </w:rPr>
        <w:t>19</w:t>
      </w:r>
      <w:r>
        <w:rPr>
          <w:rFonts w:hint="eastAsia" w:ascii="宋体" w:hAnsi="宋体" w:eastAsia="宋体" w:cs="宋体"/>
          <w:highlight w:val="none"/>
        </w:rPr>
        <w:t>.合同生效和签约地</w:t>
      </w:r>
      <w:r>
        <w:tab/>
      </w:r>
      <w:r>
        <w:fldChar w:fldCharType="begin"/>
      </w:r>
      <w:r>
        <w:instrText xml:space="preserve"> PAGEREF _Toc11504 \h </w:instrText>
      </w:r>
      <w:r>
        <w:fldChar w:fldCharType="separate"/>
      </w:r>
      <w:r>
        <w:t>31</w:t>
      </w:r>
      <w:r>
        <w:fldChar w:fldCharType="end"/>
      </w:r>
    </w:p>
    <w:p>
      <w:pPr>
        <w:pStyle w:val="26"/>
        <w:tabs>
          <w:tab w:val="right" w:leader="dot" w:pos="9071"/>
        </w:tabs>
      </w:pPr>
      <w:r>
        <w:rPr>
          <w:rFonts w:hint="eastAsia" w:ascii="宋体" w:hAnsi="宋体" w:cs="宋体"/>
          <w:highlight w:val="none"/>
          <w:lang w:val="en-US" w:eastAsia="zh-CN"/>
        </w:rPr>
        <w:t>20.</w:t>
      </w:r>
      <w:r>
        <w:rPr>
          <w:rFonts w:hint="eastAsia" w:ascii="宋体" w:hAnsi="宋体" w:cs="宋体"/>
          <w:highlight w:val="none"/>
        </w:rPr>
        <w:t>索赔与赔偿</w:t>
      </w:r>
      <w:r>
        <w:tab/>
      </w:r>
      <w:r>
        <w:fldChar w:fldCharType="begin"/>
      </w:r>
      <w:r>
        <w:instrText xml:space="preserve"> PAGEREF _Toc3801 \h </w:instrText>
      </w:r>
      <w:r>
        <w:fldChar w:fldCharType="separate"/>
      </w:r>
      <w:r>
        <w:t>31</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_Toc23457 </w:instrText>
      </w:r>
      <w:r>
        <w:rPr>
          <w:highlight w:val="none"/>
        </w:rPr>
        <w:fldChar w:fldCharType="separate"/>
      </w:r>
      <w:r>
        <w:rPr>
          <w:rFonts w:hint="eastAsia" w:ascii="宋体" w:hAnsi="宋体" w:eastAsia="宋体" w:cs="宋体"/>
          <w:highlight w:val="none"/>
          <w:lang w:val="en-US" w:eastAsia="zh-CN"/>
        </w:rPr>
        <w:t>2</w:t>
      </w:r>
      <w:r>
        <w:rPr>
          <w:rFonts w:hint="eastAsia" w:ascii="宋体" w:hAnsi="宋体" w:cs="宋体"/>
          <w:highlight w:val="none"/>
          <w:lang w:val="en-US" w:eastAsia="zh-CN"/>
        </w:rPr>
        <w:t>1</w:t>
      </w:r>
      <w:r>
        <w:rPr>
          <w:rFonts w:hint="eastAsia" w:ascii="宋体" w:hAnsi="宋体" w:eastAsia="宋体" w:cs="宋体"/>
          <w:highlight w:val="none"/>
        </w:rPr>
        <w:t>.其他</w:t>
      </w:r>
      <w:r>
        <w:tab/>
      </w:r>
      <w:r>
        <w:fldChar w:fldCharType="begin"/>
      </w:r>
      <w:r>
        <w:instrText xml:space="preserve"> PAGEREF _Toc23457 \h </w:instrText>
      </w:r>
      <w:r>
        <w:fldChar w:fldCharType="separate"/>
      </w:r>
      <w:r>
        <w:t>32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_Toc24428 </w:instrText>
      </w:r>
      <w:r>
        <w:rPr>
          <w:highlight w:val="none"/>
        </w:rPr>
        <w:fldChar w:fldCharType="separate"/>
      </w:r>
      <w:r>
        <w:rPr>
          <w:rFonts w:hint="eastAsia" w:ascii="宋体" w:hAnsi="宋体" w:cs="Times New Roman"/>
          <w:szCs w:val="24"/>
          <w:highlight w:val="none"/>
          <w:lang w:val="en-US" w:eastAsia="zh-CN" w:bidi="ar-SA"/>
        </w:rPr>
        <w:t>四</w:t>
      </w:r>
      <w:r>
        <w:rPr>
          <w:rFonts w:hint="eastAsia" w:ascii="宋体" w:hAnsi="宋体" w:eastAsia="宋体" w:cs="Times New Roman"/>
          <w:szCs w:val="24"/>
          <w:highlight w:val="none"/>
          <w:lang w:val="en-US" w:eastAsia="zh-CN" w:bidi="ar-SA"/>
        </w:rPr>
        <w:t>、</w:t>
      </w:r>
      <w:r>
        <w:rPr>
          <w:rFonts w:hint="eastAsia" w:ascii="宋体" w:hAnsi="宋体"/>
          <w:szCs w:val="24"/>
          <w:highlight w:val="none"/>
          <w:lang w:val="en-US" w:eastAsia="zh-CN"/>
        </w:rPr>
        <w:t>价格组成文件</w:t>
      </w:r>
      <w:r>
        <w:tab/>
      </w:r>
      <w:r>
        <w:fldChar w:fldCharType="begin"/>
      </w:r>
      <w:r>
        <w:instrText xml:space="preserve"> PAGEREF _Toc24428 \h </w:instrText>
      </w:r>
      <w:r>
        <w:fldChar w:fldCharType="separate"/>
      </w:r>
      <w:r>
        <w:t>33</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_Toc4246 </w:instrText>
      </w:r>
      <w:r>
        <w:rPr>
          <w:highlight w:val="none"/>
        </w:rPr>
        <w:fldChar w:fldCharType="separate"/>
      </w:r>
      <w:r>
        <w:rPr>
          <w:rFonts w:hint="eastAsia" w:ascii="宋体" w:hAnsi="宋体" w:cs="宋体"/>
          <w:szCs w:val="21"/>
          <w:highlight w:val="none"/>
        </w:rPr>
        <w:t>1.税率确认函</w:t>
      </w:r>
      <w:r>
        <w:tab/>
      </w:r>
      <w:r>
        <w:fldChar w:fldCharType="begin"/>
      </w:r>
      <w:r>
        <w:instrText xml:space="preserve"> PAGEREF _Toc4246 \h </w:instrText>
      </w:r>
      <w:r>
        <w:fldChar w:fldCharType="separate"/>
      </w:r>
      <w:r>
        <w:t>33</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_Toc5801 </w:instrText>
      </w:r>
      <w:r>
        <w:rPr>
          <w:highlight w:val="none"/>
        </w:rPr>
        <w:fldChar w:fldCharType="separate"/>
      </w:r>
      <w:r>
        <w:rPr>
          <w:rFonts w:hint="eastAsia" w:ascii="宋体" w:hAnsi="宋体" w:cs="宋体"/>
          <w:szCs w:val="21"/>
          <w:highlight w:val="none"/>
        </w:rPr>
        <w:t>2.中选文件分项报价表</w:t>
      </w:r>
      <w:r>
        <w:tab/>
      </w:r>
      <w:r>
        <w:fldChar w:fldCharType="begin"/>
      </w:r>
      <w:r>
        <w:instrText xml:space="preserve"> PAGEREF _Toc5801 \h </w:instrText>
      </w:r>
      <w:r>
        <w:fldChar w:fldCharType="separate"/>
      </w:r>
      <w:r>
        <w:t>33</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_Toc2601 </w:instrText>
      </w:r>
      <w:r>
        <w:rPr>
          <w:highlight w:val="none"/>
        </w:rPr>
        <w:fldChar w:fldCharType="separate"/>
      </w:r>
      <w:r>
        <w:rPr>
          <w:rFonts w:hint="eastAsia" w:ascii="宋体" w:hAnsi="宋体" w:eastAsia="宋体"/>
          <w:highlight w:val="none"/>
        </w:rPr>
        <w:t>第四章比选申请文件格式</w:t>
      </w:r>
      <w:r>
        <w:tab/>
      </w:r>
      <w:r>
        <w:fldChar w:fldCharType="begin"/>
      </w:r>
      <w:r>
        <w:instrText xml:space="preserve"> PAGEREF _Toc2601 \h </w:instrText>
      </w:r>
      <w:r>
        <w:fldChar w:fldCharType="separate"/>
      </w:r>
      <w:r>
        <w:t>38</w:t>
      </w:r>
      <w:r>
        <w:fldChar w:fldCharType="end"/>
      </w:r>
      <w:r>
        <w:rPr>
          <w:color w:val="auto"/>
          <w:highlight w:val="none"/>
        </w:rPr>
        <w:fldChar w:fldCharType="end"/>
      </w:r>
    </w:p>
    <w:p>
      <w:pPr>
        <w:pStyle w:val="21"/>
        <w:tabs>
          <w:tab w:val="right" w:leader="dot" w:pos="9071"/>
        </w:tabs>
        <w:ind w:left="0" w:leftChars="0" w:firstLine="0" w:firstLineChars="0"/>
      </w:pPr>
      <w:r>
        <w:rPr>
          <w:color w:val="auto"/>
          <w:highlight w:val="none"/>
        </w:rPr>
        <w:fldChar w:fldCharType="begin"/>
      </w:r>
      <w:r>
        <w:rPr>
          <w:highlight w:val="none"/>
        </w:rPr>
        <w:instrText xml:space="preserve"> HYPERLINK \l _Toc26410 </w:instrText>
      </w:r>
      <w:r>
        <w:rPr>
          <w:highlight w:val="none"/>
        </w:rPr>
        <w:fldChar w:fldCharType="separate"/>
      </w:r>
      <w:r>
        <w:rPr>
          <w:szCs w:val="24"/>
          <w:highlight w:val="none"/>
        </w:rPr>
        <w:t>A 资格审查</w:t>
      </w:r>
      <w:r>
        <w:rPr>
          <w:rFonts w:hint="eastAsia"/>
          <w:szCs w:val="24"/>
          <w:highlight w:val="none"/>
        </w:rPr>
        <w:t>文件</w:t>
      </w:r>
      <w:r>
        <w:tab/>
      </w:r>
      <w:r>
        <w:fldChar w:fldCharType="begin"/>
      </w:r>
      <w:r>
        <w:instrText xml:space="preserve"> PAGEREF _Toc26410 \h </w:instrText>
      </w:r>
      <w:r>
        <w:fldChar w:fldCharType="separate"/>
      </w:r>
      <w:r>
        <w:t>38</w:t>
      </w:r>
      <w:r>
        <w:fldChar w:fldCharType="end"/>
      </w:r>
      <w:r>
        <w:rPr>
          <w:color w:val="auto"/>
          <w:highlight w:val="none"/>
        </w:rPr>
        <w:fldChar w:fldCharType="end"/>
      </w:r>
    </w:p>
    <w:p>
      <w:pPr>
        <w:pStyle w:val="21"/>
        <w:tabs>
          <w:tab w:val="right" w:leader="dot" w:pos="9071"/>
        </w:tabs>
        <w:ind w:left="694" w:leftChars="195" w:hanging="285" w:hangingChars="136"/>
      </w:pPr>
      <w:r>
        <w:rPr>
          <w:color w:val="auto"/>
          <w:highlight w:val="none"/>
        </w:rPr>
        <w:fldChar w:fldCharType="begin"/>
      </w:r>
      <w:r>
        <w:rPr>
          <w:highlight w:val="none"/>
        </w:rPr>
        <w:instrText xml:space="preserve"> HYPERLINK \l _Toc3990 </w:instrText>
      </w:r>
      <w:r>
        <w:rPr>
          <w:highlight w:val="none"/>
        </w:rPr>
        <w:fldChar w:fldCharType="separate"/>
      </w:r>
      <w:r>
        <w:rPr>
          <w:rFonts w:hint="eastAsia" w:ascii="宋体" w:hAnsi="宋体"/>
          <w:i w:val="0"/>
          <w:szCs w:val="21"/>
        </w:rPr>
        <w:t xml:space="preserve">A1 </w:t>
      </w:r>
      <w:r>
        <w:rPr>
          <w:rFonts w:ascii="宋体" w:hAnsi="宋体"/>
          <w:highlight w:val="none"/>
        </w:rPr>
        <w:t>法定代表人授权书格式</w:t>
      </w:r>
      <w:r>
        <w:tab/>
      </w:r>
      <w:r>
        <w:fldChar w:fldCharType="begin"/>
      </w:r>
      <w:r>
        <w:instrText xml:space="preserve"> PAGEREF _Toc3990 \h </w:instrText>
      </w:r>
      <w:r>
        <w:fldChar w:fldCharType="separate"/>
      </w:r>
      <w:r>
        <w:t>39</w:t>
      </w:r>
      <w:r>
        <w:fldChar w:fldCharType="end"/>
      </w:r>
      <w:r>
        <w:rPr>
          <w:color w:val="auto"/>
          <w:highlight w:val="none"/>
        </w:rPr>
        <w:fldChar w:fldCharType="end"/>
      </w:r>
    </w:p>
    <w:p>
      <w:pPr>
        <w:pStyle w:val="21"/>
        <w:tabs>
          <w:tab w:val="right" w:leader="dot" w:pos="9071"/>
        </w:tabs>
        <w:ind w:left="694" w:leftChars="195" w:hanging="285" w:hangingChars="136"/>
      </w:pPr>
      <w:r>
        <w:rPr>
          <w:color w:val="auto"/>
          <w:highlight w:val="none"/>
        </w:rPr>
        <w:fldChar w:fldCharType="begin"/>
      </w:r>
      <w:r>
        <w:rPr>
          <w:highlight w:val="none"/>
        </w:rPr>
        <w:instrText xml:space="preserve"> HYPERLINK \l _Toc26168 </w:instrText>
      </w:r>
      <w:r>
        <w:rPr>
          <w:highlight w:val="none"/>
        </w:rPr>
        <w:fldChar w:fldCharType="separate"/>
      </w:r>
      <w:r>
        <w:rPr>
          <w:rFonts w:hint="eastAsia" w:ascii="宋体" w:hAnsi="宋体"/>
          <w:i w:val="0"/>
          <w:szCs w:val="21"/>
        </w:rPr>
        <w:t xml:space="preserve">A2 </w:t>
      </w:r>
      <w:r>
        <w:rPr>
          <w:rFonts w:ascii="宋体" w:hAnsi="宋体"/>
          <w:highlight w:val="none"/>
        </w:rPr>
        <w:t>法定代表人资格证明书格式</w:t>
      </w:r>
      <w:r>
        <w:tab/>
      </w:r>
      <w:r>
        <w:fldChar w:fldCharType="begin"/>
      </w:r>
      <w:r>
        <w:instrText xml:space="preserve"> PAGEREF _Toc26168 \h </w:instrText>
      </w:r>
      <w:r>
        <w:fldChar w:fldCharType="separate"/>
      </w:r>
      <w:r>
        <w:t>40</w:t>
      </w:r>
      <w:r>
        <w:fldChar w:fldCharType="end"/>
      </w:r>
      <w:r>
        <w:rPr>
          <w:color w:val="auto"/>
          <w:highlight w:val="none"/>
        </w:rPr>
        <w:fldChar w:fldCharType="end"/>
      </w:r>
    </w:p>
    <w:p>
      <w:pPr>
        <w:pStyle w:val="21"/>
        <w:tabs>
          <w:tab w:val="right" w:leader="dot" w:pos="9071"/>
        </w:tabs>
        <w:ind w:left="694" w:leftChars="195" w:hanging="285" w:hangingChars="136"/>
      </w:pPr>
      <w:r>
        <w:rPr>
          <w:color w:val="auto"/>
          <w:highlight w:val="none"/>
        </w:rPr>
        <w:fldChar w:fldCharType="begin"/>
      </w:r>
      <w:r>
        <w:rPr>
          <w:highlight w:val="none"/>
        </w:rPr>
        <w:instrText xml:space="preserve"> HYPERLINK \l _Toc2062 </w:instrText>
      </w:r>
      <w:r>
        <w:rPr>
          <w:highlight w:val="none"/>
        </w:rPr>
        <w:fldChar w:fldCharType="separate"/>
      </w:r>
      <w:r>
        <w:rPr>
          <w:rFonts w:hint="eastAsia" w:ascii="宋体" w:hAnsi="宋体"/>
          <w:highlight w:val="none"/>
        </w:rPr>
        <w:t xml:space="preserve">A3 </w:t>
      </w:r>
      <w:r>
        <w:rPr>
          <w:rFonts w:ascii="宋体" w:hAnsi="宋体"/>
          <w:highlight w:val="none"/>
        </w:rPr>
        <w:t>承诺书格式</w:t>
      </w:r>
      <w:r>
        <w:tab/>
      </w:r>
      <w:r>
        <w:fldChar w:fldCharType="begin"/>
      </w:r>
      <w:r>
        <w:instrText xml:space="preserve"> PAGEREF _Toc2062 \h </w:instrText>
      </w:r>
      <w:r>
        <w:fldChar w:fldCharType="separate"/>
      </w:r>
      <w:r>
        <w:t>41</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_Toc12552 </w:instrText>
      </w:r>
      <w:r>
        <w:rPr>
          <w:highlight w:val="none"/>
        </w:rPr>
        <w:fldChar w:fldCharType="separate"/>
      </w:r>
      <w:r>
        <w:rPr>
          <w:rFonts w:hint="eastAsia" w:ascii="宋体" w:hAnsi="宋体"/>
          <w:highlight w:val="none"/>
        </w:rPr>
        <w:t>A</w:t>
      </w:r>
      <w:r>
        <w:rPr>
          <w:rFonts w:hint="eastAsia" w:ascii="宋体" w:hAnsi="宋体"/>
          <w:highlight w:val="none"/>
          <w:lang w:val="en-US" w:eastAsia="zh-CN"/>
        </w:rPr>
        <w:t>4</w:t>
      </w:r>
      <w:r>
        <w:rPr>
          <w:rFonts w:hint="eastAsia" w:ascii="宋体" w:hAnsi="宋体"/>
          <w:highlight w:val="none"/>
        </w:rPr>
        <w:t xml:space="preserve"> 类似项目业绩表</w:t>
      </w:r>
      <w:r>
        <w:tab/>
      </w:r>
      <w:r>
        <w:fldChar w:fldCharType="begin"/>
      </w:r>
      <w:r>
        <w:instrText xml:space="preserve"> PAGEREF _Toc12552 \h </w:instrText>
      </w:r>
      <w:r>
        <w:fldChar w:fldCharType="separate"/>
      </w:r>
      <w:r>
        <w:t>42</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_Toc19353 </w:instrText>
      </w:r>
      <w:r>
        <w:rPr>
          <w:highlight w:val="none"/>
        </w:rPr>
        <w:fldChar w:fldCharType="separate"/>
      </w:r>
      <w:r>
        <w:rPr>
          <w:rFonts w:hint="eastAsia"/>
          <w:szCs w:val="24"/>
          <w:highlight w:val="none"/>
        </w:rPr>
        <w:t xml:space="preserve">B </w:t>
      </w:r>
      <w:r>
        <w:rPr>
          <w:rFonts w:hAnsi="宋体"/>
          <w:szCs w:val="24"/>
          <w:highlight w:val="none"/>
        </w:rPr>
        <w:t>技术</w:t>
      </w:r>
      <w:r>
        <w:rPr>
          <w:rFonts w:hint="eastAsia" w:hAnsi="宋体"/>
          <w:szCs w:val="24"/>
          <w:highlight w:val="none"/>
        </w:rPr>
        <w:t>文件</w:t>
      </w:r>
      <w:r>
        <w:tab/>
      </w:r>
      <w:r>
        <w:fldChar w:fldCharType="begin"/>
      </w:r>
      <w:r>
        <w:instrText xml:space="preserve"> PAGEREF _Toc19353 \h </w:instrText>
      </w:r>
      <w:r>
        <w:fldChar w:fldCharType="separate"/>
      </w:r>
      <w:r>
        <w:t>43</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_Toc14492 </w:instrText>
      </w:r>
      <w:r>
        <w:rPr>
          <w:highlight w:val="none"/>
        </w:rPr>
        <w:fldChar w:fldCharType="separate"/>
      </w:r>
      <w:r>
        <w:rPr>
          <w:rFonts w:hint="eastAsia" w:ascii="宋体" w:hAnsi="宋体" w:eastAsia="宋体"/>
          <w:szCs w:val="21"/>
          <w:highlight w:val="none"/>
        </w:rPr>
        <w:t xml:space="preserve">B1 </w:t>
      </w:r>
      <w:r>
        <w:rPr>
          <w:rFonts w:ascii="宋体" w:hAnsi="宋体" w:eastAsia="宋体"/>
          <w:szCs w:val="21"/>
          <w:highlight w:val="none"/>
        </w:rPr>
        <w:t>技术响应表</w:t>
      </w:r>
      <w:r>
        <w:rPr>
          <w:rFonts w:hint="eastAsia" w:ascii="宋体" w:hAnsi="宋体" w:eastAsia="宋体"/>
          <w:szCs w:val="21"/>
          <w:highlight w:val="none"/>
        </w:rPr>
        <w:t>格式</w:t>
      </w:r>
      <w:r>
        <w:tab/>
      </w:r>
      <w:r>
        <w:fldChar w:fldCharType="begin"/>
      </w:r>
      <w:r>
        <w:instrText xml:space="preserve"> PAGEREF _Toc14492 \h </w:instrText>
      </w:r>
      <w:r>
        <w:fldChar w:fldCharType="separate"/>
      </w:r>
      <w:r>
        <w:t>44</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_Toc991 </w:instrText>
      </w:r>
      <w:r>
        <w:rPr>
          <w:highlight w:val="none"/>
        </w:rPr>
        <w:fldChar w:fldCharType="separate"/>
      </w:r>
      <w:r>
        <w:rPr>
          <w:rFonts w:hint="eastAsia" w:ascii="宋体" w:hAnsi="宋体" w:eastAsia="宋体"/>
          <w:szCs w:val="21"/>
          <w:highlight w:val="none"/>
        </w:rPr>
        <w:t xml:space="preserve">B2 </w:t>
      </w:r>
      <w:r>
        <w:rPr>
          <w:rFonts w:ascii="宋体" w:hAnsi="宋体" w:eastAsia="宋体"/>
          <w:szCs w:val="21"/>
          <w:highlight w:val="none"/>
        </w:rPr>
        <w:t>按期</w:t>
      </w:r>
      <w:r>
        <w:rPr>
          <w:rFonts w:hint="eastAsia" w:ascii="宋体" w:hAnsi="宋体" w:eastAsia="宋体"/>
          <w:szCs w:val="21"/>
          <w:highlight w:val="none"/>
        </w:rPr>
        <w:t>完成</w:t>
      </w:r>
      <w:r>
        <w:rPr>
          <w:rFonts w:ascii="宋体" w:hAnsi="宋体" w:eastAsia="宋体"/>
          <w:szCs w:val="21"/>
          <w:highlight w:val="none"/>
        </w:rPr>
        <w:t>承诺书</w:t>
      </w:r>
      <w:r>
        <w:tab/>
      </w:r>
      <w:r>
        <w:fldChar w:fldCharType="begin"/>
      </w:r>
      <w:r>
        <w:instrText xml:space="preserve"> PAGEREF _Toc991 \h </w:instrText>
      </w:r>
      <w:r>
        <w:fldChar w:fldCharType="separate"/>
      </w:r>
      <w:r>
        <w:t>46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_Toc20968 </w:instrText>
      </w:r>
      <w:r>
        <w:rPr>
          <w:highlight w:val="none"/>
        </w:rPr>
        <w:fldChar w:fldCharType="separate"/>
      </w:r>
      <w:r>
        <w:rPr>
          <w:rFonts w:hint="eastAsia" w:ascii="宋体" w:hAnsi="宋体" w:eastAsia="宋体"/>
          <w:szCs w:val="21"/>
          <w:highlight w:val="none"/>
        </w:rPr>
        <w:t>B</w:t>
      </w:r>
      <w:r>
        <w:rPr>
          <w:rFonts w:hint="eastAsia" w:ascii="宋体" w:hAnsi="宋体" w:eastAsia="宋体"/>
          <w:szCs w:val="21"/>
          <w:highlight w:val="none"/>
          <w:lang w:val="en-US" w:eastAsia="zh-CN"/>
        </w:rPr>
        <w:t>3</w:t>
      </w:r>
      <w:r>
        <w:rPr>
          <w:rFonts w:hint="eastAsia" w:ascii="宋体" w:hAnsi="宋体" w:eastAsia="宋体"/>
          <w:szCs w:val="21"/>
          <w:highlight w:val="none"/>
        </w:rPr>
        <w:t xml:space="preserve"> 商务响应表</w:t>
      </w:r>
      <w:r>
        <w:rPr>
          <w:rFonts w:ascii="宋体" w:hAnsi="宋体" w:eastAsia="宋体"/>
          <w:szCs w:val="21"/>
          <w:highlight w:val="none"/>
        </w:rPr>
        <w:t>格式</w:t>
      </w:r>
      <w:r>
        <w:tab/>
      </w:r>
      <w:r>
        <w:fldChar w:fldCharType="begin"/>
      </w:r>
      <w:r>
        <w:instrText xml:space="preserve"> PAGEREF _Toc20968 \h </w:instrText>
      </w:r>
      <w:r>
        <w:fldChar w:fldCharType="separate"/>
      </w:r>
      <w:r>
        <w:t>47</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_Toc25669 </w:instrText>
      </w:r>
      <w:r>
        <w:rPr>
          <w:highlight w:val="none"/>
        </w:rPr>
        <w:fldChar w:fldCharType="separate"/>
      </w:r>
      <w:r>
        <w:rPr>
          <w:rFonts w:hint="eastAsia" w:ascii="宋体" w:hAnsi="宋体"/>
          <w:szCs w:val="24"/>
          <w:highlight w:val="none"/>
        </w:rPr>
        <w:t>C</w:t>
      </w:r>
      <w:r>
        <w:rPr>
          <w:rFonts w:ascii="宋体" w:hAnsi="宋体"/>
          <w:szCs w:val="24"/>
          <w:highlight w:val="none"/>
        </w:rPr>
        <w:t xml:space="preserve"> </w:t>
      </w:r>
      <w:r>
        <w:rPr>
          <w:rFonts w:hint="eastAsia" w:ascii="宋体" w:hAnsi="宋体"/>
          <w:szCs w:val="24"/>
          <w:highlight w:val="none"/>
        </w:rPr>
        <w:t>价格文件</w:t>
      </w:r>
      <w:r>
        <w:tab/>
      </w:r>
      <w:r>
        <w:fldChar w:fldCharType="begin"/>
      </w:r>
      <w:r>
        <w:instrText xml:space="preserve"> PAGEREF _Toc25669 \h </w:instrText>
      </w:r>
      <w:r>
        <w:fldChar w:fldCharType="separate"/>
      </w:r>
      <w:r>
        <w:t>48</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_Toc21489 </w:instrText>
      </w:r>
      <w:r>
        <w:rPr>
          <w:highlight w:val="none"/>
        </w:rPr>
        <w:fldChar w:fldCharType="separate"/>
      </w:r>
      <w:r>
        <w:rPr>
          <w:rFonts w:hint="eastAsia" w:ascii="宋体" w:hAnsi="宋体" w:eastAsia="宋体"/>
          <w:szCs w:val="21"/>
          <w:highlight w:val="none"/>
        </w:rPr>
        <w:t>C</w:t>
      </w:r>
      <w:r>
        <w:rPr>
          <w:rFonts w:ascii="宋体" w:hAnsi="宋体" w:eastAsia="宋体"/>
          <w:szCs w:val="21"/>
          <w:highlight w:val="none"/>
        </w:rPr>
        <w:t>1</w:t>
      </w:r>
      <w:r>
        <w:rPr>
          <w:rFonts w:hint="eastAsia" w:ascii="宋体" w:hAnsi="宋体" w:eastAsia="宋体"/>
          <w:szCs w:val="21"/>
          <w:highlight w:val="none"/>
        </w:rPr>
        <w:t xml:space="preserve"> </w:t>
      </w:r>
      <w:r>
        <w:rPr>
          <w:rFonts w:ascii="宋体" w:hAnsi="宋体" w:eastAsia="宋体"/>
          <w:szCs w:val="21"/>
          <w:highlight w:val="none"/>
        </w:rPr>
        <w:t>比选申请报价一览表</w:t>
      </w:r>
      <w:r>
        <w:tab/>
      </w:r>
      <w:r>
        <w:fldChar w:fldCharType="begin"/>
      </w:r>
      <w:r>
        <w:instrText xml:space="preserve"> PAGEREF _Toc21489 \h </w:instrText>
      </w:r>
      <w:r>
        <w:fldChar w:fldCharType="separate"/>
      </w:r>
      <w:r>
        <w:t>49</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_Toc31760 </w:instrText>
      </w:r>
      <w:r>
        <w:rPr>
          <w:highlight w:val="none"/>
        </w:rPr>
        <w:fldChar w:fldCharType="separate"/>
      </w:r>
      <w:r>
        <w:rPr>
          <w:rFonts w:hint="eastAsia" w:ascii="宋体" w:hAnsi="宋体" w:eastAsia="宋体"/>
          <w:szCs w:val="21"/>
          <w:highlight w:val="none"/>
        </w:rPr>
        <w:t>C</w:t>
      </w:r>
      <w:r>
        <w:rPr>
          <w:rFonts w:ascii="宋体" w:hAnsi="宋体" w:eastAsia="宋体"/>
          <w:szCs w:val="21"/>
          <w:highlight w:val="none"/>
        </w:rPr>
        <w:t>3</w:t>
      </w:r>
      <w:r>
        <w:rPr>
          <w:rFonts w:hint="eastAsia" w:ascii="宋体" w:hAnsi="宋体" w:eastAsia="宋体"/>
          <w:szCs w:val="21"/>
          <w:highlight w:val="none"/>
        </w:rPr>
        <w:t xml:space="preserve"> </w:t>
      </w:r>
      <w:r>
        <w:rPr>
          <w:rFonts w:ascii="宋体" w:hAnsi="宋体" w:eastAsia="宋体"/>
          <w:szCs w:val="21"/>
          <w:highlight w:val="none"/>
        </w:rPr>
        <w:t>比选申请报价表格式</w:t>
      </w:r>
      <w:r>
        <w:tab/>
      </w:r>
      <w:r>
        <w:fldChar w:fldCharType="begin"/>
      </w:r>
      <w:r>
        <w:instrText xml:space="preserve"> PAGEREF _Toc31760 \h </w:instrText>
      </w:r>
      <w:r>
        <w:fldChar w:fldCharType="separate"/>
      </w:r>
      <w:r>
        <w:t>51</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_Toc7160 </w:instrText>
      </w:r>
      <w:r>
        <w:rPr>
          <w:highlight w:val="none"/>
        </w:rPr>
        <w:fldChar w:fldCharType="separate"/>
      </w:r>
      <w:r>
        <w:rPr>
          <w:rFonts w:hint="eastAsia" w:ascii="宋体" w:hAnsi="宋体" w:eastAsia="宋体"/>
          <w:highlight w:val="none"/>
        </w:rPr>
        <w:t>第五章用户需求书</w:t>
      </w:r>
      <w:r>
        <w:tab/>
      </w:r>
      <w:r>
        <w:fldChar w:fldCharType="begin"/>
      </w:r>
      <w:r>
        <w:instrText xml:space="preserve"> PAGEREF _Toc7160 \h </w:instrText>
      </w:r>
      <w:r>
        <w:fldChar w:fldCharType="separate"/>
      </w:r>
      <w:r>
        <w:t>52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_Toc14945 </w:instrText>
      </w:r>
      <w:r>
        <w:rPr>
          <w:highlight w:val="none"/>
        </w:rPr>
        <w:fldChar w:fldCharType="separate"/>
      </w:r>
      <w:r>
        <w:rPr>
          <w:rFonts w:hint="eastAsia" w:ascii="宋体" w:hAnsi="宋体" w:eastAsia="宋体"/>
          <w:bCs w:val="0"/>
          <w:szCs w:val="28"/>
          <w:highlight w:val="none"/>
        </w:rPr>
        <w:t>1服务项目概况</w:t>
      </w:r>
      <w:r>
        <w:tab/>
      </w:r>
      <w:r>
        <w:fldChar w:fldCharType="begin"/>
      </w:r>
      <w:r>
        <w:instrText xml:space="preserve"> PAGEREF _Toc14945 \h </w:instrText>
      </w:r>
      <w:r>
        <w:fldChar w:fldCharType="separate"/>
      </w:r>
      <w:r>
        <w:t>52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_Toc20468 </w:instrText>
      </w:r>
      <w:r>
        <w:rPr>
          <w:highlight w:val="none"/>
        </w:rPr>
        <w:fldChar w:fldCharType="separate"/>
      </w:r>
      <w:r>
        <w:rPr>
          <w:rFonts w:hint="eastAsia" w:ascii="宋体" w:hAnsi="宋体" w:eastAsia="宋体"/>
          <w:szCs w:val="28"/>
          <w:highlight w:val="none"/>
        </w:rPr>
        <w:t>2服务项目范围</w:t>
      </w:r>
      <w:r>
        <w:tab/>
      </w:r>
      <w:r>
        <w:fldChar w:fldCharType="begin"/>
      </w:r>
      <w:r>
        <w:instrText xml:space="preserve"> PAGEREF _Toc20468 \h </w:instrText>
      </w:r>
      <w:r>
        <w:fldChar w:fldCharType="separate"/>
      </w:r>
      <w:r>
        <w:t>52</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_Toc15173 </w:instrText>
      </w:r>
      <w:r>
        <w:rPr>
          <w:highlight w:val="none"/>
        </w:rPr>
        <w:fldChar w:fldCharType="separate"/>
      </w:r>
      <w:r>
        <w:rPr>
          <w:rFonts w:hint="eastAsia" w:ascii="宋体" w:hAnsi="宋体" w:eastAsia="宋体"/>
          <w:szCs w:val="24"/>
          <w:highlight w:val="none"/>
        </w:rPr>
        <w:t>3</w:t>
      </w:r>
      <w:r>
        <w:rPr>
          <w:rFonts w:hint="eastAsia" w:ascii="宋体" w:hAnsi="宋体" w:eastAsia="宋体"/>
          <w:szCs w:val="24"/>
          <w:highlight w:val="none"/>
          <w:lang w:val="en-US" w:eastAsia="zh-CN"/>
        </w:rPr>
        <w:t>城市轨道交通安全生产标准化</w:t>
      </w:r>
      <w:r>
        <w:rPr>
          <w:rFonts w:hint="eastAsia" w:ascii="宋体" w:hAnsi="宋体" w:eastAsia="宋体"/>
          <w:szCs w:val="24"/>
          <w:highlight w:val="none"/>
        </w:rPr>
        <w:t>项目标准、规范及要求</w:t>
      </w:r>
      <w:r>
        <w:tab/>
      </w:r>
      <w:r>
        <w:fldChar w:fldCharType="begin"/>
      </w:r>
      <w:r>
        <w:instrText xml:space="preserve"> PAGEREF _Toc15173 \h </w:instrText>
      </w:r>
      <w:r>
        <w:fldChar w:fldCharType="separate"/>
      </w:r>
      <w:r>
        <w:t>53</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_Toc14821 </w:instrText>
      </w:r>
      <w:r>
        <w:rPr>
          <w:highlight w:val="none"/>
        </w:rPr>
        <w:fldChar w:fldCharType="separate"/>
      </w:r>
      <w:r>
        <w:rPr>
          <w:rFonts w:hint="eastAsia" w:ascii="宋体" w:hAnsi="宋体" w:eastAsia="宋体"/>
          <w:szCs w:val="24"/>
          <w:highlight w:val="none"/>
        </w:rPr>
        <w:t>4服务项目管理及要求</w:t>
      </w:r>
      <w:r>
        <w:tab/>
      </w:r>
      <w:r>
        <w:fldChar w:fldCharType="begin"/>
      </w:r>
      <w:r>
        <w:instrText xml:space="preserve"> PAGEREF _Toc14821 \h </w:instrText>
      </w:r>
      <w:r>
        <w:fldChar w:fldCharType="separate"/>
      </w:r>
      <w:r>
        <w:t>54</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_Toc28218 </w:instrText>
      </w:r>
      <w:r>
        <w:rPr>
          <w:highlight w:val="none"/>
        </w:rPr>
        <w:fldChar w:fldCharType="separate"/>
      </w:r>
      <w:r>
        <w:rPr>
          <w:rFonts w:hint="eastAsia" w:ascii="宋体" w:hAnsi="宋体" w:eastAsia="宋体"/>
          <w:szCs w:val="24"/>
          <w:highlight w:val="none"/>
        </w:rPr>
        <w:t>5</w:t>
      </w:r>
      <w:r>
        <w:rPr>
          <w:rFonts w:hint="eastAsia" w:ascii="宋体" w:hAnsi="宋体" w:eastAsia="宋体"/>
          <w:szCs w:val="24"/>
          <w:highlight w:val="none"/>
          <w:lang w:val="en-US" w:eastAsia="zh-CN"/>
        </w:rPr>
        <w:t>项目验收</w:t>
      </w:r>
      <w:r>
        <w:tab/>
      </w:r>
      <w:r>
        <w:fldChar w:fldCharType="begin"/>
      </w:r>
      <w:r>
        <w:instrText xml:space="preserve"> PAGEREF _Toc28218 \h </w:instrText>
      </w:r>
      <w:r>
        <w:fldChar w:fldCharType="separate"/>
      </w:r>
      <w:r>
        <w:t>55</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_Toc10958 </w:instrText>
      </w:r>
      <w:r>
        <w:rPr>
          <w:highlight w:val="none"/>
        </w:rPr>
        <w:fldChar w:fldCharType="separate"/>
      </w:r>
      <w:r>
        <w:rPr>
          <w:rFonts w:hint="eastAsia" w:ascii="宋体" w:hAnsi="宋体" w:eastAsia="宋体"/>
          <w:szCs w:val="24"/>
          <w:highlight w:val="none"/>
        </w:rPr>
        <w:t>6考核条款</w:t>
      </w:r>
      <w:r>
        <w:tab/>
      </w:r>
      <w:r>
        <w:fldChar w:fldCharType="begin"/>
      </w:r>
      <w:r>
        <w:instrText xml:space="preserve"> PAGEREF _Toc10958 \h </w:instrText>
      </w:r>
      <w:r>
        <w:fldChar w:fldCharType="separate"/>
      </w:r>
      <w:r>
        <w:t>55</w:t>
      </w:r>
      <w:r>
        <w:fldChar w:fldCharType="end"/>
      </w:r>
      <w:r>
        <w:rPr>
          <w:color w:val="auto"/>
          <w:highlight w:val="none"/>
        </w:rPr>
        <w:fldChar w:fldCharType="end"/>
      </w:r>
    </w:p>
    <w:p>
      <w:pPr>
        <w:pStyle w:val="21"/>
        <w:tabs>
          <w:tab w:val="right" w:leader="dot" w:pos="9071"/>
        </w:tabs>
      </w:pPr>
      <w:r>
        <w:rPr>
          <w:color w:val="auto"/>
          <w:highlight w:val="none"/>
        </w:rPr>
        <w:fldChar w:fldCharType="begin"/>
      </w:r>
      <w:r>
        <w:rPr>
          <w:highlight w:val="none"/>
        </w:rPr>
        <w:instrText xml:space="preserve"> HYPERLINK \l _Toc2636 </w:instrText>
      </w:r>
      <w:r>
        <w:rPr>
          <w:highlight w:val="none"/>
        </w:rPr>
        <w:fldChar w:fldCharType="separate"/>
      </w:r>
      <w:r>
        <w:rPr>
          <w:rFonts w:hint="eastAsia" w:ascii="宋体" w:hAnsi="宋体" w:eastAsia="宋体"/>
          <w:highlight w:val="none"/>
        </w:rPr>
        <w:t>第六章</w:t>
      </w:r>
      <w:r>
        <w:rPr>
          <w:rFonts w:hint="eastAsia" w:hAnsi="宋体"/>
          <w:highlight w:val="none"/>
        </w:rPr>
        <w:t>评审办法</w:t>
      </w:r>
      <w:r>
        <w:tab/>
      </w:r>
      <w:r>
        <w:fldChar w:fldCharType="begin"/>
      </w:r>
      <w:r>
        <w:instrText xml:space="preserve"> PAGEREF _Toc2636 \h </w:instrText>
      </w:r>
      <w:r>
        <w:fldChar w:fldCharType="separate"/>
      </w:r>
      <w:r>
        <w:t>56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_Toc8237 </w:instrText>
      </w:r>
      <w:r>
        <w:rPr>
          <w:highlight w:val="none"/>
        </w:rPr>
        <w:fldChar w:fldCharType="separate"/>
      </w:r>
      <w:r>
        <w:rPr>
          <w:rFonts w:hint="eastAsia" w:ascii="宋体" w:hAnsi="宋体" w:cs="Arial"/>
          <w:bCs/>
          <w:szCs w:val="28"/>
          <w:highlight w:val="none"/>
        </w:rPr>
        <w:t>一、评审原则</w:t>
      </w:r>
      <w:r>
        <w:tab/>
      </w:r>
      <w:r>
        <w:fldChar w:fldCharType="begin"/>
      </w:r>
      <w:r>
        <w:instrText xml:space="preserve"> PAGEREF _Toc8237 \h </w:instrText>
      </w:r>
      <w:r>
        <w:fldChar w:fldCharType="separate"/>
      </w:r>
      <w:r>
        <w:t>56</w:t>
      </w:r>
      <w:r>
        <w:fldChar w:fldCharType="end"/>
      </w:r>
      <w:r>
        <w:rPr>
          <w:color w:val="auto"/>
          <w:highlight w:val="none"/>
        </w:rPr>
        <w:fldChar w:fldCharType="end"/>
      </w:r>
    </w:p>
    <w:p>
      <w:pPr>
        <w:pStyle w:val="26"/>
        <w:tabs>
          <w:tab w:val="right" w:leader="dot" w:pos="9071"/>
        </w:tabs>
      </w:pPr>
      <w:r>
        <w:rPr>
          <w:color w:val="auto"/>
          <w:highlight w:val="none"/>
        </w:rPr>
        <w:fldChar w:fldCharType="begin"/>
      </w:r>
      <w:r>
        <w:rPr>
          <w:highlight w:val="none"/>
        </w:rPr>
        <w:instrText xml:space="preserve"> HYPERLINK \l _Toc22637 </w:instrText>
      </w:r>
      <w:r>
        <w:rPr>
          <w:highlight w:val="none"/>
        </w:rPr>
        <w:fldChar w:fldCharType="separate"/>
      </w:r>
      <w:r>
        <w:rPr>
          <w:rFonts w:hint="eastAsia" w:ascii="宋体" w:hAnsi="宋体" w:cs="Arial"/>
          <w:bCs/>
          <w:szCs w:val="28"/>
          <w:highlight w:val="none"/>
        </w:rPr>
        <w:t>二、评定方法</w:t>
      </w:r>
      <w:r>
        <w:tab/>
      </w:r>
      <w:r>
        <w:fldChar w:fldCharType="begin"/>
      </w:r>
      <w:r>
        <w:instrText xml:space="preserve"> PAGEREF _Toc22637 \h </w:instrText>
      </w:r>
      <w:r>
        <w:fldChar w:fldCharType="separate"/>
      </w:r>
      <w:r>
        <w:t>56</w:t>
      </w:r>
      <w:r>
        <w:fldChar w:fldCharType="end"/>
      </w:r>
      <w:r>
        <w:rPr>
          <w:color w:val="auto"/>
          <w:highlight w:val="none"/>
        </w:rPr>
        <w:fldChar w:fldCharType="end"/>
      </w:r>
    </w:p>
    <w:p>
      <w:pPr>
        <w:ind w:left="0" w:firstLine="0"/>
        <w:rPr>
          <w:color w:val="auto"/>
          <w:highlight w:val="none"/>
        </w:rPr>
      </w:pPr>
      <w:r>
        <w:rPr>
          <w:color w:val="auto"/>
          <w:highlight w:val="none"/>
        </w:rPr>
        <w:fldChar w:fldCharType="end"/>
      </w:r>
    </w:p>
    <w:p>
      <w:pPr>
        <w:pStyle w:val="2"/>
        <w:pageBreakBefore/>
        <w:ind w:right="-57" w:firstLine="0"/>
        <w:jc w:val="center"/>
        <w:outlineLvl w:val="0"/>
        <w:rPr>
          <w:rFonts w:hint="eastAsia"/>
          <w:color w:val="auto"/>
          <w:highlight w:val="none"/>
          <w:lang w:eastAsia="zh-CN"/>
        </w:rPr>
        <w:sectPr>
          <w:footerReference r:id="rId7" w:type="default"/>
          <w:pgSz w:w="11905" w:h="16838"/>
          <w:pgMar w:top="1417" w:right="1417" w:bottom="1417" w:left="1417" w:header="454" w:footer="113" w:gutter="0"/>
          <w:pgNumType w:fmt="decimal"/>
          <w:cols w:space="720" w:num="1"/>
          <w:docGrid w:linePitch="312" w:charSpace="0"/>
        </w:sectPr>
      </w:pPr>
    </w:p>
    <w:p>
      <w:pPr>
        <w:pStyle w:val="2"/>
        <w:pageBreakBefore/>
        <w:ind w:right="-57" w:firstLine="0"/>
        <w:jc w:val="center"/>
        <w:outlineLvl w:val="0"/>
        <w:rPr>
          <w:rStyle w:val="46"/>
          <w:rFonts w:ascii="宋体" w:hAnsi="宋体" w:eastAsia="宋体"/>
          <w:color w:val="auto"/>
          <w:highlight w:val="none"/>
        </w:rPr>
      </w:pPr>
      <w:r>
        <w:rPr>
          <w:rFonts w:hint="eastAsia"/>
          <w:color w:val="auto"/>
          <w:highlight w:val="none"/>
          <w:lang w:val="en-US" w:eastAsia="zh-CN"/>
        </w:rPr>
        <w:t xml:space="preserve"> </w:t>
      </w:r>
      <w:r>
        <w:rPr>
          <w:rFonts w:hint="eastAsia"/>
          <w:color w:val="auto"/>
          <w:highlight w:val="none"/>
          <w:lang w:eastAsia="zh-CN"/>
        </w:rPr>
        <w:tab/>
      </w:r>
      <w:bookmarkStart w:id="0" w:name="_Toc24217"/>
      <w:bookmarkStart w:id="1" w:name="_Toc17765"/>
      <w:bookmarkStart w:id="2" w:name="_Toc17693"/>
      <w:bookmarkStart w:id="3" w:name="_Toc13132"/>
      <w:bookmarkStart w:id="4" w:name="_Toc25618"/>
      <w:bookmarkStart w:id="5" w:name="_Toc18732"/>
      <w:r>
        <w:rPr>
          <w:rStyle w:val="46"/>
          <w:rFonts w:hint="eastAsia" w:ascii="宋体" w:hAnsi="宋体" w:eastAsia="宋体"/>
          <w:color w:val="auto"/>
          <w:highlight w:val="none"/>
        </w:rPr>
        <w:t>第一章比选公告</w:t>
      </w:r>
      <w:bookmarkEnd w:id="0"/>
      <w:bookmarkEnd w:id="1"/>
      <w:bookmarkEnd w:id="2"/>
      <w:bookmarkEnd w:id="3"/>
      <w:bookmarkEnd w:id="4"/>
      <w:bookmarkEnd w:id="5"/>
    </w:p>
    <w:p>
      <w:pPr>
        <w:spacing w:before="0" w:after="0" w:afterAutospacing="0"/>
        <w:ind w:right="-57"/>
        <w:jc w:val="center"/>
        <w:rPr>
          <w:rFonts w:hint="eastAsia" w:ascii="宋体" w:hAnsi="宋体"/>
          <w:b/>
          <w:color w:val="auto"/>
          <w:sz w:val="28"/>
          <w:szCs w:val="28"/>
          <w:highlight w:val="none"/>
          <w:u w:val="single"/>
          <w:lang w:eastAsia="zh-CN"/>
        </w:rPr>
      </w:pPr>
      <w:bookmarkStart w:id="6" w:name="_Toc7089"/>
      <w:r>
        <w:rPr>
          <w:rFonts w:hint="eastAsia" w:ascii="宋体" w:hAnsi="宋体"/>
          <w:b/>
          <w:color w:val="auto"/>
          <w:sz w:val="28"/>
          <w:szCs w:val="28"/>
          <w:highlight w:val="none"/>
          <w:u w:val="single"/>
          <w:lang w:eastAsia="zh-CN"/>
        </w:rPr>
        <w:t>运营公司安全生产标准化建设一级达标评价项目（2024年-2026年）</w:t>
      </w:r>
    </w:p>
    <w:p>
      <w:pPr>
        <w:spacing w:before="0" w:after="0" w:afterAutospacing="0"/>
        <w:ind w:right="-57"/>
        <w:jc w:val="center"/>
        <w:rPr>
          <w:rFonts w:ascii="宋体" w:hAnsi="宋体"/>
          <w:b/>
          <w:color w:val="auto"/>
          <w:sz w:val="28"/>
          <w:szCs w:val="28"/>
          <w:highlight w:val="none"/>
        </w:rPr>
      </w:pPr>
      <w:r>
        <w:rPr>
          <w:rFonts w:hint="eastAsia" w:ascii="宋体" w:hAnsi="宋体"/>
          <w:b/>
          <w:color w:val="auto"/>
          <w:sz w:val="28"/>
          <w:szCs w:val="28"/>
          <w:highlight w:val="none"/>
          <w:u w:val="single"/>
          <w:lang w:eastAsia="zh-CN"/>
        </w:rPr>
        <w:t>（</w:t>
      </w:r>
      <w:r>
        <w:rPr>
          <w:rFonts w:hint="eastAsia" w:ascii="宋体" w:hAnsi="宋体"/>
          <w:b/>
          <w:color w:val="auto"/>
          <w:sz w:val="28"/>
          <w:szCs w:val="28"/>
          <w:highlight w:val="none"/>
          <w:u w:val="single"/>
          <w:lang w:val="en-US" w:eastAsia="zh-CN"/>
        </w:rPr>
        <w:t>第二次</w:t>
      </w:r>
      <w:r>
        <w:rPr>
          <w:rFonts w:hint="eastAsia" w:ascii="宋体" w:hAnsi="宋体"/>
          <w:b/>
          <w:color w:val="auto"/>
          <w:sz w:val="28"/>
          <w:szCs w:val="28"/>
          <w:highlight w:val="none"/>
          <w:u w:val="single"/>
          <w:lang w:eastAsia="zh-CN"/>
        </w:rPr>
        <w:t>）</w:t>
      </w:r>
      <w:r>
        <w:rPr>
          <w:rFonts w:hint="eastAsia" w:ascii="宋体" w:hAnsi="宋体"/>
          <w:b/>
          <w:color w:val="auto"/>
          <w:sz w:val="28"/>
          <w:szCs w:val="28"/>
          <w:highlight w:val="none"/>
        </w:rPr>
        <w:t>比选公告</w:t>
      </w:r>
      <w:bookmarkEnd w:id="6"/>
    </w:p>
    <w:p>
      <w:pPr>
        <w:spacing w:before="0" w:after="0" w:afterAutospacing="0"/>
        <w:ind w:left="0" w:right="0" w:firstLine="422" w:firstLineChars="200"/>
        <w:rPr>
          <w:rFonts w:ascii="宋体" w:hAnsi="宋体"/>
          <w:b/>
          <w:color w:val="auto"/>
          <w:highlight w:val="none"/>
        </w:rPr>
      </w:pPr>
      <w:bookmarkStart w:id="7" w:name="OLE_LINK4"/>
      <w:bookmarkEnd w:id="7"/>
      <w:bookmarkStart w:id="8" w:name="_Toc8506"/>
      <w:r>
        <w:rPr>
          <w:rFonts w:hint="eastAsia" w:ascii="宋体" w:hAnsi="宋体"/>
          <w:b/>
          <w:color w:val="auto"/>
          <w:highlight w:val="none"/>
        </w:rPr>
        <w:t>1.比选条件</w:t>
      </w:r>
      <w:bookmarkEnd w:id="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lang w:eastAsia="zh-CN"/>
        </w:rPr>
        <w:t>运营公司安全生产标准化建设一级达标评价项目（2024年-2026年）（第二次）</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bookmarkStart w:id="9" w:name="_Toc28009"/>
      <w:r>
        <w:rPr>
          <w:rFonts w:hint="eastAsia" w:ascii="宋体" w:hAnsi="宋体"/>
          <w:b/>
          <w:color w:val="auto"/>
          <w:highlight w:val="none"/>
        </w:rPr>
        <w:t>2.项目概况与比选范围</w:t>
      </w:r>
      <w:bookmarkEnd w:id="9"/>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项目编号：202401100001</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项目名称：</w:t>
      </w:r>
      <w:r>
        <w:rPr>
          <w:rFonts w:hint="eastAsia" w:ascii="宋体" w:hAnsi="宋体"/>
          <w:color w:val="auto"/>
          <w:highlight w:val="none"/>
          <w:lang w:eastAsia="zh-CN"/>
        </w:rPr>
        <w:t>运营公司安全生产标准化建设一级达标评价项目（2024年-2026年）（第二次）</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上限控制价：本项目不含税上限控制价为人民币</w:t>
      </w:r>
      <w:r>
        <w:rPr>
          <w:rFonts w:hint="eastAsia" w:ascii="宋体" w:hAnsi="宋体"/>
          <w:color w:val="auto"/>
          <w:highlight w:val="none"/>
          <w:lang w:val="en-US" w:eastAsia="zh-CN"/>
        </w:rPr>
        <w:t>89300.00</w:t>
      </w:r>
      <w:r>
        <w:rPr>
          <w:rFonts w:hint="eastAsia" w:ascii="宋体" w:hAnsi="宋体" w:eastAsia="宋体"/>
          <w:color w:val="auto"/>
          <w:highlight w:val="none"/>
        </w:rPr>
        <w:t>元。</w:t>
      </w:r>
    </w:p>
    <w:p>
      <w:pPr>
        <w:spacing w:before="0" w:after="0" w:afterAutospacing="0"/>
        <w:ind w:left="0" w:right="0" w:firstLine="420" w:firstLineChars="200"/>
        <w:rPr>
          <w:rFonts w:hint="eastAsia" w:hAnsi="宋体"/>
          <w:color w:val="auto"/>
          <w:sz w:val="21"/>
          <w:szCs w:val="21"/>
          <w:highlight w:val="none"/>
          <w:lang w:val="en-US" w:eastAsia="zh-CN"/>
        </w:rPr>
      </w:pPr>
      <w:r>
        <w:rPr>
          <w:rFonts w:hint="eastAsia" w:ascii="宋体" w:hAnsi="宋体" w:eastAsia="宋体"/>
          <w:color w:val="auto"/>
          <w:highlight w:val="none"/>
        </w:rPr>
        <w:t>服务期：</w:t>
      </w:r>
      <w:r>
        <w:rPr>
          <w:rFonts w:hint="eastAsia" w:ascii="宋体" w:hAnsi="宋体"/>
          <w:color w:val="auto"/>
          <w:highlight w:val="none"/>
          <w:lang w:val="en-US" w:eastAsia="zh-CN"/>
        </w:rPr>
        <w:t>合同期3年，共36个月（合同起止日期以合同约定为准）</w:t>
      </w:r>
      <w:r>
        <w:rPr>
          <w:rFonts w:hint="eastAsia" w:ascii="宋体" w:hAnsi="宋体"/>
          <w:color w:val="auto"/>
          <w:sz w:val="21"/>
          <w:szCs w:val="21"/>
          <w:highlight w:val="none"/>
          <w:lang w:eastAsia="zh-CN"/>
        </w:rPr>
        <w:t>。</w:t>
      </w:r>
    </w:p>
    <w:p>
      <w:pPr>
        <w:spacing w:before="0" w:after="0" w:afterAutospacing="0"/>
        <w:ind w:left="0" w:right="0" w:firstLine="420" w:firstLineChars="20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成果交付：（1）2024年开展一次现场评价工作，</w:t>
      </w:r>
      <w:r>
        <w:rPr>
          <w:rFonts w:hint="default" w:hAnsi="宋体"/>
          <w:color w:val="auto"/>
          <w:sz w:val="21"/>
          <w:szCs w:val="21"/>
          <w:highlight w:val="none"/>
          <w:lang w:eastAsia="zh-CN"/>
        </w:rPr>
        <w:t>期间</w:t>
      </w:r>
      <w:r>
        <w:rPr>
          <w:rFonts w:hint="eastAsia" w:hAnsi="宋体"/>
          <w:color w:val="auto"/>
          <w:sz w:val="21"/>
          <w:szCs w:val="21"/>
          <w:highlight w:val="none"/>
          <w:lang w:val="en-US" w:eastAsia="zh-CN"/>
        </w:rPr>
        <w:t xml:space="preserve">为比选人开展为期一天的线上安全生产标准化培训，评价后颁发一级安全生产标准化证书； </w:t>
      </w:r>
    </w:p>
    <w:p>
      <w:pPr>
        <w:spacing w:before="0" w:after="0" w:afterAutospacing="0"/>
        <w:ind w:left="0" w:right="0" w:firstLine="420" w:firstLineChars="200"/>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（2）2025年和2026年每年进行一次年度自评审核工作，</w:t>
      </w:r>
      <w:r>
        <w:rPr>
          <w:rFonts w:hint="default" w:hAnsi="宋体"/>
          <w:color w:val="auto"/>
          <w:sz w:val="21"/>
          <w:szCs w:val="21"/>
          <w:highlight w:val="none"/>
          <w:lang w:eastAsia="zh-CN"/>
        </w:rPr>
        <w:t>期间每年</w:t>
      </w:r>
      <w:r>
        <w:rPr>
          <w:rFonts w:hint="eastAsia" w:hAnsi="宋体"/>
          <w:color w:val="auto"/>
          <w:sz w:val="21"/>
          <w:szCs w:val="21"/>
          <w:highlight w:val="none"/>
          <w:lang w:val="en-US" w:eastAsia="zh-CN"/>
        </w:rPr>
        <w:t>为比选人开展为期一天的线上安全生产标准化培训，评价后发放年度审核合格标签。</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项目地点：</w:t>
      </w:r>
      <w:r>
        <w:rPr>
          <w:rFonts w:hint="eastAsia" w:ascii="宋体" w:hAnsi="宋体"/>
          <w:color w:val="auto"/>
          <w:highlight w:val="none"/>
        </w:rPr>
        <w:t>南宁轨道交通运营公司的运营线路车站、控制中心、车辆段（基地）、停车场、主所等。</w:t>
      </w:r>
    </w:p>
    <w:p>
      <w:pPr>
        <w:spacing w:before="0" w:after="0" w:afterAutospacing="0"/>
        <w:ind w:left="0" w:right="0" w:firstLine="420" w:firstLineChars="200"/>
        <w:rPr>
          <w:rFonts w:hint="eastAsia" w:ascii="宋体" w:hAnsi="宋体"/>
          <w:color w:val="auto"/>
          <w:highlight w:val="none"/>
        </w:rPr>
      </w:pPr>
      <w:r>
        <w:rPr>
          <w:rFonts w:hint="eastAsia" w:ascii="宋体" w:hAnsi="宋体" w:eastAsia="宋体"/>
          <w:color w:val="auto"/>
          <w:highlight w:val="none"/>
        </w:rPr>
        <w:t>比选范围：</w:t>
      </w:r>
      <w:bookmarkStart w:id="10" w:name="_Hlk86248325"/>
      <w:r>
        <w:rPr>
          <w:rFonts w:hint="eastAsia" w:ascii="宋体" w:hAnsi="宋体"/>
          <w:color w:val="auto"/>
          <w:highlight w:val="none"/>
        </w:rPr>
        <w:t>对南宁轨道交通运营公司现有运营线路、车辆段、主所，设备设施等在一级安全生产标准化要求下的安全管理现状（包括目标与考核、管理机构和人员、安全责任体系、资质、法律法规与安全生产管理制度、安全投入、设备设施、作业安全、教育培训、运营突发事件和重大故障管理、风险管理、隐患排查和治理。职业健康、安全文化、应急管理、事故报告调查处理、绩效评定与持续改进等）、安全管理水平和风险管控能力，是否符合一级安全生产标准化要求和是否能持续达标。</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该项目是对现有运营线路、车辆段、主所、设备设施等安全管理现状、安全管理水平和安全防范能力进行评价，提供为期一天的安全生产标准化培训（线上）。项目含2024年安全生产标准化现场一级达标评价（换证）及后续两年年度自评审核工作，颁发证书和年度稽查合格证明、每年度一次的安全生产标准化培训（线上）等</w:t>
      </w:r>
      <w:r>
        <w:rPr>
          <w:rFonts w:hint="eastAsia" w:ascii="宋体" w:hAnsi="宋体" w:eastAsia="宋体"/>
          <w:color w:val="auto"/>
          <w:szCs w:val="21"/>
          <w:highlight w:val="none"/>
        </w:rPr>
        <w:t>。</w:t>
      </w:r>
      <w:r>
        <w:rPr>
          <w:rFonts w:hint="eastAsia" w:ascii="宋体" w:hAnsi="宋体" w:eastAsia="宋体"/>
          <w:color w:val="auto"/>
          <w:highlight w:val="none"/>
        </w:rPr>
        <w:t>具体详见用户需求书。</w:t>
      </w:r>
      <w:bookmarkEnd w:id="10"/>
    </w:p>
    <w:p>
      <w:pPr>
        <w:spacing w:before="0" w:after="0" w:afterAutospacing="0"/>
        <w:ind w:left="0" w:right="0" w:firstLine="422" w:firstLineChars="200"/>
        <w:rPr>
          <w:rFonts w:ascii="宋体" w:hAnsi="宋体"/>
          <w:color w:val="auto"/>
          <w:highlight w:val="none"/>
        </w:rPr>
      </w:pPr>
      <w:bookmarkStart w:id="11" w:name="_Toc27208"/>
      <w:r>
        <w:rPr>
          <w:rFonts w:hint="eastAsia" w:ascii="宋体" w:hAnsi="宋体"/>
          <w:b/>
          <w:color w:val="auto"/>
          <w:highlight w:val="none"/>
        </w:rPr>
        <w:t>3.比选申请人资格要求</w:t>
      </w:r>
      <w:bookmarkEnd w:id="11"/>
    </w:p>
    <w:p>
      <w:pPr>
        <w:spacing w:before="0" w:after="0" w:afterAutospacing="0"/>
        <w:ind w:left="0" w:right="0" w:firstLine="420" w:firstLineChars="200"/>
        <w:rPr>
          <w:rFonts w:hint="eastAsia" w:ascii="宋体" w:hAnsi="宋体" w:cs="宋体"/>
          <w:color w:val="auto"/>
          <w:highlight w:val="none"/>
        </w:rPr>
      </w:pPr>
      <w:r>
        <w:rPr>
          <w:rFonts w:hint="eastAsia" w:ascii="宋体" w:hAnsi="宋体" w:eastAsia="宋体"/>
          <w:color w:val="auto"/>
          <w:highlight w:val="none"/>
        </w:rPr>
        <w:t>3.1</w:t>
      </w:r>
      <w:r>
        <w:rPr>
          <w:rFonts w:hint="eastAsia" w:ascii="宋体" w:hAnsi="宋体" w:cs="宋体"/>
          <w:color w:val="auto"/>
          <w:highlight w:val="none"/>
        </w:rPr>
        <w:t>比选申请人为中华人民共和国境内依法设立的法人或其他组织（若以分公司名义参与</w:t>
      </w:r>
      <w:r>
        <w:rPr>
          <w:rFonts w:hint="eastAsia" w:ascii="宋体" w:hAnsi="宋体" w:cs="宋体"/>
          <w:color w:val="auto"/>
          <w:highlight w:val="none"/>
          <w:lang w:val="en-US" w:eastAsia="zh-CN"/>
        </w:rPr>
        <w:t>比选</w:t>
      </w:r>
      <w:r>
        <w:rPr>
          <w:rFonts w:hint="eastAsia" w:ascii="宋体" w:hAnsi="宋体" w:cs="宋体"/>
          <w:color w:val="auto"/>
          <w:highlight w:val="none"/>
        </w:rPr>
        <w:t>申请，必须出具总公司授权参与的证明）；</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cs="宋体"/>
          <w:color w:val="auto"/>
          <w:highlight w:val="none"/>
          <w:lang w:val="en-US" w:eastAsia="zh-CN"/>
        </w:rPr>
        <w:t>3.2</w:t>
      </w:r>
      <w:r>
        <w:rPr>
          <w:rFonts w:hint="eastAsia" w:ascii="宋体" w:hAnsi="宋体" w:cs="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3.</w:t>
      </w:r>
      <w:r>
        <w:rPr>
          <w:rFonts w:hint="eastAsia" w:ascii="宋体" w:hAnsi="宋体"/>
          <w:color w:val="auto"/>
          <w:highlight w:val="none"/>
          <w:lang w:val="en-US" w:eastAsia="zh-CN"/>
        </w:rPr>
        <w:t>3</w:t>
      </w:r>
      <w:r>
        <w:rPr>
          <w:rFonts w:hint="eastAsia" w:ascii="宋体" w:hAnsi="宋体" w:eastAsia="宋体"/>
          <w:color w:val="auto"/>
          <w:sz w:val="21"/>
          <w:szCs w:val="21"/>
          <w:highlight w:val="none"/>
        </w:rPr>
        <w:t>比选申请人没有处于被责令停业，或资格被住建部、</w:t>
      </w:r>
      <w:r>
        <w:rPr>
          <w:rFonts w:hint="eastAsia" w:ascii="宋体" w:hAnsi="宋体"/>
          <w:color w:val="auto"/>
          <w:sz w:val="21"/>
          <w:szCs w:val="21"/>
          <w:highlight w:val="none"/>
          <w:lang w:val="en-US" w:eastAsia="zh-CN"/>
        </w:rPr>
        <w:t>应急管理部</w:t>
      </w:r>
      <w:r>
        <w:rPr>
          <w:rFonts w:hint="eastAsia" w:ascii="宋体" w:hAnsi="宋体" w:eastAsia="宋体"/>
          <w:color w:val="auto"/>
          <w:sz w:val="21"/>
          <w:szCs w:val="21"/>
          <w:highlight w:val="none"/>
        </w:rPr>
        <w:t>、广西区或南宁市建设行政主管部门取消，或财产被接管、破产状态；在</w:t>
      </w:r>
      <w:r>
        <w:rPr>
          <w:rFonts w:hint="eastAsia" w:ascii="宋体" w:hAnsi="宋体"/>
          <w:color w:val="auto"/>
          <w:sz w:val="21"/>
          <w:szCs w:val="21"/>
          <w:highlight w:val="none"/>
          <w:lang w:val="en-US" w:eastAsia="zh-CN"/>
        </w:rPr>
        <w:t>比选申请</w:t>
      </w:r>
      <w:r>
        <w:rPr>
          <w:rFonts w:hint="eastAsia" w:ascii="宋体" w:hAnsi="宋体" w:eastAsia="宋体"/>
          <w:color w:val="auto"/>
          <w:sz w:val="21"/>
          <w:szCs w:val="21"/>
          <w:highlight w:val="none"/>
        </w:rPr>
        <w:t>截止</w:t>
      </w:r>
      <w:r>
        <w:rPr>
          <w:rFonts w:hint="eastAsia" w:ascii="宋体" w:hAnsi="宋体"/>
          <w:color w:val="auto"/>
          <w:sz w:val="21"/>
          <w:szCs w:val="21"/>
          <w:highlight w:val="none"/>
          <w:lang w:val="en-US" w:eastAsia="zh-CN"/>
        </w:rPr>
        <w:t>时间</w:t>
      </w:r>
      <w:r>
        <w:rPr>
          <w:rFonts w:hint="eastAsia" w:ascii="宋体" w:hAnsi="宋体" w:eastAsia="宋体"/>
          <w:color w:val="auto"/>
          <w:sz w:val="21"/>
          <w:szCs w:val="21"/>
          <w:highlight w:val="none"/>
        </w:rPr>
        <w:t>前3年内没有骗取中标</w:t>
      </w:r>
      <w:r>
        <w:rPr>
          <w:rFonts w:hint="eastAsia" w:ascii="宋体" w:hAnsi="宋体"/>
          <w:color w:val="auto"/>
          <w:sz w:val="21"/>
          <w:szCs w:val="21"/>
          <w:highlight w:val="none"/>
          <w:lang w:val="en-US" w:eastAsia="zh-CN"/>
        </w:rPr>
        <w:t>/选</w:t>
      </w:r>
      <w:r>
        <w:rPr>
          <w:rFonts w:hint="eastAsia" w:ascii="宋体" w:hAnsi="宋体" w:eastAsia="宋体"/>
          <w:color w:val="auto"/>
          <w:sz w:val="21"/>
          <w:szCs w:val="21"/>
          <w:highlight w:val="none"/>
        </w:rPr>
        <w:t>、严重违约或重大安全质量事故</w:t>
      </w:r>
      <w:r>
        <w:rPr>
          <w:rFonts w:hint="eastAsia" w:ascii="宋体" w:hAnsi="宋体"/>
          <w:color w:val="auto"/>
          <w:highlight w:val="none"/>
          <w:lang w:eastAsia="zh-CN"/>
        </w:rPr>
        <w:t>，</w:t>
      </w:r>
      <w:r>
        <w:rPr>
          <w:rFonts w:hint="eastAsia" w:ascii="宋体" w:hAnsi="宋体" w:eastAsia="宋体"/>
          <w:color w:val="auto"/>
          <w:highlight w:val="none"/>
        </w:rPr>
        <w:t>近</w:t>
      </w:r>
      <w:r>
        <w:rPr>
          <w:rFonts w:hint="eastAsia" w:ascii="宋体" w:hAnsi="宋体"/>
          <w:color w:val="auto"/>
          <w:highlight w:val="none"/>
          <w:lang w:val="en-US" w:eastAsia="zh-CN"/>
        </w:rPr>
        <w:t>3</w:t>
      </w:r>
      <w:r>
        <w:rPr>
          <w:rFonts w:hint="eastAsia" w:ascii="宋体" w:hAnsi="宋体" w:eastAsia="宋体"/>
          <w:color w:val="auto"/>
          <w:highlight w:val="none"/>
        </w:rPr>
        <w:t>年内未受到交通行业主管部门违规评价处理通报</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eastAsia="宋体"/>
          <w:color w:val="auto"/>
          <w:highlight w:val="none"/>
        </w:rPr>
        <w:t>3.</w:t>
      </w:r>
      <w:r>
        <w:rPr>
          <w:rFonts w:hint="eastAsia" w:ascii="宋体" w:hAnsi="宋体"/>
          <w:color w:val="auto"/>
          <w:highlight w:val="none"/>
          <w:lang w:val="en-US" w:eastAsia="zh-CN"/>
        </w:rPr>
        <w:t>4比选申请人</w:t>
      </w:r>
      <w:r>
        <w:rPr>
          <w:rFonts w:hint="eastAsia" w:ascii="宋体" w:hAnsi="宋体" w:cs="宋体"/>
          <w:color w:val="auto"/>
          <w:highlight w:val="none"/>
          <w:lang w:val="en-US" w:eastAsia="zh-CN"/>
        </w:rPr>
        <w:t>需要具备城市客运专业资质类型，并向交通运输部备案的一级评价资质（</w:t>
      </w:r>
      <w:r>
        <w:rPr>
          <w:rFonts w:hint="eastAsia" w:ascii="宋体" w:hAnsi="宋体" w:eastAsia="宋体" w:cs="宋体"/>
          <w:color w:val="auto"/>
          <w:kern w:val="0"/>
          <w:sz w:val="21"/>
          <w:szCs w:val="21"/>
          <w:highlight w:val="none"/>
          <w:lang w:val="en-US" w:eastAsia="zh-CN" w:bidi="ar"/>
        </w:rPr>
        <w:t>如提供“交通运输企业安全生产标</w:t>
      </w:r>
      <w:r>
        <w:rPr>
          <w:rFonts w:hint="eastAsia" w:ascii="宋体" w:hAnsi="宋体" w:eastAsia="宋体" w:cs="宋体"/>
          <w:color w:val="auto"/>
          <w:highlight w:val="none"/>
          <w:lang w:val="en-US" w:eastAsia="zh-CN"/>
        </w:rPr>
        <w:t>准化建设信用信息管理系统”截图，能显示专业类型为城市客运、等级为一级的资质备案截图等其他的证明材料</w:t>
      </w:r>
      <w:r>
        <w:rPr>
          <w:rFonts w:hint="eastAsia" w:ascii="宋体" w:hAnsi="宋体" w:cs="宋体"/>
          <w:color w:val="auto"/>
          <w:highlight w:val="none"/>
          <w:lang w:val="en-US" w:eastAsia="zh-CN"/>
        </w:rPr>
        <w:t>）</w:t>
      </w:r>
      <w:r>
        <w:rPr>
          <w:rFonts w:hint="eastAsia" w:hAnsi="宋体"/>
          <w:color w:val="auto"/>
          <w:sz w:val="21"/>
          <w:szCs w:val="21"/>
          <w:highlight w:val="none"/>
          <w:lang w:val="en-US" w:eastAsia="zh-CN"/>
        </w:rPr>
        <w:t>；</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3.5比选申请人</w:t>
      </w:r>
      <w:r>
        <w:rPr>
          <w:rFonts w:hint="eastAsia" w:ascii="宋体" w:hAnsi="宋体" w:cs="宋体"/>
          <w:color w:val="auto"/>
          <w:highlight w:val="none"/>
        </w:rPr>
        <w:t>自20</w:t>
      </w:r>
      <w:r>
        <w:rPr>
          <w:rFonts w:hint="eastAsia" w:ascii="宋体" w:hAnsi="宋体" w:cs="宋体"/>
          <w:color w:val="auto"/>
          <w:highlight w:val="none"/>
          <w:lang w:val="en-US" w:eastAsia="zh-CN"/>
        </w:rPr>
        <w:t>19</w:t>
      </w:r>
      <w:r>
        <w:rPr>
          <w:rFonts w:hint="eastAsia" w:ascii="宋体" w:hAnsi="宋体" w:cs="宋体"/>
          <w:color w:val="auto"/>
          <w:highlight w:val="none"/>
        </w:rPr>
        <w:t>年1月1日至比选申请截止时间前至少具有</w:t>
      </w:r>
      <w:r>
        <w:rPr>
          <w:rFonts w:hint="eastAsia" w:ascii="宋体" w:hAnsi="宋体" w:cs="宋体"/>
          <w:color w:val="auto"/>
          <w:highlight w:val="none"/>
          <w:lang w:val="en-US" w:eastAsia="zh-CN"/>
        </w:rPr>
        <w:t>1</w:t>
      </w:r>
      <w:r>
        <w:rPr>
          <w:rFonts w:hint="eastAsia" w:ascii="宋体" w:hAnsi="宋体" w:cs="宋体"/>
          <w:color w:val="auto"/>
          <w:highlight w:val="none"/>
        </w:rPr>
        <w:t>项在中华人民共和国境内的类似项目业绩</w:t>
      </w:r>
      <w:r>
        <w:rPr>
          <w:rFonts w:hint="eastAsia" w:ascii="宋体" w:hAnsi="宋体" w:cs="宋体"/>
          <w:color w:val="auto"/>
          <w:highlight w:val="none"/>
          <w:lang w:eastAsia="zh-CN"/>
        </w:rPr>
        <w:t>，</w:t>
      </w:r>
      <w:r>
        <w:rPr>
          <w:rFonts w:hint="eastAsia" w:hAnsi="宋体"/>
          <w:color w:val="auto"/>
          <w:sz w:val="21"/>
          <w:szCs w:val="21"/>
          <w:highlight w:val="none"/>
          <w:lang w:val="en-US" w:eastAsia="zh-CN"/>
        </w:rPr>
        <w:t>类似业绩是指安全生产标准化一级达标项目业绩</w:t>
      </w:r>
      <w:r>
        <w:rPr>
          <w:rFonts w:hint="eastAsia" w:ascii="宋体" w:hAnsi="宋体" w:eastAsia="宋体"/>
          <w:color w:val="auto"/>
          <w:highlight w:val="none"/>
        </w:rPr>
        <w:t>；</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3.</w:t>
      </w:r>
      <w:r>
        <w:rPr>
          <w:rFonts w:hint="eastAsia" w:ascii="宋体" w:hAnsi="宋体"/>
          <w:color w:val="auto"/>
          <w:highlight w:val="none"/>
          <w:lang w:val="en-US" w:eastAsia="zh-CN"/>
        </w:rPr>
        <w:t>6</w:t>
      </w:r>
      <w:r>
        <w:rPr>
          <w:rFonts w:hint="eastAsia" w:ascii="宋体" w:hAnsi="宋体" w:eastAsia="宋体"/>
          <w:color w:val="auto"/>
          <w:highlight w:val="none"/>
        </w:rPr>
        <w:t>本项目不接受联合体比选申请</w:t>
      </w:r>
      <w:r>
        <w:rPr>
          <w:rFonts w:hint="eastAsia" w:ascii="宋体" w:hAnsi="宋体" w:eastAsia="宋体"/>
          <w:color w:val="auto"/>
          <w:highlight w:val="none"/>
          <w:lang w:eastAsia="zh-CN"/>
        </w:rPr>
        <w:t>；</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eastAsia" w:ascii="宋体" w:hAnsi="宋体"/>
          <w:color w:val="auto"/>
          <w:highlight w:val="none"/>
          <w:lang w:val="en-US" w:eastAsia="zh-CN"/>
        </w:rPr>
        <w:t>7</w:t>
      </w:r>
      <w:r>
        <w:rPr>
          <w:rFonts w:hint="eastAsia" w:ascii="宋体" w:hAnsi="宋体" w:eastAsia="宋体"/>
          <w:color w:val="auto"/>
          <w:highlight w:val="none"/>
          <w:lang w:val="en-US" w:eastAsia="zh-CN"/>
        </w:rPr>
        <w:t>比选申请人未被列入比选人不良信用名单的。</w:t>
      </w:r>
    </w:p>
    <w:p>
      <w:pPr>
        <w:spacing w:before="0" w:after="0" w:afterAutospacing="0"/>
        <w:ind w:left="0" w:right="0" w:firstLine="422" w:firstLineChars="200"/>
        <w:rPr>
          <w:rFonts w:ascii="宋体" w:hAnsi="宋体"/>
          <w:b/>
          <w:color w:val="auto"/>
          <w:highlight w:val="none"/>
        </w:rPr>
      </w:pPr>
      <w:bookmarkStart w:id="12" w:name="_Toc7836"/>
      <w:r>
        <w:rPr>
          <w:rFonts w:hint="eastAsia" w:ascii="宋体" w:hAnsi="宋体"/>
          <w:b/>
          <w:color w:val="auto"/>
          <w:highlight w:val="none"/>
        </w:rPr>
        <w:t>4.资格审查方式</w:t>
      </w:r>
      <w:bookmarkEnd w:id="12"/>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bookmarkStart w:id="13" w:name="_Toc21304"/>
      <w:r>
        <w:rPr>
          <w:rFonts w:hint="eastAsia" w:ascii="宋体" w:hAnsi="宋体"/>
          <w:b/>
          <w:color w:val="auto"/>
          <w:highlight w:val="none"/>
        </w:rPr>
        <w:t>5.比选文件的获取</w:t>
      </w:r>
      <w:bookmarkEnd w:id="1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bookmarkStart w:id="14" w:name="_Toc2374"/>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14"/>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6.1比选申请文件须密封后于</w:t>
      </w:r>
      <w:r>
        <w:rPr>
          <w:rFonts w:hint="eastAsia" w:ascii="宋体" w:hAnsi="宋体"/>
          <w:color w:val="auto"/>
          <w:highlight w:val="none"/>
          <w:u w:val="none"/>
          <w:lang w:val="en-US" w:eastAsia="zh-CN"/>
        </w:rPr>
        <w:t>2024</w:t>
      </w:r>
      <w:r>
        <w:rPr>
          <w:rFonts w:hint="eastAsia" w:ascii="宋体" w:hAnsi="宋体" w:eastAsia="宋体"/>
          <w:color w:val="auto"/>
          <w:highlight w:val="none"/>
        </w:rPr>
        <w:t>年</w:t>
      </w:r>
      <w:r>
        <w:rPr>
          <w:rFonts w:hint="eastAsia" w:ascii="宋体" w:hAnsi="宋体"/>
          <w:color w:val="auto"/>
          <w:highlight w:val="none"/>
          <w:lang w:val="en-US" w:eastAsia="zh-CN"/>
        </w:rPr>
        <w:t>4</w:t>
      </w:r>
      <w:r>
        <w:rPr>
          <w:rFonts w:hint="eastAsia" w:ascii="宋体" w:hAnsi="宋体" w:eastAsia="宋体"/>
          <w:color w:val="auto"/>
          <w:highlight w:val="none"/>
        </w:rPr>
        <w:t>月</w:t>
      </w:r>
      <w:r>
        <w:rPr>
          <w:rFonts w:hint="eastAsia" w:ascii="宋体" w:hAnsi="宋体"/>
          <w:color w:val="auto"/>
          <w:highlight w:val="none"/>
          <w:lang w:val="en-US" w:eastAsia="zh-CN"/>
        </w:rPr>
        <w:t>28</w:t>
      </w:r>
      <w:r>
        <w:rPr>
          <w:rFonts w:hint="eastAsia" w:ascii="宋体" w:hAnsi="宋体" w:eastAsia="宋体"/>
          <w:color w:val="auto"/>
          <w:highlight w:val="none"/>
        </w:rPr>
        <w:t>日</w:t>
      </w:r>
      <w:r>
        <w:rPr>
          <w:rFonts w:hint="eastAsia" w:ascii="宋体" w:hAnsi="宋体"/>
          <w:color w:val="auto"/>
          <w:highlight w:val="none"/>
          <w:lang w:val="en-US" w:eastAsia="zh-CN"/>
        </w:rPr>
        <w:t>15</w:t>
      </w:r>
      <w:r>
        <w:rPr>
          <w:rFonts w:hint="eastAsia" w:ascii="宋体" w:hAnsi="宋体" w:eastAsia="宋体"/>
          <w:color w:val="auto"/>
          <w:highlight w:val="none"/>
        </w:rPr>
        <w:t>时</w:t>
      </w:r>
      <w:r>
        <w:rPr>
          <w:rFonts w:hint="eastAsia" w:ascii="宋体" w:hAnsi="宋体"/>
          <w:color w:val="auto"/>
          <w:highlight w:val="none"/>
          <w:lang w:val="en-US" w:eastAsia="zh-CN"/>
        </w:rPr>
        <w:t>00</w:t>
      </w:r>
      <w:r>
        <w:rPr>
          <w:rFonts w:hint="eastAsia" w:ascii="宋体" w:hAnsi="宋体" w:eastAsia="宋体"/>
          <w:color w:val="auto"/>
          <w:highlight w:val="none"/>
        </w:rPr>
        <w:t>分-</w:t>
      </w:r>
      <w:r>
        <w:rPr>
          <w:rFonts w:hint="eastAsia" w:ascii="宋体" w:hAnsi="宋体"/>
          <w:color w:val="auto"/>
          <w:highlight w:val="none"/>
          <w:lang w:val="en-US" w:eastAsia="zh-CN"/>
        </w:rPr>
        <w:t>15</w:t>
      </w:r>
      <w:r>
        <w:rPr>
          <w:rFonts w:hint="eastAsia" w:ascii="宋体" w:hAnsi="宋体" w:eastAsia="宋体"/>
          <w:color w:val="auto"/>
          <w:highlight w:val="none"/>
        </w:rPr>
        <w:t>时</w:t>
      </w:r>
      <w:r>
        <w:rPr>
          <w:rFonts w:hint="eastAsia" w:ascii="宋体" w:hAnsi="宋体"/>
          <w:color w:val="auto"/>
          <w:highlight w:val="none"/>
          <w:lang w:val="en-US" w:eastAsia="zh-CN"/>
        </w:rPr>
        <w:t>30</w:t>
      </w:r>
      <w:r>
        <w:rPr>
          <w:rFonts w:hint="eastAsia" w:ascii="宋体" w:hAnsi="宋体" w:eastAsia="宋体"/>
          <w:color w:val="auto"/>
          <w:highlight w:val="none"/>
        </w:rPr>
        <w:t>分（北京时间）递交，递交地点在广西壮族自治区南宁市青秀区云景路83号南宁轨道交通运营有限公司屯里车辆段综合楼</w:t>
      </w:r>
      <w:r>
        <w:rPr>
          <w:rFonts w:hint="eastAsia" w:ascii="宋体" w:hAnsi="宋体"/>
          <w:color w:val="auto"/>
          <w:highlight w:val="none"/>
          <w:lang w:val="en-US" w:eastAsia="zh-CN"/>
        </w:rPr>
        <w:t>205</w:t>
      </w:r>
      <w:r>
        <w:rPr>
          <w:rFonts w:hint="eastAsia" w:ascii="宋体" w:hAnsi="宋体" w:eastAsia="宋体"/>
          <w:color w:val="auto"/>
          <w:highlight w:val="none"/>
        </w:rPr>
        <w:t>会议室，递交现场联系人：</w:t>
      </w:r>
      <w:r>
        <w:rPr>
          <w:rFonts w:hint="eastAsia" w:ascii="宋体" w:hAnsi="宋体"/>
          <w:color w:val="auto"/>
          <w:highlight w:val="none"/>
          <w:lang w:val="en-US" w:eastAsia="zh-CN"/>
        </w:rPr>
        <w:t>赖工</w:t>
      </w:r>
      <w:r>
        <w:rPr>
          <w:rFonts w:hint="eastAsia" w:ascii="宋体" w:hAnsi="宋体" w:eastAsia="宋体"/>
          <w:color w:val="auto"/>
          <w:highlight w:val="none"/>
          <w:lang w:val="en-US" w:eastAsia="zh-CN"/>
        </w:rPr>
        <w:t xml:space="preserve"> 电话0771-27783</w:t>
      </w:r>
      <w:r>
        <w:rPr>
          <w:rFonts w:hint="eastAsia" w:ascii="宋体" w:hAnsi="宋体"/>
          <w:color w:val="auto"/>
          <w:highlight w:val="none"/>
          <w:lang w:val="en-US" w:eastAsia="zh-CN"/>
        </w:rPr>
        <w:t>26</w:t>
      </w:r>
      <w:r>
        <w:rPr>
          <w:rFonts w:hint="eastAsia" w:ascii="宋体" w:hAnsi="宋体" w:eastAsia="宋体"/>
          <w:color w:val="auto"/>
          <w:highlight w:val="none"/>
        </w:rPr>
        <w:t>；</w:t>
      </w:r>
    </w:p>
    <w:p>
      <w:pPr>
        <w:spacing w:before="0" w:after="0" w:afterAutospacing="0"/>
        <w:ind w:left="0" w:leftChars="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rPr>
        <w:t>6.2逾期送达的或者未送达指定地点或者未按比选文件要求密封的比选申请文件将被拒绝。</w:t>
      </w:r>
      <w:r>
        <w:rPr>
          <w:rFonts w:hint="eastAsia" w:ascii="宋体" w:hAnsi="宋体"/>
          <w:color w:val="auto"/>
          <w:highlight w:val="none"/>
          <w:lang w:val="en-US" w:eastAsia="zh-CN"/>
        </w:rPr>
        <w:t>1</w:t>
      </w:r>
    </w:p>
    <w:p>
      <w:pPr>
        <w:spacing w:before="0" w:after="0" w:afterAutospacing="0"/>
        <w:ind w:left="0" w:right="0" w:firstLine="420" w:firstLineChars="200"/>
        <w:rPr>
          <w:rFonts w:ascii="宋体" w:hAnsi="宋体"/>
          <w:color w:val="auto"/>
          <w:highlight w:val="none"/>
        </w:rPr>
      </w:pPr>
      <w:r>
        <w:rPr>
          <w:rFonts w:hint="eastAsia" w:ascii="宋体" w:hAnsi="宋体" w:eastAsia="宋体"/>
          <w:color w:val="auto"/>
          <w:highlight w:val="none"/>
        </w:rPr>
        <w:t>6.3请比选申请人法定代表人或其授权代表携法人委托书原件准时参加。比选申请文件必须由比选申请人法定代表人或其授权代表递交，否则比选人不予受理。</w:t>
      </w:r>
    </w:p>
    <w:p>
      <w:pPr>
        <w:spacing w:before="0" w:after="0" w:afterAutospacing="0"/>
        <w:ind w:left="0" w:right="0" w:firstLine="422" w:firstLineChars="200"/>
        <w:rPr>
          <w:rFonts w:ascii="宋体" w:hAnsi="宋体"/>
          <w:b/>
          <w:color w:val="auto"/>
          <w:highlight w:val="none"/>
        </w:rPr>
      </w:pPr>
      <w:bookmarkStart w:id="15" w:name="_Toc20842"/>
      <w:r>
        <w:rPr>
          <w:rFonts w:hint="eastAsia" w:ascii="宋体" w:hAnsi="宋体"/>
          <w:b/>
          <w:color w:val="auto"/>
          <w:highlight w:val="none"/>
        </w:rPr>
        <w:t>7.发布公告的媒介</w:t>
      </w:r>
      <w:bookmarkEnd w:id="15"/>
    </w:p>
    <w:p>
      <w:pPr>
        <w:spacing w:before="0" w:after="0" w:afterAutospacing="0"/>
        <w:ind w:left="0" w:right="0" w:firstLine="420" w:firstLineChars="200"/>
        <w:rPr>
          <w:rFonts w:ascii="宋体" w:hAnsi="宋体"/>
          <w:color w:val="auto"/>
          <w:highlight w:val="none"/>
        </w:rPr>
      </w:pPr>
      <w:r>
        <w:rPr>
          <w:rFonts w:hint="eastAsia" w:ascii="宋体" w:hAnsi="宋体" w:eastAsia="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lang w:val="en-US" w:eastAsia="zh-CN"/>
        </w:rPr>
        <w:t>8</w:t>
      </w:r>
      <w:r>
        <w:rPr>
          <w:rFonts w:hint="eastAsia" w:ascii="宋体" w:hAnsi="宋体"/>
          <w:b/>
          <w:color w:val="auto"/>
          <w:highlight w:val="none"/>
        </w:rPr>
        <w:t>.联系方式</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比选 人：南宁轨道交通运营有限公司    </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地    址：南宁市青秀区云景路83号         </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邮    编：530022                         </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联 系 人：</w:t>
      </w:r>
      <w:r>
        <w:rPr>
          <w:rFonts w:hint="eastAsia" w:ascii="宋体" w:hAnsi="宋体"/>
          <w:color w:val="auto"/>
          <w:highlight w:val="none"/>
          <w:lang w:val="en-US" w:eastAsia="zh-CN"/>
        </w:rPr>
        <w:t>赖工</w:t>
      </w:r>
      <w:r>
        <w:rPr>
          <w:rFonts w:hint="eastAsia" w:ascii="宋体" w:hAnsi="宋体" w:eastAsia="宋体"/>
          <w:color w:val="auto"/>
          <w:highlight w:val="none"/>
        </w:rPr>
        <w:t xml:space="preserve">  </w:t>
      </w:r>
      <w:r>
        <w:rPr>
          <w:rFonts w:hint="eastAsia" w:ascii="宋体" w:hAnsi="宋体"/>
          <w:color w:val="auto"/>
          <w:highlight w:val="none"/>
          <w:lang w:val="en-US" w:eastAsia="zh-CN"/>
        </w:rPr>
        <w:t>谭工</w:t>
      </w:r>
      <w:r>
        <w:rPr>
          <w:rFonts w:hint="eastAsia" w:ascii="宋体" w:hAnsi="宋体" w:eastAsia="宋体"/>
          <w:color w:val="auto"/>
          <w:highlight w:val="none"/>
        </w:rPr>
        <w:t xml:space="preserve"> </w:t>
      </w:r>
    </w:p>
    <w:p>
      <w:pPr>
        <w:spacing w:before="0" w:after="0" w:afterAutospacing="0"/>
        <w:ind w:left="0" w:right="0" w:firstLine="420" w:firstLineChars="200"/>
        <w:rPr>
          <w:rFonts w:hint="default" w:ascii="宋体" w:hAnsi="宋体" w:eastAsia="宋体"/>
          <w:color w:val="auto"/>
          <w:highlight w:val="none"/>
          <w:lang w:val="en-US"/>
        </w:rPr>
      </w:pPr>
      <w:r>
        <w:rPr>
          <w:rFonts w:hint="eastAsia" w:ascii="宋体" w:hAnsi="宋体" w:eastAsia="宋体"/>
          <w:color w:val="auto"/>
          <w:highlight w:val="none"/>
        </w:rPr>
        <w:t>电    话：</w:t>
      </w:r>
      <w:r>
        <w:rPr>
          <w:rFonts w:hint="eastAsia" w:ascii="宋体" w:hAnsi="宋体" w:eastAsia="宋体"/>
          <w:color w:val="auto"/>
          <w:highlight w:val="none"/>
          <w:lang w:val="en-US" w:eastAsia="zh-CN"/>
        </w:rPr>
        <w:t>0771-27783</w:t>
      </w:r>
      <w:r>
        <w:rPr>
          <w:rFonts w:hint="eastAsia" w:ascii="宋体" w:hAnsi="宋体"/>
          <w:color w:val="auto"/>
          <w:highlight w:val="none"/>
          <w:lang w:val="en-US" w:eastAsia="zh-CN"/>
        </w:rPr>
        <w:t>26</w:t>
      </w:r>
      <w:r>
        <w:rPr>
          <w:rFonts w:hint="eastAsia" w:ascii="宋体" w:hAnsi="宋体" w:eastAsia="宋体"/>
          <w:color w:val="auto"/>
          <w:highlight w:val="none"/>
          <w:lang w:val="en-US" w:eastAsia="zh-CN"/>
        </w:rPr>
        <w:t>、0771-</w:t>
      </w:r>
      <w:r>
        <w:rPr>
          <w:rFonts w:hint="eastAsia" w:ascii="宋体" w:hAnsi="宋体" w:eastAsia="宋体" w:cs="Times New Roman"/>
          <w:color w:val="auto"/>
          <w:highlight w:val="none"/>
          <w:lang w:val="en-US" w:eastAsia="zh-CN"/>
        </w:rPr>
        <w:t>277</w:t>
      </w:r>
      <w:r>
        <w:rPr>
          <w:rFonts w:hint="eastAsia" w:ascii="宋体" w:hAnsi="宋体" w:cs="Times New Roman"/>
          <w:color w:val="auto"/>
          <w:highlight w:val="none"/>
          <w:lang w:val="en-US" w:eastAsia="zh-CN"/>
        </w:rPr>
        <w:t>8138</w:t>
      </w:r>
    </w:p>
    <w:p>
      <w:pPr>
        <w:spacing w:before="0" w:after="0" w:afterAutospacing="0" w:line="240" w:lineRule="auto"/>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纪检监察室（举报电话）：</w:t>
      </w:r>
      <w:r>
        <w:rPr>
          <w:rFonts w:hint="eastAsia" w:ascii="宋体" w:hAnsi="宋体" w:eastAsia="宋体"/>
          <w:color w:val="auto"/>
          <w:highlight w:val="none"/>
          <w:u w:val="none"/>
        </w:rPr>
        <w:t>0771-2778084</w:t>
      </w:r>
    </w:p>
    <w:p>
      <w:pPr>
        <w:pStyle w:val="2"/>
        <w:pageBreakBefore/>
        <w:ind w:right="-57" w:firstLine="0"/>
        <w:jc w:val="center"/>
        <w:outlineLvl w:val="0"/>
        <w:rPr>
          <w:rStyle w:val="46"/>
          <w:rFonts w:ascii="宋体" w:hAnsi="宋体" w:eastAsia="宋体"/>
          <w:color w:val="auto"/>
          <w:highlight w:val="none"/>
        </w:rPr>
      </w:pPr>
      <w:bookmarkStart w:id="16" w:name="_Toc322528192"/>
      <w:bookmarkEnd w:id="16"/>
      <w:bookmarkStart w:id="17" w:name="_Toc512357502"/>
      <w:bookmarkStart w:id="18" w:name="_Toc27268"/>
      <w:bookmarkStart w:id="19" w:name="_Toc32503"/>
      <w:bookmarkStart w:id="20" w:name="_Toc18454"/>
      <w:bookmarkStart w:id="21" w:name="_Toc30950"/>
      <w:bookmarkStart w:id="22" w:name="_Toc14760"/>
      <w:bookmarkStart w:id="23" w:name="_Toc23577"/>
      <w:bookmarkStart w:id="24" w:name="_Toc15976"/>
      <w:bookmarkStart w:id="25" w:name="_Toc17735"/>
      <w:bookmarkStart w:id="26" w:name="_Toc28490"/>
      <w:bookmarkStart w:id="27" w:name="_Toc4378"/>
      <w:bookmarkStart w:id="28" w:name="_Toc12635"/>
      <w:bookmarkStart w:id="29" w:name="_Toc20201"/>
      <w:bookmarkStart w:id="30" w:name="_Toc29836"/>
      <w:bookmarkStart w:id="31" w:name="_Toc30725"/>
      <w:bookmarkStart w:id="32" w:name="_Toc2734"/>
      <w:bookmarkStart w:id="33" w:name="_Toc17594"/>
      <w:bookmarkStart w:id="34" w:name="_Toc30820"/>
      <w:bookmarkStart w:id="35" w:name="_Toc30883"/>
      <w:bookmarkStart w:id="36" w:name="_Toc24390"/>
      <w:bookmarkStart w:id="37" w:name="_Toc22273"/>
      <w:bookmarkStart w:id="38" w:name="_Toc24972"/>
      <w:bookmarkStart w:id="39" w:name="_Toc2901"/>
      <w:bookmarkStart w:id="40" w:name="_Toc21830"/>
      <w:bookmarkStart w:id="41" w:name="_Toc3495"/>
      <w:bookmarkStart w:id="42" w:name="_Toc1230"/>
      <w:bookmarkStart w:id="43" w:name="_Toc24484"/>
      <w:bookmarkStart w:id="44" w:name="_Toc17240"/>
      <w:r>
        <w:rPr>
          <w:rStyle w:val="46"/>
          <w:rFonts w:hint="eastAsia" w:ascii="宋体" w:hAnsi="宋体" w:eastAsia="宋体"/>
          <w:color w:val="auto"/>
          <w:highlight w:val="none"/>
        </w:rPr>
        <w:t>第二章</w:t>
      </w:r>
      <w:bookmarkEnd w:id="17"/>
      <w:r>
        <w:rPr>
          <w:rStyle w:val="46"/>
          <w:rFonts w:hint="eastAsia" w:ascii="宋体" w:hAnsi="宋体" w:eastAsia="宋体"/>
          <w:color w:val="auto"/>
          <w:highlight w:val="none"/>
        </w:rPr>
        <w:t>比选申请须知</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2"/>
        <w:spacing w:before="0" w:after="0"/>
        <w:ind w:right="0" w:firstLine="0"/>
        <w:jc w:val="center"/>
        <w:rPr>
          <w:rFonts w:hAnsi="宋体"/>
          <w:b/>
          <w:color w:val="auto"/>
          <w:sz w:val="30"/>
          <w:szCs w:val="30"/>
          <w:highlight w:val="none"/>
        </w:rPr>
      </w:pPr>
      <w:bookmarkStart w:id="45" w:name="_Toc19197"/>
      <w:r>
        <w:rPr>
          <w:rFonts w:hint="eastAsia" w:hAnsi="宋体"/>
          <w:b/>
          <w:color w:val="auto"/>
          <w:sz w:val="30"/>
          <w:szCs w:val="30"/>
          <w:highlight w:val="none"/>
        </w:rPr>
        <w:t>比选申请须知前附表</w:t>
      </w:r>
      <w:bookmarkEnd w:id="45"/>
    </w:p>
    <w:tbl>
      <w:tblPr>
        <w:tblStyle w:val="33"/>
        <w:tblW w:w="9117" w:type="dxa"/>
        <w:tblInd w:w="112" w:type="dxa"/>
        <w:tblLayout w:type="fixed"/>
        <w:tblCellMar>
          <w:top w:w="0" w:type="dxa"/>
          <w:left w:w="108" w:type="dxa"/>
          <w:bottom w:w="0" w:type="dxa"/>
          <w:right w:w="108" w:type="dxa"/>
        </w:tblCellMar>
      </w:tblPr>
      <w:tblGrid>
        <w:gridCol w:w="673"/>
        <w:gridCol w:w="1716"/>
        <w:gridCol w:w="6728"/>
      </w:tblGrid>
      <w:tr>
        <w:tblPrEx>
          <w:tblCellMar>
            <w:top w:w="0" w:type="dxa"/>
            <w:left w:w="108" w:type="dxa"/>
            <w:bottom w:w="0" w:type="dxa"/>
            <w:right w:w="108" w:type="dxa"/>
          </w:tblCellMar>
        </w:tblPrEx>
        <w:trPr>
          <w:trHeight w:val="27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条款名称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详细内容</w:t>
            </w:r>
          </w:p>
        </w:tc>
      </w:tr>
      <w:tr>
        <w:tblPrEx>
          <w:tblCellMar>
            <w:top w:w="0" w:type="dxa"/>
            <w:left w:w="108" w:type="dxa"/>
            <w:bottom w:w="0" w:type="dxa"/>
            <w:right w:w="108" w:type="dxa"/>
          </w:tblCellMar>
        </w:tblPrEx>
        <w:trPr>
          <w:trHeight w:val="1197"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比选人</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名称：南宁轨道交通运营有限公司</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w:t>
            </w:r>
          </w:p>
          <w:p>
            <w:pPr>
              <w:keepNext w:val="0"/>
              <w:keepLines w:val="0"/>
              <w:widowControl/>
              <w:suppressLineNumbers w:val="0"/>
              <w:spacing w:before="0" w:beforeAutospacing="0" w:after="0" w:afterAutospacing="0"/>
              <w:ind w:right="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color w:val="auto"/>
                <w:highlight w:val="none"/>
                <w:lang w:val="en-US" w:eastAsia="zh-CN"/>
              </w:rPr>
              <w:t>赖工</w:t>
            </w:r>
            <w:r>
              <w:rPr>
                <w:rFonts w:hint="eastAsia" w:ascii="宋体" w:hAnsi="宋体" w:eastAsia="宋体"/>
                <w:color w:val="auto"/>
                <w:highlight w:val="none"/>
              </w:rPr>
              <w:t xml:space="preserve">  </w:t>
            </w:r>
            <w:r>
              <w:rPr>
                <w:rFonts w:hint="eastAsia" w:ascii="宋体" w:hAnsi="宋体"/>
                <w:color w:val="auto"/>
                <w:highlight w:val="none"/>
                <w:lang w:val="en-US" w:eastAsia="zh-CN"/>
              </w:rPr>
              <w:t>谭工</w:t>
            </w:r>
            <w:r>
              <w:rPr>
                <w:rFonts w:hint="eastAsia" w:ascii="宋体" w:hAnsi="宋体" w:eastAsia="宋体" w:cs="宋体"/>
                <w:color w:val="auto"/>
                <w:highlight w:val="none"/>
              </w:rPr>
              <w:t xml:space="preserve"> </w:t>
            </w:r>
          </w:p>
          <w:p>
            <w:pPr>
              <w:keepNext w:val="0"/>
              <w:keepLines w:val="0"/>
              <w:widowControl/>
              <w:suppressLineNumbers w:val="0"/>
              <w:spacing w:before="0" w:beforeAutospacing="0" w:after="0" w:afterAutospacing="0"/>
              <w:ind w:right="0"/>
              <w:rPr>
                <w:rFonts w:hint="eastAsia" w:ascii="宋体" w:hAnsi="宋体" w:eastAsia="宋体" w:cs="宋体"/>
                <w:color w:val="auto"/>
                <w:highlight w:val="none"/>
                <w:lang w:val="en-US"/>
              </w:rPr>
            </w:pPr>
            <w:r>
              <w:rPr>
                <w:rFonts w:hint="eastAsia" w:ascii="宋体" w:hAnsi="宋体" w:eastAsia="宋体" w:cs="宋体"/>
                <w:color w:val="auto"/>
                <w:highlight w:val="none"/>
              </w:rPr>
              <w:t>电话：</w:t>
            </w:r>
            <w:r>
              <w:rPr>
                <w:rFonts w:hint="eastAsia" w:ascii="宋体" w:hAnsi="宋体" w:eastAsia="宋体" w:cs="宋体"/>
                <w:color w:val="auto"/>
                <w:highlight w:val="none"/>
                <w:lang w:val="en-US" w:eastAsia="zh-CN"/>
              </w:rPr>
              <w:t>0771-27783</w:t>
            </w:r>
            <w:r>
              <w:rPr>
                <w:rFonts w:hint="eastAsia" w:ascii="宋体" w:hAnsi="宋体" w:cs="宋体"/>
                <w:color w:val="auto"/>
                <w:highlight w:val="none"/>
                <w:lang w:val="en-US" w:eastAsia="zh-CN"/>
              </w:rPr>
              <w:t>26</w:t>
            </w:r>
            <w:r>
              <w:rPr>
                <w:rFonts w:hint="eastAsia" w:ascii="宋体" w:hAnsi="宋体" w:eastAsia="宋体"/>
                <w:color w:val="auto"/>
                <w:highlight w:val="none"/>
                <w:lang w:val="en-US" w:eastAsia="zh-CN"/>
              </w:rPr>
              <w:t>、0771-</w:t>
            </w:r>
            <w:r>
              <w:rPr>
                <w:rFonts w:hint="eastAsia" w:ascii="宋体" w:hAnsi="宋体" w:eastAsia="宋体" w:cs="Times New Roman"/>
                <w:color w:val="auto"/>
                <w:highlight w:val="none"/>
                <w:lang w:val="en-US" w:eastAsia="zh-CN"/>
              </w:rPr>
              <w:t>277</w:t>
            </w:r>
            <w:r>
              <w:rPr>
                <w:rFonts w:hint="eastAsia" w:ascii="宋体" w:hAnsi="宋体" w:cs="Times New Roman"/>
                <w:color w:val="auto"/>
                <w:highlight w:val="none"/>
                <w:lang w:val="en-US" w:eastAsia="zh-CN"/>
              </w:rPr>
              <w:t>8138</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color w:val="auto"/>
                <w:highlight w:val="none"/>
                <w:lang w:eastAsia="zh-CN"/>
              </w:rPr>
              <w:t>运营公司安全生产标准化建设一级达标评价项目（2024年-2026年）</w:t>
            </w:r>
            <w:r>
              <w:rPr>
                <w:rFonts w:hint="eastAsia" w:ascii="宋体" w:hAnsi="宋体"/>
                <w:color w:val="auto"/>
                <w:highlight w:val="none"/>
              </w:rPr>
              <w:t>（第二次）</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项目编号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rPr>
              <w:t>202401100001</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比选范围</w:t>
            </w:r>
          </w:p>
        </w:tc>
        <w:tc>
          <w:tcPr>
            <w:tcW w:w="672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color w:val="auto"/>
                <w:highlight w:val="none"/>
              </w:rPr>
            </w:pPr>
            <w:r>
              <w:rPr>
                <w:rFonts w:hint="eastAsia" w:ascii="宋体" w:hAnsi="宋体"/>
                <w:color w:val="auto"/>
                <w:highlight w:val="none"/>
              </w:rPr>
              <w:t>对南宁轨道交通运营公司现有运营线路、车辆段、主所，设备设施等在一级安全生产标准化要求下的安全管理现状（包括目标与考核、管理机构和人员、安全责任体系、资质、法律法规与安全生产管理制度、安全投入、设备设施、作业安全、教育培训、运营突发事件和重大故障管理、风险管理、隐患排查和治理。职业健康、安全文化、应急管理、事故报告调查处理、绩效评定与持续改进等）、安全管理水平和风险管控能力，是否符合一级安全生产标准化要求和是否能持续达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5" w:right="0" w:firstLine="420" w:firstLineChars="200"/>
              <w:textAlignment w:val="auto"/>
              <w:rPr>
                <w:rFonts w:hint="eastAsia" w:ascii="宋体" w:hAnsi="宋体" w:eastAsia="宋体" w:cs="宋体"/>
                <w:color w:val="auto"/>
                <w:highlight w:val="none"/>
              </w:rPr>
            </w:pPr>
            <w:r>
              <w:rPr>
                <w:rFonts w:hint="eastAsia" w:ascii="宋体" w:hAnsi="宋体"/>
                <w:color w:val="auto"/>
                <w:highlight w:val="none"/>
              </w:rPr>
              <w:t>该项目是对现有运营线路、车辆段、主所、设备设施等安全管理现状、安全管理水平和安全防范能力进行评价，提供为期一天的安全生产标准化培训（线上）。项目含2024年安全生产标准化现场一级达标评价（换证）及后续两年年度自评审核工作，颁发证书和年度稽查合格证明、每年度一次的安全生产标准化培训（线上）等</w:t>
            </w:r>
            <w:r>
              <w:rPr>
                <w:rFonts w:hint="eastAsia" w:ascii="宋体" w:hAnsi="宋体" w:eastAsia="宋体"/>
                <w:color w:val="auto"/>
                <w:szCs w:val="21"/>
                <w:highlight w:val="none"/>
              </w:rPr>
              <w:t>。</w:t>
            </w:r>
            <w:r>
              <w:rPr>
                <w:rFonts w:hint="eastAsia" w:ascii="宋体" w:hAnsi="宋体" w:eastAsia="宋体"/>
                <w:color w:val="auto"/>
                <w:highlight w:val="none"/>
              </w:rPr>
              <w:t>具体详见用户需求书。</w:t>
            </w:r>
          </w:p>
        </w:tc>
      </w:tr>
      <w:tr>
        <w:tblPrEx>
          <w:tblCellMar>
            <w:top w:w="0" w:type="dxa"/>
            <w:left w:w="108" w:type="dxa"/>
            <w:bottom w:w="0" w:type="dxa"/>
            <w:right w:w="108" w:type="dxa"/>
          </w:tblCellMar>
        </w:tblPrEx>
        <w:trPr>
          <w:trHeight w:val="79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5</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服务期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highlight w:val="none"/>
                <w:u w:val="single"/>
              </w:rPr>
            </w:pPr>
            <w:r>
              <w:rPr>
                <w:rFonts w:hint="eastAsia" w:ascii="宋体" w:hAnsi="宋体"/>
                <w:color w:val="auto"/>
                <w:highlight w:val="none"/>
                <w:lang w:val="en-US" w:eastAsia="zh-CN"/>
              </w:rPr>
              <w:t>合同期3年，共36个月（合同起止日期以合同约定为准）</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资金来源</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企业自有资金</w:t>
            </w:r>
          </w:p>
        </w:tc>
      </w:tr>
      <w:tr>
        <w:tblPrEx>
          <w:tblCellMar>
            <w:top w:w="0" w:type="dxa"/>
            <w:left w:w="108" w:type="dxa"/>
            <w:bottom w:w="0" w:type="dxa"/>
            <w:right w:w="108" w:type="dxa"/>
          </w:tblCellMar>
        </w:tblPrEx>
        <w:trPr>
          <w:trHeight w:val="13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7</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上限控制价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val="en-US" w:eastAsia="zh-CN"/>
              </w:rPr>
              <w:t>89300.00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比选申请人应具备的资格条件</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ind w:left="0" w:right="0" w:firstLine="420" w:firstLineChars="200"/>
              <w:rPr>
                <w:rFonts w:hint="eastAsia" w:ascii="宋体" w:hAnsi="宋体" w:eastAsia="宋体"/>
                <w:color w:val="auto"/>
                <w:highlight w:val="none"/>
                <w:lang w:eastAsia="zh-CN"/>
              </w:rPr>
            </w:pPr>
            <w:r>
              <w:rPr>
                <w:rFonts w:hint="eastAsia" w:ascii="宋体" w:hAnsi="宋体" w:cs="宋体"/>
                <w:color w:val="auto"/>
                <w:highlight w:val="none"/>
              </w:rPr>
              <w:t>比选申请人为中华人民共和国境内依法设立的法人或其他组织（若以分公司名义参与</w:t>
            </w:r>
            <w:r>
              <w:rPr>
                <w:rFonts w:hint="eastAsia" w:ascii="宋体" w:hAnsi="宋体" w:cs="宋体"/>
                <w:color w:val="auto"/>
                <w:highlight w:val="none"/>
                <w:lang w:val="en-US" w:eastAsia="zh-CN"/>
              </w:rPr>
              <w:t>比选</w:t>
            </w:r>
            <w:r>
              <w:rPr>
                <w:rFonts w:hint="eastAsia" w:ascii="宋体" w:hAnsi="宋体" w:cs="宋体"/>
                <w:color w:val="auto"/>
                <w:highlight w:val="none"/>
              </w:rPr>
              <w:t>申请，必须出具总公司授权参与的证明）</w:t>
            </w:r>
            <w:r>
              <w:rPr>
                <w:rFonts w:hint="eastAsia" w:ascii="宋体" w:hAnsi="宋体" w:eastAsia="宋体"/>
                <w:color w:val="auto"/>
                <w:highlight w:val="none"/>
                <w:lang w:eastAsia="zh-CN"/>
              </w:rPr>
              <w:t>；</w:t>
            </w:r>
          </w:p>
          <w:p>
            <w:pPr>
              <w:keepNext w:val="0"/>
              <w:keepLines w:val="0"/>
              <w:widowControl/>
              <w:numPr>
                <w:ilvl w:val="0"/>
                <w:numId w:val="1"/>
              </w:numPr>
              <w:suppressLineNumbers w:val="0"/>
              <w:spacing w:before="0" w:beforeAutospacing="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lang w:eastAsia="zh-CN"/>
              </w:rPr>
              <w:t>单位负责人为同一人或者存在控股、管理关系的不同单位，不得参加同一标段比选申请或者未划分标段的同一比选项目比选申请。</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eastAsia="宋体"/>
                <w:color w:val="auto"/>
                <w:sz w:val="21"/>
                <w:szCs w:val="21"/>
                <w:highlight w:val="none"/>
              </w:rPr>
              <w:t>比选申请人没有处于被责令停业，或资格被住建部、</w:t>
            </w:r>
            <w:r>
              <w:rPr>
                <w:rFonts w:hint="eastAsia" w:ascii="宋体" w:hAnsi="宋体"/>
                <w:color w:val="auto"/>
                <w:sz w:val="21"/>
                <w:szCs w:val="21"/>
                <w:highlight w:val="none"/>
                <w:lang w:val="en-US" w:eastAsia="zh-CN"/>
              </w:rPr>
              <w:t>应急管理部</w:t>
            </w:r>
            <w:r>
              <w:rPr>
                <w:rFonts w:hint="eastAsia" w:ascii="宋体" w:hAnsi="宋体" w:eastAsia="宋体"/>
                <w:color w:val="auto"/>
                <w:sz w:val="21"/>
                <w:szCs w:val="21"/>
                <w:highlight w:val="none"/>
              </w:rPr>
              <w:t>、广西区或南宁市建设行政主管部门取消，或财产被接管、破产状态；在</w:t>
            </w:r>
            <w:r>
              <w:rPr>
                <w:rFonts w:hint="eastAsia" w:ascii="宋体" w:hAnsi="宋体"/>
                <w:color w:val="auto"/>
                <w:sz w:val="21"/>
                <w:szCs w:val="21"/>
                <w:highlight w:val="none"/>
                <w:lang w:val="en-US" w:eastAsia="zh-CN"/>
              </w:rPr>
              <w:t>比选申请</w:t>
            </w:r>
            <w:r>
              <w:rPr>
                <w:rFonts w:hint="eastAsia" w:ascii="宋体" w:hAnsi="宋体" w:eastAsia="宋体"/>
                <w:color w:val="auto"/>
                <w:sz w:val="21"/>
                <w:szCs w:val="21"/>
                <w:highlight w:val="none"/>
              </w:rPr>
              <w:t>截止</w:t>
            </w:r>
            <w:r>
              <w:rPr>
                <w:rFonts w:hint="eastAsia" w:ascii="宋体" w:hAnsi="宋体"/>
                <w:color w:val="auto"/>
                <w:sz w:val="21"/>
                <w:szCs w:val="21"/>
                <w:highlight w:val="none"/>
                <w:lang w:val="en-US" w:eastAsia="zh-CN"/>
              </w:rPr>
              <w:t>时间</w:t>
            </w:r>
            <w:r>
              <w:rPr>
                <w:rFonts w:hint="eastAsia" w:ascii="宋体" w:hAnsi="宋体" w:eastAsia="宋体"/>
                <w:color w:val="auto"/>
                <w:sz w:val="21"/>
                <w:szCs w:val="21"/>
                <w:highlight w:val="none"/>
              </w:rPr>
              <w:t>前3年内没有骗取中标</w:t>
            </w:r>
            <w:r>
              <w:rPr>
                <w:rFonts w:hint="eastAsia" w:ascii="宋体" w:hAnsi="宋体"/>
                <w:color w:val="auto"/>
                <w:sz w:val="21"/>
                <w:szCs w:val="21"/>
                <w:highlight w:val="none"/>
                <w:lang w:val="en-US" w:eastAsia="zh-CN"/>
              </w:rPr>
              <w:t>/选</w:t>
            </w:r>
            <w:r>
              <w:rPr>
                <w:rFonts w:hint="eastAsia" w:ascii="宋体" w:hAnsi="宋体" w:eastAsia="宋体"/>
                <w:color w:val="auto"/>
                <w:sz w:val="21"/>
                <w:szCs w:val="21"/>
                <w:highlight w:val="none"/>
              </w:rPr>
              <w:t>、严重违约或重大安全质量事故</w:t>
            </w:r>
            <w:r>
              <w:rPr>
                <w:rFonts w:hint="eastAsia" w:ascii="宋体" w:hAnsi="宋体" w:eastAsia="宋体"/>
                <w:color w:val="auto"/>
                <w:highlight w:val="none"/>
              </w:rPr>
              <w:t>；</w:t>
            </w:r>
            <w:r>
              <w:rPr>
                <w:rFonts w:hint="eastAsia" w:ascii="宋体" w:hAnsi="宋体" w:eastAsia="宋体" w:cs="宋体"/>
                <w:color w:val="auto"/>
                <w:highlight w:val="none"/>
                <w:lang w:val="en-US" w:eastAsia="zh-CN"/>
              </w:rPr>
              <w:t>近3年内未受到交通行业主管部门违规评价处理通报</w:t>
            </w:r>
            <w:r>
              <w:rPr>
                <w:rFonts w:hint="eastAsia" w:ascii="宋体" w:hAnsi="宋体" w:cs="宋体"/>
                <w:color w:val="auto"/>
                <w:highlight w:val="none"/>
                <w:lang w:val="en-US"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eastAsia="宋体"/>
                <w:color w:val="auto"/>
                <w:sz w:val="21"/>
                <w:szCs w:val="21"/>
                <w:highlight w:val="none"/>
              </w:rPr>
              <w:t>比选申请人</w:t>
            </w:r>
            <w:r>
              <w:rPr>
                <w:rFonts w:hint="eastAsia" w:ascii="宋体" w:hAnsi="宋体" w:cs="宋体"/>
                <w:color w:val="auto"/>
                <w:highlight w:val="none"/>
                <w:lang w:val="en-US" w:eastAsia="zh-CN"/>
              </w:rPr>
              <w:t>需要具备城市客运专业资质类型，并向交通运输部备案的一级评价资质（</w:t>
            </w:r>
            <w:r>
              <w:rPr>
                <w:rFonts w:hint="eastAsia" w:ascii="宋体" w:hAnsi="宋体" w:eastAsia="宋体" w:cs="宋体"/>
                <w:color w:val="auto"/>
                <w:kern w:val="0"/>
                <w:sz w:val="21"/>
                <w:szCs w:val="21"/>
                <w:highlight w:val="none"/>
                <w:lang w:val="en-US" w:eastAsia="zh-CN" w:bidi="ar"/>
              </w:rPr>
              <w:t>如提供“交通运输企业安全生产标</w:t>
            </w:r>
            <w:r>
              <w:rPr>
                <w:rFonts w:hint="eastAsia" w:ascii="宋体" w:hAnsi="宋体" w:eastAsia="宋体" w:cs="宋体"/>
                <w:color w:val="auto"/>
                <w:highlight w:val="none"/>
                <w:lang w:val="en-US" w:eastAsia="zh-CN"/>
              </w:rPr>
              <w:t>准化建设信用信息管理系统”截图，能显示专业类型为城市客运、等级为一级的资质备案截图等其他的证明材料</w:t>
            </w:r>
            <w:r>
              <w:rPr>
                <w:rFonts w:hint="eastAsia" w:ascii="宋体" w:hAnsi="宋体" w:cs="宋体"/>
                <w:color w:val="auto"/>
                <w:highlight w:val="none"/>
                <w:lang w:val="en-US" w:eastAsia="zh-CN"/>
              </w:rPr>
              <w:t>）</w:t>
            </w:r>
            <w:r>
              <w:rPr>
                <w:rFonts w:hint="eastAsia" w:hAnsi="宋体"/>
                <w:color w:val="auto"/>
                <w:sz w:val="21"/>
                <w:szCs w:val="21"/>
                <w:highlight w:val="none"/>
                <w:lang w:val="en-US"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（5）比选申请人</w:t>
            </w:r>
            <w:r>
              <w:rPr>
                <w:rFonts w:hint="eastAsia" w:ascii="宋体" w:hAnsi="宋体" w:cs="宋体"/>
                <w:color w:val="auto"/>
                <w:highlight w:val="none"/>
              </w:rPr>
              <w:t>自</w:t>
            </w:r>
            <w:r>
              <w:rPr>
                <w:rFonts w:hint="eastAsia" w:ascii="宋体" w:hAnsi="宋体" w:cs="宋体"/>
                <w:color w:val="auto"/>
                <w:highlight w:val="none"/>
                <w:lang w:val="en-US" w:eastAsia="zh-CN"/>
              </w:rPr>
              <w:t>2019</w:t>
            </w:r>
            <w:r>
              <w:rPr>
                <w:rFonts w:hint="eastAsia" w:ascii="宋体" w:hAnsi="宋体" w:cs="宋体"/>
                <w:color w:val="auto"/>
                <w:highlight w:val="none"/>
              </w:rPr>
              <w:t>年1月1日至比选申请截止时间前至少具有1项在中华人民共和国境内的类似项目业绩，类似业绩是指安全生产标准化一级达标项目业绩</w:t>
            </w:r>
            <w:r>
              <w:rPr>
                <w:rFonts w:hint="eastAsia" w:ascii="宋体" w:hAnsi="宋体" w:eastAsia="宋体"/>
                <w:color w:val="auto"/>
                <w:highlight w:val="none"/>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eastAsia="宋体"/>
                <w:color w:val="auto"/>
                <w:highlight w:val="none"/>
              </w:rPr>
              <w:t>本项目不接受联合体比选申请</w:t>
            </w:r>
            <w:r>
              <w:rPr>
                <w:rFonts w:hint="eastAsia" w:ascii="宋体" w:hAnsi="宋体" w:eastAsia="宋体"/>
                <w:color w:val="auto"/>
                <w:highlight w:val="none"/>
                <w:lang w:eastAsia="zh-CN"/>
              </w:rPr>
              <w:t>；</w:t>
            </w:r>
          </w:p>
          <w:p>
            <w:pPr>
              <w:keepNext w:val="0"/>
              <w:keepLines w:val="0"/>
              <w:widowControl/>
              <w:suppressLineNumbers w:val="0"/>
              <w:spacing w:before="0" w:beforeAutospacing="0" w:after="0" w:afterAutospacing="0"/>
              <w:ind w:left="0" w:right="0" w:firstLine="420" w:firstLineChars="200"/>
              <w:rPr>
                <w:rFonts w:hint="eastAsia"/>
                <w:color w:val="auto"/>
                <w:highlight w:val="none"/>
              </w:rPr>
            </w:pPr>
            <w:r>
              <w:rPr>
                <w:rFonts w:hint="eastAsia" w:ascii="宋体" w:hAnsi="宋体"/>
                <w:color w:val="auto"/>
                <w:highlight w:val="none"/>
                <w:lang w:val="en-US" w:eastAsia="zh-CN"/>
              </w:rPr>
              <w:t>（6）</w:t>
            </w:r>
            <w:r>
              <w:rPr>
                <w:rFonts w:hint="eastAsia" w:ascii="宋体" w:hAnsi="宋体" w:eastAsia="宋体"/>
                <w:color w:val="auto"/>
                <w:highlight w:val="none"/>
                <w:lang w:val="en-US" w:eastAsia="zh-CN"/>
              </w:rPr>
              <w:t>比选申请人未被列入比选人不良信用名单的。</w:t>
            </w:r>
          </w:p>
        </w:tc>
      </w:tr>
      <w:tr>
        <w:tblPrEx>
          <w:tblCellMar>
            <w:top w:w="0" w:type="dxa"/>
            <w:left w:w="108" w:type="dxa"/>
            <w:bottom w:w="0" w:type="dxa"/>
            <w:right w:w="108" w:type="dxa"/>
          </w:tblCellMar>
        </w:tblPrEx>
        <w:trPr>
          <w:trHeight w:val="241"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6.1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比选申请人要求澄清比选文件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对比选文件提出疑问的截止时间：</w:t>
            </w:r>
            <w:r>
              <w:rPr>
                <w:rFonts w:hint="eastAsia" w:ascii="宋体" w:hAnsi="宋体" w:cs="宋体"/>
                <w:color w:val="auto"/>
                <w:highlight w:val="none"/>
                <w:u w:val="single"/>
                <w:lang w:val="en-US" w:eastAsia="zh-CN"/>
              </w:rPr>
              <w:t>2024</w:t>
            </w:r>
            <w:r>
              <w:rPr>
                <w:rFonts w:hint="eastAsia" w:ascii="宋体" w:hAnsi="宋体" w:eastAsia="宋体" w:cs="宋体"/>
                <w:color w:val="auto"/>
                <w:highlight w:val="none"/>
              </w:rPr>
              <w:t>年</w:t>
            </w:r>
            <w:r>
              <w:rPr>
                <w:rFonts w:hint="eastAsia" w:ascii="宋体" w:hAnsi="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cs="宋体"/>
                <w:color w:val="auto"/>
                <w:highlight w:val="none"/>
                <w:lang w:val="en-US" w:eastAsia="zh-CN"/>
              </w:rPr>
              <w:t>23</w:t>
            </w:r>
            <w:r>
              <w:rPr>
                <w:rFonts w:hint="eastAsia" w:ascii="宋体" w:hAnsi="宋体" w:eastAsia="宋体" w:cs="宋体"/>
                <w:color w:val="auto"/>
                <w:highlight w:val="none"/>
              </w:rPr>
              <w:t>日</w:t>
            </w:r>
            <w:r>
              <w:rPr>
                <w:rFonts w:hint="eastAsia" w:ascii="宋体" w:hAnsi="宋体" w:cs="宋体"/>
                <w:color w:val="auto"/>
                <w:highlight w:val="none"/>
                <w:u w:val="single"/>
                <w:lang w:val="en-US" w:eastAsia="zh-CN"/>
              </w:rPr>
              <w:t>17:00</w:t>
            </w:r>
            <w:r>
              <w:rPr>
                <w:rFonts w:hint="eastAsia" w:ascii="宋体" w:hAnsi="宋体" w:eastAsia="宋体" w:cs="宋体"/>
                <w:color w:val="auto"/>
                <w:highlight w:val="none"/>
              </w:rPr>
              <w:t>前。比选申请人不在规定期限内提出，比选人有权不予答复，或答复后比选申请截止时间由比选人确定是否顺延。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u w:val="single"/>
              </w:rPr>
            </w:pPr>
            <w:r>
              <w:rPr>
                <w:rFonts w:hint="eastAsia" w:ascii="宋体" w:hAnsi="宋体" w:eastAsia="宋体" w:cs="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比选文件澄清发布方式</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kern w:val="2"/>
                <w:highlight w:val="none"/>
              </w:rPr>
              <w:t>南宁轨道交通集团有限责任公司官网发布(</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"http://www.nngdjt.com" </w:instrText>
            </w:r>
            <w:r>
              <w:rPr>
                <w:rFonts w:hint="eastAsia" w:ascii="宋体" w:hAnsi="宋体" w:eastAsia="宋体" w:cs="宋体"/>
                <w:color w:val="auto"/>
                <w:highlight w:val="none"/>
              </w:rPr>
              <w:fldChar w:fldCharType="separate"/>
            </w:r>
            <w:r>
              <w:rPr>
                <w:rStyle w:val="38"/>
                <w:rFonts w:hint="eastAsia" w:ascii="宋体" w:hAnsi="宋体" w:eastAsia="宋体" w:cs="宋体"/>
                <w:color w:val="auto"/>
                <w:kern w:val="2"/>
                <w:highlight w:val="none"/>
              </w:rPr>
              <w:t>http://www.nngdjt.com</w:t>
            </w:r>
            <w:r>
              <w:rPr>
                <w:rStyle w:val="38"/>
                <w:rFonts w:hint="eastAsia" w:ascii="宋体" w:hAnsi="宋体" w:eastAsia="宋体" w:cs="宋体"/>
                <w:color w:val="auto"/>
                <w:kern w:val="2"/>
                <w:highlight w:val="none"/>
              </w:rPr>
              <w:fldChar w:fldCharType="end"/>
            </w:r>
            <w:r>
              <w:rPr>
                <w:rFonts w:hint="eastAsia" w:ascii="宋体" w:hAnsi="宋体" w:eastAsia="宋体" w:cs="宋体"/>
                <w:color w:val="auto"/>
                <w:kern w:val="2"/>
                <w:highlight w:val="none"/>
              </w:rPr>
              <w:t>)、</w:t>
            </w:r>
            <w:r>
              <w:rPr>
                <w:rFonts w:hint="eastAsia" w:ascii="宋体" w:hAnsi="宋体" w:eastAsia="宋体" w:cs="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比选申请人确认收到澄清的方式</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358"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10.1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构成比选申请文件的组成</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比选申请文件组成部分：资格审查文件、价格文件、技术文件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资格审查文件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（1）法定代表人授权书（格式见A1）及法定代表人资格证明书（如无授权时，只需提供法定代表人资格证明书，格式见A2），法定代表人及被授权人身份证复印件；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（2）比选申请人有效的营业执照复印件；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（3）承诺书（格式见A3）；</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类似项目业绩表</w:t>
            </w:r>
            <w:r>
              <w:rPr>
                <w:rFonts w:hint="eastAsia" w:ascii="宋体" w:hAnsi="宋体" w:eastAsia="宋体" w:cs="宋体"/>
                <w:color w:val="auto"/>
                <w:highlight w:val="none"/>
              </w:rPr>
              <w:t>（格式见A</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eastAsia="zh-CN"/>
              </w:rPr>
              <w:t>；</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技术文件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（1）技术响应表（格式见B1）；</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（2）按期完成承诺书（格式见B2）；</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（3）商务响应表（格式见B3）；</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价格文件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（1）比选申请报价一览表（格式见C1）；</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（2）比选申请函（格式见C2）；</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（3）比选申请报价表（格式见C3）；</w:t>
            </w:r>
          </w:p>
          <w:p>
            <w:pPr>
              <w:keepNext w:val="0"/>
              <w:keepLines w:val="0"/>
              <w:widowControl/>
              <w:suppressLineNumbers w:val="0"/>
              <w:spacing w:before="0" w:beforeAutospacing="0" w:after="0" w:afterAutospacing="0"/>
              <w:ind w:left="0" w:right="0" w:firstLine="0"/>
              <w:rPr>
                <w:rFonts w:hint="eastAsia"/>
                <w:color w:val="auto"/>
                <w:highlight w:val="none"/>
              </w:rPr>
            </w:pPr>
            <w:r>
              <w:rPr>
                <w:rFonts w:hint="eastAsia" w:ascii="宋体" w:hAnsi="宋体" w:eastAsia="宋体" w:cs="宋体"/>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比选申请报价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
                <w:color w:val="auto"/>
                <w:highlight w:val="none"/>
              </w:rPr>
              <w:t>本项目采用</w:t>
            </w:r>
            <w:r>
              <w:rPr>
                <w:rFonts w:hint="eastAsia" w:ascii="宋体" w:hAnsi="宋体" w:eastAsia="宋体" w:cs="宋体"/>
                <w:b/>
                <w:color w:val="auto"/>
                <w:highlight w:val="none"/>
                <w:lang w:val="en-US" w:eastAsia="zh-CN"/>
              </w:rPr>
              <w:t>不</w:t>
            </w:r>
            <w:r>
              <w:rPr>
                <w:rFonts w:hint="eastAsia" w:ascii="宋体" w:hAnsi="宋体" w:eastAsia="宋体" w:cs="宋体"/>
                <w:b/>
                <w:color w:val="auto"/>
                <w:highlight w:val="none"/>
              </w:rPr>
              <w:t>含税报价，含税报价为合同暂定价，本合同最终税金在结算阶段，按实际产生的税金进行核算，但合同不含税价格不因国家税率调整而调整。</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（2）比选申请人须按顺序填报比选申请报价表，不允许打乱顺序。</w:t>
            </w:r>
          </w:p>
        </w:tc>
      </w:tr>
      <w:tr>
        <w:tblPrEx>
          <w:tblCellMar>
            <w:top w:w="0" w:type="dxa"/>
            <w:left w:w="108" w:type="dxa"/>
            <w:bottom w:w="0" w:type="dxa"/>
            <w:right w:w="108" w:type="dxa"/>
          </w:tblCellMar>
        </w:tblPrEx>
        <w:trPr>
          <w:trHeight w:val="70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14.1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比选申请保证金</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673"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15.1</w:t>
            </w:r>
          </w:p>
        </w:tc>
        <w:tc>
          <w:tcPr>
            <w:tcW w:w="1716" w:type="dxa"/>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比选申请有效期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16.1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比选申请文件副本份数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正本1份，副本</w:t>
            </w:r>
            <w:r>
              <w:rPr>
                <w:rFonts w:hint="eastAsia" w:ascii="宋体" w:hAnsi="宋体" w:cs="宋体"/>
                <w:color w:val="auto"/>
                <w:highlight w:val="none"/>
                <w:lang w:val="en-US" w:eastAsia="zh-CN"/>
              </w:rPr>
              <w:t>2</w:t>
            </w:r>
            <w:r>
              <w:rPr>
                <w:rFonts w:hint="eastAsia" w:ascii="宋体" w:hAnsi="宋体" w:eastAsia="宋体" w:cs="宋体"/>
                <w:color w:val="auto"/>
                <w:highlight w:val="none"/>
              </w:rPr>
              <w:t>份。</w:t>
            </w:r>
          </w:p>
        </w:tc>
      </w:tr>
      <w:tr>
        <w:tblPrEx>
          <w:tblCellMar>
            <w:top w:w="0" w:type="dxa"/>
            <w:left w:w="108" w:type="dxa"/>
            <w:bottom w:w="0" w:type="dxa"/>
            <w:right w:w="108" w:type="dxa"/>
          </w:tblCellMar>
        </w:tblPrEx>
        <w:trPr>
          <w:trHeight w:val="140"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8.1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比选申请截止时间</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firstLine="0" w:firstLineChars="0"/>
              <w:rPr>
                <w:rFonts w:hint="eastAsia" w:ascii="宋体" w:hAnsi="宋体" w:eastAsia="宋体" w:cs="宋体"/>
                <w:color w:val="auto"/>
                <w:highlight w:val="none"/>
              </w:rPr>
            </w:pPr>
            <w:bookmarkStart w:id="46" w:name="CgwjmbEntity：KBSJ3_0"/>
            <w:r>
              <w:rPr>
                <w:rFonts w:hint="eastAsia" w:ascii="宋体" w:hAnsi="宋体" w:cs="宋体"/>
                <w:color w:val="auto"/>
                <w:highlight w:val="none"/>
                <w:lang w:val="en-US" w:eastAsia="zh-CN"/>
              </w:rPr>
              <w:t>2024</w:t>
            </w:r>
            <w:r>
              <w:rPr>
                <w:rFonts w:hint="eastAsia" w:ascii="宋体" w:hAnsi="宋体" w:eastAsia="宋体" w:cs="宋体"/>
                <w:color w:val="auto"/>
                <w:highlight w:val="none"/>
              </w:rPr>
              <w:t>年</w:t>
            </w:r>
            <w:bookmarkEnd w:id="46"/>
            <w:r>
              <w:rPr>
                <w:rFonts w:hint="eastAsia" w:ascii="宋体" w:hAnsi="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cs="宋体"/>
                <w:color w:val="auto"/>
                <w:highlight w:val="none"/>
                <w:lang w:val="en-US" w:eastAsia="zh-CN"/>
              </w:rPr>
              <w:t>28</w:t>
            </w:r>
            <w:r>
              <w:rPr>
                <w:rFonts w:hint="eastAsia" w:ascii="宋体" w:hAnsi="宋体" w:eastAsia="宋体" w:cs="宋体"/>
                <w:color w:val="auto"/>
                <w:highlight w:val="none"/>
              </w:rPr>
              <w:t>日</w:t>
            </w:r>
            <w:r>
              <w:rPr>
                <w:rFonts w:hint="eastAsia" w:ascii="宋体" w:hAnsi="宋体" w:cs="宋体"/>
                <w:color w:val="auto"/>
                <w:highlight w:val="none"/>
                <w:lang w:val="en-US" w:eastAsia="zh-CN"/>
              </w:rPr>
              <w:t>15</w:t>
            </w:r>
            <w:r>
              <w:rPr>
                <w:rFonts w:hint="eastAsia" w:ascii="宋体" w:hAnsi="宋体" w:eastAsia="宋体" w:cs="宋体"/>
                <w:color w:val="auto"/>
                <w:highlight w:val="none"/>
              </w:rPr>
              <w:t>时</w:t>
            </w:r>
            <w:r>
              <w:rPr>
                <w:rFonts w:hint="eastAsia" w:ascii="宋体" w:hAnsi="宋体" w:cs="宋体"/>
                <w:color w:val="auto"/>
                <w:highlight w:val="none"/>
                <w:lang w:val="en-US" w:eastAsia="zh-CN"/>
              </w:rPr>
              <w:t>30</w:t>
            </w:r>
            <w:r>
              <w:rPr>
                <w:rFonts w:hint="eastAsia" w:ascii="宋体" w:hAnsi="宋体" w:eastAsia="宋体" w:cs="宋体"/>
                <w:color w:val="auto"/>
                <w:highlight w:val="none"/>
              </w:rPr>
              <w:t>分</w:t>
            </w:r>
          </w:p>
        </w:tc>
      </w:tr>
      <w:tr>
        <w:tblPrEx>
          <w:tblCellMar>
            <w:top w:w="0" w:type="dxa"/>
            <w:left w:w="108" w:type="dxa"/>
            <w:bottom w:w="0" w:type="dxa"/>
            <w:right w:w="108" w:type="dxa"/>
          </w:tblCellMar>
        </w:tblPrEx>
        <w:trPr>
          <w:trHeight w:val="797"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递交比选申请文件地点</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单位：</w:t>
            </w:r>
            <w:r>
              <w:rPr>
                <w:rFonts w:hint="eastAsia" w:ascii="宋体" w:hAnsi="宋体" w:eastAsia="宋体" w:cs="宋体"/>
                <w:color w:val="auto"/>
                <w:highlight w:val="none"/>
                <w:lang w:eastAsia="zh-CN"/>
              </w:rPr>
              <w:t>南宁轨道交通运营有限公司</w:t>
            </w:r>
          </w:p>
          <w:p>
            <w:pPr>
              <w:keepNext w:val="0"/>
              <w:keepLines w:val="0"/>
              <w:widowControl/>
              <w:suppressLineNumbers w:val="0"/>
              <w:spacing w:before="0" w:beforeAutospacing="0" w:after="0" w:afterAutospacing="0"/>
              <w:ind w:left="708" w:right="0" w:hanging="707" w:hangingChars="337"/>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地址：南宁市青秀区云景路83号南宁轨道交通运营有限公司屯里车辆段综合楼</w:t>
            </w:r>
            <w:r>
              <w:rPr>
                <w:rFonts w:hint="eastAsia" w:ascii="宋体" w:hAnsi="宋体" w:cs="宋体"/>
                <w:color w:val="auto"/>
                <w:highlight w:val="none"/>
                <w:lang w:val="en-US" w:eastAsia="zh-CN"/>
              </w:rPr>
              <w:t>205</w:t>
            </w:r>
            <w:bookmarkStart w:id="2338" w:name="_GoBack"/>
            <w:bookmarkEnd w:id="2338"/>
            <w:r>
              <w:rPr>
                <w:rFonts w:hint="eastAsia" w:ascii="宋体" w:hAnsi="宋体" w:eastAsia="宋体" w:cs="宋体"/>
                <w:color w:val="auto"/>
                <w:highlight w:val="none"/>
              </w:rPr>
              <w:t>会议室</w:t>
            </w:r>
          </w:p>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rPr>
            </w:pPr>
            <w:r>
              <w:rPr>
                <w:rFonts w:hint="eastAsia" w:ascii="宋体" w:hAnsi="宋体" w:eastAsia="宋体" w:cs="宋体"/>
                <w:color w:val="auto"/>
                <w:highlight w:val="none"/>
              </w:rPr>
              <w:t>递交现场联系人：</w:t>
            </w:r>
            <w:r>
              <w:rPr>
                <w:rFonts w:hint="eastAsia" w:ascii="宋体" w:hAnsi="宋体" w:cs="宋体"/>
                <w:color w:val="auto"/>
                <w:highlight w:val="none"/>
                <w:lang w:val="en-US" w:eastAsia="zh-CN"/>
              </w:rPr>
              <w:t>赖工</w:t>
            </w:r>
            <w:r>
              <w:rPr>
                <w:rFonts w:hint="eastAsia" w:ascii="宋体" w:hAnsi="宋体" w:eastAsia="宋体" w:cs="宋体"/>
                <w:color w:val="auto"/>
                <w:highlight w:val="none"/>
                <w:lang w:val="en-US" w:eastAsia="zh-CN"/>
              </w:rPr>
              <w:t xml:space="preserve"> 电话0771-27783</w:t>
            </w:r>
            <w:r>
              <w:rPr>
                <w:rFonts w:hint="eastAsia" w:ascii="宋体" w:hAnsi="宋体" w:cs="宋体"/>
                <w:color w:val="auto"/>
                <w:highlight w:val="none"/>
                <w:lang w:val="en-US" w:eastAsia="zh-CN"/>
              </w:rPr>
              <w:t>26</w:t>
            </w:r>
          </w:p>
        </w:tc>
      </w:tr>
      <w:tr>
        <w:tblPrEx>
          <w:tblCellMar>
            <w:top w:w="0" w:type="dxa"/>
            <w:left w:w="108" w:type="dxa"/>
            <w:bottom w:w="0" w:type="dxa"/>
            <w:right w:w="108" w:type="dxa"/>
          </w:tblCellMar>
        </w:tblPrEx>
        <w:trPr>
          <w:trHeight w:val="24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22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评审方法</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olor w:val="auto"/>
                <w:highlight w:val="none"/>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34.4</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放弃中选人资格</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36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履约担保</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lang w:val="en-US" w:eastAsia="zh-CN"/>
              </w:rPr>
              <w:t>无。</w:t>
            </w:r>
          </w:p>
        </w:tc>
      </w:tr>
      <w:tr>
        <w:tblPrEx>
          <w:tblCellMar>
            <w:top w:w="0" w:type="dxa"/>
            <w:left w:w="108" w:type="dxa"/>
            <w:bottom w:w="0" w:type="dxa"/>
            <w:right w:w="108" w:type="dxa"/>
          </w:tblCellMar>
        </w:tblPrEx>
        <w:trPr>
          <w:trHeight w:val="347"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37.5</w:t>
            </w:r>
          </w:p>
        </w:tc>
        <w:tc>
          <w:tcPr>
            <w:tcW w:w="1716"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需要补充的其他内容</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1.比选申请人在递交比选申请文件时，同时递交比选申请文件电子版。</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2.比选申请文件电子版内容：资格审查文件、价格文件和技术文件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3.比选申请文件电子版份数：</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份。</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比选申请文件电子版形式：每份包括office版本（文本内容为Word格式，工程量清单为word或Excel格式）的全套比选申请文件(资格审查文件、价格文件和技术文件)和盖章后的全套比选申请文件(资格审查文件、价格文件和技术文件)正本的PDF版本扫描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保存介质：U盘。</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5.比选申请文件电子版密封方式：比选申请文件电子版与纸质版比选申请文件一并装入比选申请文件袋中。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1.本项目比选文件的最终解释权归比选人。</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签订本项目合同时，中选人须按比选人要求，与资金支付方签订</w:t>
            </w:r>
            <w:r>
              <w:rPr>
                <w:rFonts w:hint="eastAsia" w:ascii="宋体" w:hAnsi="宋体" w:eastAsia="宋体" w:cs="宋体"/>
                <w:color w:val="auto"/>
                <w:highlight w:val="none"/>
                <w:lang w:val="en-US" w:eastAsia="zh-CN"/>
              </w:rPr>
              <w:t>多</w:t>
            </w:r>
            <w:r>
              <w:rPr>
                <w:rFonts w:hint="eastAsia" w:ascii="宋体" w:hAnsi="宋体" w:eastAsia="宋体" w:cs="宋体"/>
                <w:color w:val="auto"/>
                <w:highlight w:val="none"/>
              </w:rPr>
              <w:t>方支付协议。</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7" w:name="_Toc322528193"/>
      <w:bookmarkEnd w:id="47"/>
      <w:bookmarkStart w:id="48" w:name="_Toc24906"/>
      <w:bookmarkStart w:id="49" w:name="_Toc29598"/>
      <w:bookmarkStart w:id="50" w:name="_Toc229"/>
      <w:bookmarkStart w:id="51" w:name="_Toc4073"/>
      <w:bookmarkStart w:id="52" w:name="_Toc12898"/>
      <w:bookmarkStart w:id="53" w:name="_Toc23332"/>
      <w:bookmarkStart w:id="54" w:name="_Toc6806"/>
      <w:bookmarkStart w:id="55" w:name="_Toc1292"/>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8"/>
      <w:bookmarkEnd w:id="49"/>
      <w:bookmarkEnd w:id="50"/>
      <w:bookmarkEnd w:id="51"/>
      <w:bookmarkEnd w:id="52"/>
      <w:bookmarkEnd w:id="53"/>
      <w:bookmarkEnd w:id="54"/>
      <w:bookmarkEnd w:id="55"/>
    </w:p>
    <w:p>
      <w:pPr>
        <w:pStyle w:val="6"/>
        <w:spacing w:before="0" w:after="0" w:afterAutospacing="0"/>
        <w:ind w:left="0" w:right="0" w:firstLine="422" w:firstLineChars="200"/>
        <w:rPr>
          <w:rFonts w:ascii="宋体" w:hAnsi="宋体"/>
          <w:color w:val="auto"/>
          <w:sz w:val="21"/>
          <w:szCs w:val="21"/>
          <w:highlight w:val="none"/>
        </w:rPr>
      </w:pPr>
      <w:bookmarkStart w:id="56" w:name="_Toc385427793"/>
      <w:bookmarkStart w:id="57" w:name="_Toc30570"/>
      <w:bookmarkStart w:id="58" w:name="_Toc8166"/>
      <w:bookmarkStart w:id="59" w:name="_Toc14066"/>
      <w:bookmarkStart w:id="60" w:name="_Toc12983505"/>
      <w:bookmarkStart w:id="61" w:name="_Toc3364"/>
      <w:bookmarkStart w:id="62" w:name="_Toc7778"/>
      <w:bookmarkStart w:id="63" w:name="_Toc27079"/>
      <w:bookmarkStart w:id="64" w:name="_Toc31563"/>
      <w:bookmarkStart w:id="65" w:name="_Toc492478718"/>
      <w:bookmarkStart w:id="66" w:name="_Toc3804"/>
      <w:bookmarkStart w:id="67" w:name="_Toc5495"/>
      <w:bookmarkStart w:id="68" w:name="_Toc17845"/>
      <w:bookmarkStart w:id="69" w:name="_Toc32592"/>
      <w:bookmarkStart w:id="70" w:name="_Toc463"/>
      <w:bookmarkStart w:id="71" w:name="_Toc383891168"/>
      <w:bookmarkStart w:id="72" w:name="_Toc390098419"/>
      <w:bookmarkStart w:id="73" w:name="_Toc11224"/>
      <w:bookmarkStart w:id="74" w:name="_Toc21139"/>
      <w:bookmarkStart w:id="75" w:name="_Toc375039064"/>
      <w:bookmarkStart w:id="76" w:name="_Toc25750591"/>
      <w:bookmarkStart w:id="77" w:name="_Toc9366"/>
      <w:bookmarkStart w:id="78" w:name="_Toc28326"/>
      <w:bookmarkStart w:id="79" w:name="_Toc6861"/>
      <w:bookmarkStart w:id="80" w:name="_Toc1252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rPr>
        <w:t>服务期：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rPr>
        <w:t>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81" w:name="_Toc6985"/>
      <w:bookmarkStart w:id="82" w:name="_Toc10907"/>
      <w:bookmarkStart w:id="83" w:name="_Toc492478719"/>
      <w:bookmarkStart w:id="84" w:name="_Toc31314"/>
      <w:bookmarkStart w:id="85" w:name="_Toc25750592"/>
      <w:bookmarkStart w:id="86" w:name="_Toc24429"/>
      <w:bookmarkStart w:id="87" w:name="_Toc22987"/>
      <w:bookmarkStart w:id="88" w:name="_Toc375039065"/>
      <w:bookmarkStart w:id="89" w:name="_Toc12983506"/>
      <w:bookmarkStart w:id="90" w:name="_Toc13261"/>
      <w:bookmarkStart w:id="91" w:name="_Toc21874"/>
      <w:bookmarkStart w:id="92" w:name="_Toc390098420"/>
      <w:bookmarkStart w:id="93" w:name="_Toc383891169"/>
      <w:bookmarkStart w:id="94" w:name="_Toc1552"/>
      <w:bookmarkStart w:id="95" w:name="_Toc27845"/>
      <w:bookmarkStart w:id="96" w:name="_Toc16860"/>
      <w:bookmarkStart w:id="97" w:name="_Toc8052"/>
      <w:bookmarkStart w:id="98" w:name="_Toc385427794"/>
      <w:bookmarkStart w:id="99" w:name="_Toc27847"/>
      <w:bookmarkStart w:id="100" w:name="_Toc4780"/>
      <w:bookmarkStart w:id="101" w:name="_Toc6038"/>
      <w:r>
        <w:rPr>
          <w:rFonts w:hint="eastAsia" w:ascii="宋体" w:hAnsi="宋体"/>
          <w:color w:val="auto"/>
          <w:sz w:val="21"/>
          <w:szCs w:val="21"/>
          <w:highlight w:val="none"/>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系指比选文件规定比选申请人须承担的与项目有关的辅助服务，包括但不限于软硬件开发与制造、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6"/>
        <w:spacing w:before="0" w:after="0" w:afterAutospacing="0"/>
        <w:ind w:left="0" w:right="0" w:firstLine="422" w:firstLineChars="200"/>
        <w:rPr>
          <w:rFonts w:ascii="宋体" w:hAnsi="宋体"/>
          <w:color w:val="auto"/>
          <w:sz w:val="21"/>
          <w:szCs w:val="21"/>
          <w:highlight w:val="none"/>
        </w:rPr>
      </w:pPr>
      <w:bookmarkStart w:id="102" w:name="_Toc385427795"/>
      <w:bookmarkStart w:id="103" w:name="_Toc492478720"/>
      <w:bookmarkStart w:id="104" w:name="_Toc383891170"/>
      <w:bookmarkStart w:id="105" w:name="_Toc390098421"/>
      <w:bookmarkStart w:id="106" w:name="_Toc375039066"/>
      <w:bookmarkStart w:id="107" w:name="_Toc29859"/>
      <w:bookmarkStart w:id="108" w:name="_Toc9929"/>
      <w:bookmarkStart w:id="109" w:name="_Toc17568"/>
      <w:bookmarkStart w:id="110" w:name="_Toc25750593"/>
      <w:bookmarkStart w:id="111" w:name="_Toc7797"/>
      <w:bookmarkStart w:id="112" w:name="_Toc8288"/>
      <w:bookmarkStart w:id="113" w:name="_Toc12940"/>
      <w:bookmarkStart w:id="114" w:name="_Toc7306"/>
      <w:bookmarkStart w:id="115" w:name="_Toc22115"/>
      <w:bookmarkStart w:id="116" w:name="_Toc12983507"/>
      <w:bookmarkStart w:id="117" w:name="_Toc17075"/>
      <w:bookmarkStart w:id="118" w:name="_Toc31477"/>
      <w:bookmarkStart w:id="119" w:name="_Toc22845"/>
      <w:bookmarkStart w:id="120" w:name="_Toc25786"/>
      <w:bookmarkStart w:id="121" w:name="_Toc30498"/>
      <w:bookmarkStart w:id="122" w:name="_Toc29401"/>
      <w:bookmarkStart w:id="123" w:name="_Toc10653"/>
      <w:bookmarkStart w:id="124" w:name="_Toc23433"/>
      <w:bookmarkStart w:id="125" w:name="_Toc307"/>
      <w:bookmarkStart w:id="126" w:name="_Toc24844"/>
      <w:r>
        <w:rPr>
          <w:rFonts w:ascii="宋体" w:hAnsi="宋体"/>
          <w:color w:val="auto"/>
          <w:sz w:val="21"/>
          <w:szCs w:val="21"/>
          <w:highlight w:val="none"/>
        </w:rPr>
        <w:t>3. 比选申请人</w:t>
      </w:r>
      <w:bookmarkEnd w:id="102"/>
      <w:bookmarkEnd w:id="103"/>
      <w:bookmarkEnd w:id="104"/>
      <w:bookmarkEnd w:id="105"/>
      <w:bookmarkEnd w:id="106"/>
      <w:r>
        <w:rPr>
          <w:rFonts w:hint="eastAsia" w:ascii="宋体" w:hAnsi="宋体"/>
          <w:color w:val="auto"/>
          <w:sz w:val="21"/>
          <w:szCs w:val="21"/>
          <w:highlight w:val="none"/>
        </w:rPr>
        <w:t>应具备的资格条件</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keepNext w:val="0"/>
        <w:keepLines w:val="0"/>
        <w:widowControl/>
        <w:suppressLineNumbers w:val="0"/>
        <w:spacing w:before="0" w:beforeAutospacing="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（2）处于被责令停业，或比选申请资格被住建部、</w:t>
      </w:r>
      <w:r>
        <w:rPr>
          <w:rFonts w:hint="eastAsia" w:ascii="宋体" w:hAnsi="宋体"/>
          <w:color w:val="auto"/>
          <w:sz w:val="21"/>
          <w:szCs w:val="21"/>
          <w:highlight w:val="none"/>
          <w:lang w:val="en-US" w:eastAsia="zh-CN"/>
        </w:rPr>
        <w:t>应急管理部</w:t>
      </w:r>
      <w:r>
        <w:rPr>
          <w:rFonts w:hint="eastAsia" w:ascii="宋体" w:hAnsi="宋体"/>
          <w:color w:val="auto"/>
          <w:highlight w:val="none"/>
        </w:rPr>
        <w:t>、广西区或南宁市建设行政主管部门取消，或财产被接管、破产状态；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r>
        <w:rPr>
          <w:rFonts w:hint="default" w:ascii="宋体" w:hAnsi="宋体"/>
          <w:color w:val="auto"/>
          <w:highlight w:val="none"/>
        </w:rPr>
        <w:t>，</w:t>
      </w:r>
      <w:r>
        <w:rPr>
          <w:rFonts w:hint="eastAsia" w:ascii="宋体" w:hAnsi="宋体" w:eastAsia="宋体" w:cs="宋体"/>
          <w:color w:val="auto"/>
          <w:highlight w:val="none"/>
          <w:lang w:val="en-US" w:eastAsia="zh-CN"/>
        </w:rPr>
        <w:t>近3年内受到交通行业主管部门违规评价处理通报</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6"/>
        <w:spacing w:before="0" w:after="0" w:afterAutospacing="0"/>
        <w:ind w:left="0" w:right="0" w:firstLine="422" w:firstLineChars="200"/>
        <w:rPr>
          <w:rFonts w:ascii="宋体" w:hAnsi="宋体"/>
          <w:color w:val="auto"/>
          <w:sz w:val="21"/>
          <w:szCs w:val="21"/>
          <w:highlight w:val="none"/>
        </w:rPr>
      </w:pPr>
      <w:bookmarkStart w:id="127" w:name="_Toc25914"/>
      <w:bookmarkStart w:id="128" w:name="_Toc30752"/>
      <w:bookmarkStart w:id="129" w:name="_Toc21602"/>
      <w:bookmarkStart w:id="130" w:name="_Toc19055"/>
      <w:bookmarkStart w:id="131" w:name="_Toc25750594"/>
      <w:bookmarkStart w:id="132" w:name="_Toc385427796"/>
      <w:bookmarkStart w:id="133" w:name="_Toc7832"/>
      <w:bookmarkStart w:id="134" w:name="_Toc375039067"/>
      <w:bookmarkStart w:id="135" w:name="_Toc1125"/>
      <w:bookmarkStart w:id="136" w:name="_Toc3292"/>
      <w:bookmarkStart w:id="137" w:name="_Toc4438"/>
      <w:bookmarkStart w:id="138" w:name="_Toc31789"/>
      <w:bookmarkStart w:id="139" w:name="_Toc7103"/>
      <w:bookmarkStart w:id="140" w:name="_Toc1737"/>
      <w:bookmarkStart w:id="141" w:name="_Toc616"/>
      <w:bookmarkStart w:id="142" w:name="_Toc21215"/>
      <w:bookmarkStart w:id="143" w:name="_Toc24103"/>
      <w:bookmarkStart w:id="144" w:name="_Toc19081"/>
      <w:bookmarkStart w:id="145" w:name="_Toc492478721"/>
      <w:bookmarkStart w:id="146" w:name="_Toc12983508"/>
      <w:bookmarkStart w:id="147" w:name="_Toc19709"/>
      <w:bookmarkStart w:id="148" w:name="_Toc383891171"/>
      <w:bookmarkStart w:id="149" w:name="_Toc18668"/>
      <w:bookmarkStart w:id="150" w:name="_Toc390098422"/>
      <w:bookmarkStart w:id="151" w:name="_Toc23146"/>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1"/>
          <w:szCs w:val="21"/>
          <w:highlight w:val="none"/>
        </w:rPr>
      </w:pPr>
      <w:bookmarkStart w:id="152" w:name="_Toc16530"/>
      <w:bookmarkStart w:id="153" w:name="_Toc28220"/>
      <w:bookmarkStart w:id="154" w:name="_Toc29160"/>
      <w:bookmarkStart w:id="155" w:name="_Toc21130"/>
      <w:bookmarkStart w:id="156" w:name="_Toc26910"/>
      <w:bookmarkStart w:id="157" w:name="_Toc16608"/>
      <w:bookmarkStart w:id="158" w:name="_Toc492478722"/>
      <w:bookmarkStart w:id="159" w:name="_Toc375039068"/>
      <w:bookmarkStart w:id="160" w:name="_Toc22200"/>
      <w:bookmarkStart w:id="161" w:name="_Toc5160"/>
      <w:bookmarkStart w:id="162" w:name="_Toc383891172"/>
      <w:bookmarkStart w:id="163" w:name="_Toc16131"/>
      <w:bookmarkStart w:id="164" w:name="_Toc18528"/>
      <w:bookmarkStart w:id="165" w:name="_Toc390098423"/>
      <w:bookmarkStart w:id="166" w:name="_Toc7339"/>
      <w:bookmarkStart w:id="167" w:name="_Toc6528"/>
      <w:bookmarkStart w:id="168" w:name="_Toc14645"/>
      <w:bookmarkStart w:id="169" w:name="_Toc385427797"/>
      <w:bookmarkStart w:id="170" w:name="_Toc12983509"/>
      <w:bookmarkStart w:id="171" w:name="_Toc9677"/>
      <w:bookmarkStart w:id="172" w:name="_Toc2986"/>
      <w:bookmarkStart w:id="173" w:name="_Toc8562"/>
      <w:bookmarkStart w:id="174" w:name="_Toc20452"/>
      <w:bookmarkStart w:id="175" w:name="_Toc1609"/>
      <w:bookmarkStart w:id="176" w:name="_Toc2609"/>
      <w:bookmarkStart w:id="177" w:name="_Toc15763"/>
      <w:bookmarkStart w:id="178" w:name="_Toc19617"/>
      <w:bookmarkStart w:id="179" w:name="_Toc21845"/>
      <w:bookmarkStart w:id="180" w:name="_Toc5487"/>
      <w:bookmarkStart w:id="181" w:name="_Toc27229"/>
      <w:bookmarkStart w:id="182" w:name="_Toc3854"/>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6"/>
        <w:spacing w:before="0" w:after="0" w:afterAutospacing="0"/>
        <w:ind w:left="0" w:right="0" w:firstLine="422" w:firstLineChars="200"/>
        <w:rPr>
          <w:rFonts w:ascii="宋体" w:hAnsi="宋体"/>
          <w:color w:val="auto"/>
          <w:sz w:val="21"/>
          <w:szCs w:val="21"/>
          <w:highlight w:val="none"/>
        </w:rPr>
      </w:pPr>
      <w:bookmarkStart w:id="183" w:name="_Toc29472"/>
      <w:bookmarkStart w:id="184" w:name="_Toc5877"/>
      <w:bookmarkStart w:id="185" w:name="_Toc6764"/>
      <w:bookmarkStart w:id="186" w:name="_Toc385427798"/>
      <w:bookmarkStart w:id="187" w:name="_Toc383891173"/>
      <w:bookmarkStart w:id="188" w:name="_Toc27870"/>
      <w:bookmarkStart w:id="189" w:name="_Toc18436"/>
      <w:bookmarkStart w:id="190" w:name="_Toc839"/>
      <w:bookmarkStart w:id="191" w:name="_Toc25750596"/>
      <w:bookmarkStart w:id="192" w:name="_Toc19561"/>
      <w:bookmarkStart w:id="193" w:name="_Toc13114"/>
      <w:bookmarkStart w:id="194" w:name="_Toc12983510"/>
      <w:bookmarkStart w:id="195" w:name="_Toc26333"/>
      <w:bookmarkStart w:id="196" w:name="_Toc6637"/>
      <w:bookmarkStart w:id="197" w:name="_Toc9756"/>
      <w:bookmarkStart w:id="198" w:name="_Toc390098424"/>
      <w:bookmarkStart w:id="199" w:name="_Toc30401"/>
      <w:bookmarkStart w:id="200" w:name="_Toc25378"/>
      <w:bookmarkStart w:id="201" w:name="_Toc21811"/>
      <w:bookmarkStart w:id="202" w:name="_Toc32710"/>
      <w:bookmarkStart w:id="203" w:name="_Toc375039069"/>
      <w:bookmarkStart w:id="204" w:name="_Toc10213"/>
      <w:bookmarkStart w:id="205" w:name="_Toc492478723"/>
      <w:bookmarkStart w:id="206" w:name="_Toc4157"/>
      <w:bookmarkStart w:id="207" w:name="_Toc29225"/>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2"/>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2"/>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2"/>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2"/>
        </w:numPr>
        <w:spacing w:before="0" w:after="0" w:afterAutospacing="0"/>
        <w:ind w:right="0" w:firstLine="198"/>
        <w:rPr>
          <w:rFonts w:ascii="宋体" w:hAnsi="宋体"/>
          <w:color w:val="auto"/>
          <w:highlight w:val="none"/>
        </w:rPr>
      </w:pPr>
      <w:r>
        <w:rPr>
          <w:rFonts w:hint="eastAsia" w:ascii="宋体" w:hAnsi="宋体"/>
          <w:color w:val="auto"/>
          <w:highlight w:val="none"/>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208" w:name="_Toc18631"/>
      <w:bookmarkStart w:id="209" w:name="_Toc11715"/>
      <w:bookmarkStart w:id="210" w:name="_Toc10162"/>
      <w:bookmarkStart w:id="211" w:name="_Toc375039070"/>
      <w:bookmarkStart w:id="212" w:name="_Toc21365"/>
      <w:bookmarkStart w:id="213" w:name="_Toc25750597"/>
      <w:bookmarkStart w:id="214" w:name="_Toc385427799"/>
      <w:bookmarkStart w:id="215" w:name="_Toc17279"/>
      <w:bookmarkStart w:id="216" w:name="_Toc20903"/>
      <w:bookmarkStart w:id="217" w:name="_Toc31386"/>
      <w:bookmarkStart w:id="218" w:name="_Toc28270"/>
      <w:bookmarkStart w:id="219" w:name="_Toc26811"/>
      <w:bookmarkStart w:id="220" w:name="_Toc383891174"/>
      <w:bookmarkStart w:id="221" w:name="_Toc12983511"/>
      <w:bookmarkStart w:id="222" w:name="_Toc31848"/>
      <w:bookmarkStart w:id="223" w:name="_Toc29001"/>
      <w:bookmarkStart w:id="224" w:name="_Toc2664"/>
      <w:bookmarkStart w:id="225" w:name="_Toc390098425"/>
      <w:bookmarkStart w:id="226" w:name="_Toc26909"/>
      <w:bookmarkStart w:id="227" w:name="_Toc15154"/>
      <w:bookmarkStart w:id="228" w:name="_Toc2789"/>
      <w:bookmarkStart w:id="229" w:name="_Toc2489"/>
      <w:bookmarkStart w:id="230" w:name="_Toc11896"/>
      <w:bookmarkStart w:id="231" w:name="_Toc14426"/>
      <w:bookmarkStart w:id="232" w:name="_Toc492478724"/>
      <w:r>
        <w:rPr>
          <w:rFonts w:hint="eastAsia" w:ascii="宋体" w:hAnsi="宋体"/>
          <w:color w:val="auto"/>
          <w:sz w:val="21"/>
          <w:szCs w:val="21"/>
          <w:highlight w:val="none"/>
        </w:rPr>
        <w:t>6. 比选文件的澄清</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233" w:name="_Toc375039071"/>
      <w:bookmarkStart w:id="234" w:name="_Toc26952"/>
      <w:bookmarkStart w:id="235" w:name="_Toc383891175"/>
      <w:bookmarkStart w:id="236" w:name="_Toc2976"/>
      <w:bookmarkStart w:id="237" w:name="_Toc25750598"/>
      <w:bookmarkStart w:id="238" w:name="_Toc22529"/>
      <w:bookmarkStart w:id="239" w:name="_Toc24191"/>
      <w:bookmarkStart w:id="240" w:name="_Toc385427800"/>
      <w:bookmarkStart w:id="241" w:name="_Toc29795"/>
      <w:bookmarkStart w:id="242" w:name="_Toc14181"/>
      <w:bookmarkStart w:id="243" w:name="_Toc24128"/>
      <w:bookmarkStart w:id="244" w:name="_Toc15498"/>
      <w:bookmarkStart w:id="245" w:name="_Toc15137"/>
      <w:bookmarkStart w:id="246" w:name="_Toc390098426"/>
      <w:bookmarkStart w:id="247" w:name="_Toc492478725"/>
      <w:bookmarkStart w:id="248" w:name="_Toc23923"/>
      <w:bookmarkStart w:id="249" w:name="_Toc24583"/>
      <w:bookmarkStart w:id="250" w:name="_Toc27124"/>
      <w:bookmarkStart w:id="251" w:name="_Toc7063"/>
      <w:bookmarkStart w:id="252" w:name="_Toc2072"/>
      <w:bookmarkStart w:id="253" w:name="_Toc5364"/>
      <w:bookmarkStart w:id="254" w:name="_Toc19345"/>
      <w:bookmarkStart w:id="255" w:name="_Toc30378"/>
      <w:bookmarkStart w:id="256" w:name="_Toc15674"/>
      <w:bookmarkStart w:id="257" w:name="_Toc12983512"/>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58" w:name="_Toc13502"/>
      <w:bookmarkStart w:id="259" w:name="_Toc4718"/>
      <w:bookmarkStart w:id="260" w:name="_Toc2902"/>
      <w:bookmarkStart w:id="261" w:name="_Toc21660"/>
      <w:bookmarkStart w:id="262" w:name="_Toc385427801"/>
      <w:bookmarkStart w:id="263" w:name="_Toc30363"/>
      <w:bookmarkStart w:id="264" w:name="_Toc18679"/>
      <w:bookmarkStart w:id="265" w:name="_Toc7604"/>
      <w:bookmarkStart w:id="266" w:name="_Toc17335"/>
      <w:bookmarkStart w:id="267" w:name="_Toc14054"/>
      <w:bookmarkStart w:id="268" w:name="_Toc17692"/>
      <w:bookmarkStart w:id="269" w:name="_Toc383891176"/>
      <w:bookmarkStart w:id="270" w:name="_Toc14185"/>
      <w:bookmarkStart w:id="271" w:name="_Toc24759"/>
      <w:bookmarkStart w:id="272" w:name="_Toc390098427"/>
      <w:bookmarkStart w:id="273" w:name="_Toc5805"/>
      <w:bookmarkStart w:id="274" w:name="_Toc25361"/>
      <w:bookmarkStart w:id="275" w:name="_Toc24557"/>
      <w:bookmarkStart w:id="276" w:name="_Toc560"/>
      <w:bookmarkStart w:id="277" w:name="_Toc21622"/>
      <w:bookmarkStart w:id="278" w:name="_Toc10349"/>
      <w:bookmarkStart w:id="279" w:name="_Toc27913"/>
      <w:bookmarkStart w:id="280" w:name="_Toc492478726"/>
      <w:bookmarkStart w:id="281" w:name="_Toc20512"/>
      <w:bookmarkStart w:id="282" w:name="_Toc8831"/>
      <w:bookmarkStart w:id="283" w:name="_Toc95"/>
      <w:bookmarkStart w:id="284" w:name="_Toc10869"/>
      <w:bookmarkStart w:id="285" w:name="_Toc28044"/>
      <w:bookmarkStart w:id="286" w:name="_Toc375039072"/>
      <w:bookmarkStart w:id="287" w:name="_Toc12983513"/>
      <w:bookmarkStart w:id="288" w:name="_Toc16406"/>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6"/>
        <w:spacing w:before="0" w:after="0" w:afterAutospacing="0"/>
        <w:ind w:left="0" w:right="0" w:firstLine="422" w:firstLineChars="200"/>
        <w:rPr>
          <w:rFonts w:ascii="宋体" w:hAnsi="宋体"/>
          <w:color w:val="auto"/>
          <w:sz w:val="21"/>
          <w:szCs w:val="21"/>
          <w:highlight w:val="none"/>
        </w:rPr>
      </w:pPr>
      <w:bookmarkStart w:id="289" w:name="_Toc25750600"/>
      <w:bookmarkStart w:id="290" w:name="_Toc492478727"/>
      <w:bookmarkStart w:id="291" w:name="_Toc16186"/>
      <w:bookmarkStart w:id="292" w:name="_Toc18350"/>
      <w:bookmarkStart w:id="293" w:name="_Toc390098428"/>
      <w:bookmarkStart w:id="294" w:name="_Toc26680"/>
      <w:bookmarkStart w:id="295" w:name="_Toc12456"/>
      <w:bookmarkStart w:id="296" w:name="_Toc20025"/>
      <w:bookmarkStart w:id="297" w:name="_Toc9592"/>
      <w:bookmarkStart w:id="298" w:name="_Toc21673"/>
      <w:bookmarkStart w:id="299" w:name="_Toc29862"/>
      <w:bookmarkStart w:id="300" w:name="_Toc4384"/>
      <w:bookmarkStart w:id="301" w:name="_Toc2819"/>
      <w:bookmarkStart w:id="302" w:name="_Toc12074"/>
      <w:bookmarkStart w:id="303" w:name="_Toc385427802"/>
      <w:bookmarkStart w:id="304" w:name="_Toc13418"/>
      <w:bookmarkStart w:id="305" w:name="_Toc1733"/>
      <w:bookmarkStart w:id="306" w:name="_Toc375039073"/>
      <w:bookmarkStart w:id="307" w:name="_Toc16229"/>
      <w:bookmarkStart w:id="308" w:name="_Toc23794"/>
      <w:bookmarkStart w:id="309" w:name="_Toc12983514"/>
      <w:bookmarkStart w:id="310" w:name="_Toc26150"/>
      <w:bookmarkStart w:id="311" w:name="_Toc11259"/>
      <w:bookmarkStart w:id="312" w:name="_Toc383891177"/>
      <w:bookmarkStart w:id="313" w:name="_Toc16435"/>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314" w:name="_Toc24935"/>
      <w:bookmarkStart w:id="315" w:name="_Toc19885"/>
      <w:bookmarkStart w:id="316" w:name="_Toc16237"/>
      <w:bookmarkStart w:id="317" w:name="_Toc385427803"/>
      <w:bookmarkStart w:id="318" w:name="_Toc28065"/>
      <w:bookmarkStart w:id="319" w:name="_Toc25750601"/>
      <w:bookmarkStart w:id="320" w:name="_Toc3492"/>
      <w:bookmarkStart w:id="321" w:name="_Toc11040"/>
      <w:bookmarkStart w:id="322" w:name="_Toc24857"/>
      <w:bookmarkStart w:id="323" w:name="_Toc492478728"/>
      <w:bookmarkStart w:id="324" w:name="_Toc10274"/>
      <w:bookmarkStart w:id="325" w:name="_Toc26753"/>
      <w:bookmarkStart w:id="326" w:name="_Toc383891178"/>
      <w:bookmarkStart w:id="327" w:name="_Toc390098429"/>
      <w:bookmarkStart w:id="328" w:name="_Toc1047"/>
      <w:bookmarkStart w:id="329" w:name="_Toc6261"/>
      <w:bookmarkStart w:id="330" w:name="_Toc12207"/>
      <w:bookmarkStart w:id="331" w:name="_Toc15570"/>
      <w:bookmarkStart w:id="332" w:name="_Toc12983515"/>
      <w:bookmarkStart w:id="333" w:name="_Toc22026"/>
      <w:bookmarkStart w:id="334" w:name="_Toc9887"/>
      <w:bookmarkStart w:id="335" w:name="_Toc11161"/>
      <w:bookmarkStart w:id="336" w:name="_Toc28296"/>
      <w:bookmarkStart w:id="337" w:name="_Toc25770"/>
      <w:bookmarkStart w:id="338" w:name="_Toc375039074"/>
      <w:r>
        <w:rPr>
          <w:rFonts w:ascii="宋体" w:hAnsi="宋体"/>
          <w:color w:val="auto"/>
          <w:sz w:val="21"/>
          <w:szCs w:val="21"/>
          <w:highlight w:val="none"/>
        </w:rPr>
        <w:t>比选申请语言及计量单位</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339" w:name="_Toc385427804"/>
      <w:bookmarkStart w:id="340" w:name="_Toc390098430"/>
      <w:bookmarkStart w:id="341" w:name="_Toc25750602"/>
      <w:bookmarkStart w:id="342" w:name="_Toc30991"/>
      <w:bookmarkStart w:id="343" w:name="_Toc12983516"/>
      <w:bookmarkStart w:id="344" w:name="_Toc25855"/>
      <w:bookmarkStart w:id="345" w:name="_Toc22476"/>
      <w:bookmarkStart w:id="346" w:name="_Toc375039075"/>
      <w:bookmarkStart w:id="347" w:name="_Toc14323"/>
      <w:bookmarkStart w:id="348" w:name="_Toc383891179"/>
      <w:bookmarkStart w:id="349" w:name="_Toc30356"/>
      <w:bookmarkStart w:id="350" w:name="_Toc15809"/>
      <w:bookmarkStart w:id="351" w:name="_Toc492478729"/>
      <w:bookmarkStart w:id="352" w:name="_Toc29881"/>
      <w:bookmarkStart w:id="353" w:name="_Toc3464"/>
      <w:bookmarkStart w:id="354" w:name="_Toc23364"/>
      <w:bookmarkStart w:id="355" w:name="_Toc28164"/>
      <w:bookmarkStart w:id="356" w:name="_Toc24760"/>
      <w:bookmarkStart w:id="357" w:name="_Toc18149"/>
      <w:bookmarkStart w:id="358" w:name="_Toc3877"/>
      <w:bookmarkStart w:id="359" w:name="_Toc23229"/>
      <w:bookmarkStart w:id="360" w:name="_Toc16307"/>
      <w:bookmarkStart w:id="361" w:name="_Toc19681"/>
      <w:bookmarkStart w:id="362" w:name="_Toc53"/>
      <w:bookmarkStart w:id="363" w:name="_Toc3411"/>
      <w:r>
        <w:rPr>
          <w:rFonts w:ascii="宋体" w:hAnsi="宋体"/>
          <w:color w:val="auto"/>
          <w:sz w:val="21"/>
          <w:szCs w:val="21"/>
          <w:highlight w:val="none"/>
        </w:rPr>
        <w:t>比选申请文件组成</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8364"/>
        </w:tabs>
        <w:spacing w:before="0" w:after="0" w:afterAutospacing="0"/>
        <w:ind w:left="0" w:right="0" w:firstLine="422" w:firstLineChars="200"/>
        <w:rPr>
          <w:rFonts w:hint="eastAsia" w:ascii="宋体" w:hAnsi="宋体" w:eastAsia="宋体" w:cs="Times New Roman"/>
          <w:b/>
          <w:color w:val="auto"/>
          <w:highlight w:val="none"/>
        </w:rPr>
      </w:pPr>
      <w:r>
        <w:rPr>
          <w:rFonts w:hint="eastAsia" w:ascii="宋体" w:hAnsi="宋体" w:eastAsia="宋体" w:cs="Times New Roman"/>
          <w:b/>
          <w:color w:val="auto"/>
          <w:highlight w:val="none"/>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color w:val="auto"/>
          <w:sz w:val="21"/>
          <w:szCs w:val="21"/>
          <w:highlight w:val="none"/>
        </w:rPr>
      </w:pPr>
      <w:bookmarkStart w:id="364" w:name="_Toc383891180"/>
      <w:bookmarkStart w:id="365" w:name="_Toc14630"/>
      <w:bookmarkStart w:id="366" w:name="_Toc3670"/>
      <w:bookmarkStart w:id="367" w:name="_Toc20248"/>
      <w:bookmarkStart w:id="368" w:name="_Toc27194"/>
      <w:bookmarkStart w:id="369" w:name="_Toc8151"/>
      <w:bookmarkStart w:id="370" w:name="_Toc675"/>
      <w:bookmarkStart w:id="371" w:name="_Toc7608"/>
      <w:bookmarkStart w:id="372" w:name="_Toc375039076"/>
      <w:bookmarkStart w:id="373" w:name="_Toc15448"/>
      <w:bookmarkStart w:id="374" w:name="_Toc15919"/>
      <w:bookmarkStart w:id="375" w:name="_Toc390098431"/>
      <w:bookmarkStart w:id="376" w:name="_Toc14308"/>
      <w:bookmarkStart w:id="377" w:name="_Toc20490"/>
      <w:bookmarkStart w:id="378" w:name="_Toc11804"/>
      <w:bookmarkStart w:id="379" w:name="_Toc23002"/>
      <w:bookmarkStart w:id="380" w:name="_Toc25750603"/>
      <w:bookmarkStart w:id="381" w:name="_Toc385427805"/>
      <w:bookmarkStart w:id="382" w:name="_Toc2395"/>
      <w:bookmarkStart w:id="383" w:name="_Toc27019"/>
      <w:bookmarkStart w:id="384" w:name="_Toc16783"/>
      <w:bookmarkStart w:id="385" w:name="_Toc12983517"/>
      <w:bookmarkStart w:id="386" w:name="_Toc492478730"/>
      <w:bookmarkStart w:id="387" w:name="_Toc11211"/>
      <w:bookmarkStart w:id="388" w:name="_Toc21144"/>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389" w:name="_Toc14123"/>
      <w:bookmarkStart w:id="390" w:name="_Toc375039077"/>
      <w:bookmarkStart w:id="391" w:name="_Toc25820"/>
      <w:bookmarkStart w:id="392" w:name="_Toc7857"/>
      <w:bookmarkStart w:id="393" w:name="_Toc6671"/>
      <w:bookmarkStart w:id="394" w:name="_Toc17338"/>
      <w:bookmarkStart w:id="395" w:name="_Toc26482"/>
      <w:bookmarkStart w:id="396" w:name="_Toc17379"/>
      <w:bookmarkStart w:id="397" w:name="_Toc385427806"/>
      <w:bookmarkStart w:id="398" w:name="_Toc21084"/>
      <w:bookmarkStart w:id="399" w:name="_Toc12983518"/>
      <w:bookmarkStart w:id="400" w:name="_Toc383891181"/>
      <w:bookmarkStart w:id="401" w:name="_Toc26974"/>
      <w:bookmarkStart w:id="402" w:name="_Toc24264"/>
      <w:bookmarkStart w:id="403" w:name="_Toc9416"/>
      <w:bookmarkStart w:id="404" w:name="_Toc3799"/>
      <w:bookmarkStart w:id="405" w:name="_Toc20685"/>
      <w:bookmarkStart w:id="406" w:name="_Toc3813"/>
      <w:bookmarkStart w:id="407" w:name="_Toc16653"/>
      <w:bookmarkStart w:id="408" w:name="_Toc31743"/>
      <w:bookmarkStart w:id="409" w:name="_Toc25750604"/>
      <w:bookmarkStart w:id="410" w:name="_Toc492478731"/>
      <w:bookmarkStart w:id="411" w:name="_Toc390098432"/>
      <w:bookmarkStart w:id="412" w:name="_Toc22295"/>
      <w:bookmarkStart w:id="413" w:name="_Toc17526"/>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含税报价为合同暂定价，</w:t>
      </w:r>
      <w:r>
        <w:rPr>
          <w:rFonts w:hint="eastAsia" w:ascii="宋体" w:hAnsi="宋体"/>
          <w:color w:val="auto"/>
          <w:highlight w:val="none"/>
        </w:rPr>
        <w:t>本项目合同最终税金在结算阶段，按实际产生的税金进行核算。比选申请人须按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比选申请报价应包括完成所有项目内容及履行合同标的全过程产生的所有成本、利润、税金</w:t>
      </w:r>
      <w:r>
        <w:rPr>
          <w:rFonts w:hint="eastAsia" w:ascii="宋体" w:hAnsi="宋体"/>
          <w:color w:val="auto"/>
          <w:highlight w:val="none"/>
          <w:lang w:eastAsia="zh-CN"/>
        </w:rPr>
        <w:t>、</w:t>
      </w:r>
      <w:r>
        <w:rPr>
          <w:rFonts w:hint="eastAsia" w:ascii="宋体" w:hAnsi="宋体"/>
          <w:color w:val="auto"/>
          <w:highlight w:val="none"/>
          <w:lang w:val="en-US" w:eastAsia="zh-CN"/>
        </w:rPr>
        <w:t>差旅费</w:t>
      </w:r>
      <w:r>
        <w:rPr>
          <w:rFonts w:hint="eastAsia" w:ascii="宋体" w:hAnsi="宋体"/>
          <w:color w:val="auto"/>
          <w:highlight w:val="none"/>
        </w:rPr>
        <w:t>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w:t>
      </w:r>
      <w:r>
        <w:rPr>
          <w:rFonts w:hint="eastAsia" w:ascii="宋体" w:hAnsi="宋体"/>
          <w:color w:val="auto"/>
          <w:highlight w:val="none"/>
          <w:lang w:val="en-US" w:eastAsia="zh-CN"/>
        </w:rPr>
        <w:t>开展评价和组织培训等</w:t>
      </w:r>
      <w:r>
        <w:rPr>
          <w:rFonts w:hint="eastAsia" w:ascii="宋体" w:hAnsi="宋体"/>
          <w:color w:val="auto"/>
          <w:highlight w:val="none"/>
        </w:rPr>
        <w:t>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5</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6</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7</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12.9 比选申请人不得在价格文件之外的比选申请文件中出现任何有关本项目的报价信息。</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414" w:name="_Toc28476"/>
      <w:bookmarkStart w:id="415" w:name="_Toc12762"/>
      <w:bookmarkStart w:id="416" w:name="_Toc10220"/>
      <w:bookmarkStart w:id="417" w:name="_Toc18875"/>
      <w:bookmarkStart w:id="418" w:name="_Toc25750605"/>
      <w:bookmarkStart w:id="419" w:name="_Toc492478732"/>
      <w:bookmarkStart w:id="420" w:name="_Toc15940"/>
      <w:bookmarkStart w:id="421" w:name="_Toc21706"/>
      <w:bookmarkStart w:id="422" w:name="_Toc26064"/>
      <w:bookmarkStart w:id="423" w:name="_Toc25459"/>
      <w:bookmarkStart w:id="424" w:name="_Toc1664"/>
      <w:bookmarkStart w:id="425" w:name="_Toc385427807"/>
      <w:bookmarkStart w:id="426" w:name="_Toc21430"/>
      <w:bookmarkStart w:id="427" w:name="_Toc21448"/>
      <w:bookmarkStart w:id="428" w:name="_Toc390098433"/>
      <w:bookmarkStart w:id="429" w:name="_Toc383891182"/>
      <w:bookmarkStart w:id="430" w:name="_Toc5828"/>
      <w:bookmarkStart w:id="431" w:name="_Toc20156"/>
      <w:bookmarkStart w:id="432" w:name="_Toc12983519"/>
      <w:bookmarkStart w:id="433" w:name="_Toc375039078"/>
      <w:bookmarkStart w:id="434" w:name="_Toc5836"/>
      <w:bookmarkStart w:id="435" w:name="_Toc2710"/>
      <w:bookmarkStart w:id="436" w:name="_Toc28880"/>
      <w:bookmarkStart w:id="437" w:name="_Toc12947"/>
      <w:bookmarkStart w:id="438" w:name="_Toc7428"/>
      <w:r>
        <w:rPr>
          <w:rFonts w:ascii="宋体" w:hAnsi="宋体"/>
          <w:color w:val="auto"/>
          <w:sz w:val="21"/>
          <w:szCs w:val="21"/>
          <w:highlight w:val="none"/>
        </w:rPr>
        <w:t>比选申请货币</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439" w:name="_Toc1530"/>
      <w:bookmarkStart w:id="440" w:name="_Toc375039081"/>
      <w:bookmarkStart w:id="441" w:name="_Toc1624"/>
      <w:bookmarkStart w:id="442" w:name="_Toc9237"/>
      <w:bookmarkStart w:id="443" w:name="_Toc14309"/>
      <w:bookmarkStart w:id="444" w:name="_Toc12049"/>
      <w:bookmarkStart w:id="445" w:name="_Toc5974"/>
      <w:bookmarkStart w:id="446" w:name="_Toc14922"/>
      <w:bookmarkStart w:id="447" w:name="_Toc7417"/>
      <w:bookmarkStart w:id="448" w:name="_Toc30040"/>
      <w:bookmarkStart w:id="449" w:name="_Toc16314"/>
      <w:bookmarkStart w:id="450" w:name="_Toc385427810"/>
      <w:bookmarkStart w:id="451" w:name="_Toc6471"/>
      <w:bookmarkStart w:id="452" w:name="_Toc22051"/>
      <w:bookmarkStart w:id="453" w:name="_Toc24199"/>
      <w:bookmarkStart w:id="454" w:name="_Toc12983520"/>
      <w:bookmarkStart w:id="455" w:name="_Toc11690"/>
      <w:bookmarkStart w:id="456" w:name="_Toc390098436"/>
      <w:bookmarkStart w:id="457" w:name="_Toc27508"/>
      <w:bookmarkStart w:id="458" w:name="_Toc25750606"/>
      <w:bookmarkStart w:id="459" w:name="_Toc383891185"/>
      <w:bookmarkStart w:id="460" w:name="_Toc30848"/>
      <w:bookmarkStart w:id="461" w:name="_Toc492478735"/>
      <w:bookmarkStart w:id="462" w:name="_Toc28665"/>
      <w:bookmarkStart w:id="463" w:name="_Toc30606"/>
      <w:r>
        <w:rPr>
          <w:rFonts w:ascii="宋体" w:hAnsi="宋体"/>
          <w:color w:val="auto"/>
          <w:sz w:val="21"/>
          <w:szCs w:val="21"/>
          <w:highlight w:val="none"/>
        </w:rPr>
        <w:t>比选保证金</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464" w:name="_Toc390098437"/>
      <w:bookmarkStart w:id="465" w:name="_Toc375039082"/>
      <w:bookmarkStart w:id="466" w:name="_Toc2268"/>
      <w:bookmarkStart w:id="467" w:name="_Toc28555"/>
      <w:bookmarkStart w:id="468" w:name="_Toc492478736"/>
      <w:bookmarkStart w:id="469" w:name="_Toc28997"/>
      <w:bookmarkStart w:id="470" w:name="_Toc5690"/>
      <w:bookmarkStart w:id="471" w:name="_Toc1604"/>
      <w:bookmarkStart w:id="472" w:name="_Toc385427811"/>
      <w:bookmarkStart w:id="473" w:name="_Toc23114"/>
      <w:bookmarkStart w:id="474" w:name="_Toc4433"/>
      <w:bookmarkStart w:id="475" w:name="_Toc9117"/>
      <w:bookmarkStart w:id="476" w:name="_Toc7808"/>
      <w:bookmarkStart w:id="477" w:name="_Toc20493"/>
      <w:bookmarkStart w:id="478" w:name="_Toc30499"/>
      <w:bookmarkStart w:id="479" w:name="_Toc383891186"/>
      <w:bookmarkStart w:id="480" w:name="_Toc845"/>
      <w:bookmarkStart w:id="481" w:name="_Toc12983521"/>
      <w:bookmarkStart w:id="482" w:name="_Toc25750607"/>
      <w:bookmarkStart w:id="483" w:name="_Toc14588"/>
      <w:bookmarkStart w:id="484" w:name="_Toc10918"/>
      <w:bookmarkStart w:id="485" w:name="_Toc20070"/>
      <w:bookmarkStart w:id="486" w:name="_Toc24656"/>
      <w:bookmarkStart w:id="487" w:name="_Toc691"/>
      <w:bookmarkStart w:id="488" w:name="_Toc20643"/>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2" w:firstLineChars="200"/>
        <w:rPr>
          <w:rFonts w:ascii="宋体" w:hAnsi="宋体"/>
          <w:b/>
          <w:bCs/>
          <w:color w:val="auto"/>
          <w:highlight w:val="none"/>
        </w:rPr>
      </w:pPr>
      <w:bookmarkStart w:id="489" w:name="_Toc32020"/>
      <w:bookmarkStart w:id="490" w:name="_Toc6065"/>
      <w:bookmarkStart w:id="491" w:name="_Toc25684"/>
      <w:bookmarkStart w:id="492" w:name="_Toc27730"/>
      <w:bookmarkStart w:id="493" w:name="_Toc3414"/>
      <w:bookmarkStart w:id="494" w:name="_Toc19603"/>
      <w:bookmarkStart w:id="495" w:name="_Toc25468"/>
      <w:bookmarkStart w:id="496" w:name="_Toc492478737"/>
      <w:bookmarkStart w:id="497" w:name="_Toc29108"/>
      <w:bookmarkStart w:id="498" w:name="_Toc301"/>
      <w:bookmarkStart w:id="499" w:name="_Toc375039083"/>
      <w:bookmarkStart w:id="500" w:name="_Toc19044"/>
      <w:bookmarkStart w:id="501" w:name="_Toc24922"/>
      <w:bookmarkStart w:id="502" w:name="_Toc32525"/>
      <w:bookmarkStart w:id="503" w:name="_Toc12435"/>
      <w:bookmarkStart w:id="504" w:name="_Toc14672"/>
      <w:bookmarkStart w:id="505" w:name="_Toc390098438"/>
      <w:bookmarkStart w:id="506" w:name="_Toc4216"/>
      <w:bookmarkStart w:id="507" w:name="_Toc12983522"/>
      <w:bookmarkStart w:id="508" w:name="_Toc12506"/>
      <w:bookmarkStart w:id="509" w:name="_Toc383891187"/>
      <w:bookmarkStart w:id="510" w:name="_Toc8100"/>
      <w:bookmarkStart w:id="511" w:name="_Toc385427812"/>
      <w:r>
        <w:rPr>
          <w:rFonts w:hint="eastAsia" w:ascii="宋体" w:hAnsi="宋体"/>
          <w:b/>
          <w:bCs/>
          <w:color w:val="auto"/>
          <w:highlight w:val="none"/>
        </w:rPr>
        <w:t xml:space="preserve">16. </w:t>
      </w:r>
      <w:r>
        <w:rPr>
          <w:rFonts w:ascii="宋体" w:hAnsi="宋体"/>
          <w:b/>
          <w:bCs/>
          <w:color w:val="auto"/>
          <w:highlight w:val="none"/>
        </w:rPr>
        <w:t>比选申请文件的制作和签署</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12" w:name="_Toc375039084"/>
      <w:bookmarkStart w:id="513" w:name="_Toc385427813"/>
      <w:bookmarkStart w:id="514" w:name="_Toc390098439"/>
      <w:bookmarkStart w:id="515" w:name="_Toc383891188"/>
      <w:bookmarkStart w:id="516" w:name="_Toc28985"/>
      <w:bookmarkStart w:id="517" w:name="_Toc18322"/>
      <w:bookmarkStart w:id="518" w:name="_Toc30452"/>
      <w:bookmarkStart w:id="519" w:name="_Toc30187"/>
      <w:bookmarkStart w:id="520" w:name="_Toc492478738"/>
      <w:bookmarkStart w:id="521" w:name="_Toc12983523"/>
      <w:bookmarkStart w:id="522" w:name="_Toc10234"/>
      <w:bookmarkStart w:id="523" w:name="_Toc16409"/>
      <w:bookmarkStart w:id="524" w:name="_Toc29445"/>
      <w:bookmarkStart w:id="525" w:name="_Toc1952"/>
      <w:bookmarkStart w:id="526" w:name="_Toc32054"/>
      <w:bookmarkStart w:id="527" w:name="_Toc1955"/>
      <w:bookmarkStart w:id="528" w:name="_Toc26551"/>
      <w:bookmarkStart w:id="529" w:name="_Toc2975"/>
      <w:bookmarkStart w:id="530" w:name="_Toc6101"/>
      <w:bookmarkStart w:id="531" w:name="_Toc9858"/>
      <w:bookmarkStart w:id="532" w:name="_Toc26776"/>
      <w:bookmarkStart w:id="533" w:name="_Toc21587"/>
      <w:bookmarkStart w:id="534" w:name="_Toc4496"/>
      <w:bookmarkStart w:id="535" w:name="_Toc30962"/>
      <w:bookmarkStart w:id="536" w:name="_Toc759"/>
      <w:bookmarkStart w:id="537" w:name="_Toc1315"/>
      <w:bookmarkStart w:id="538" w:name="_Toc24846"/>
      <w:bookmarkStart w:id="539" w:name="_Toc23177"/>
      <w:bookmarkStart w:id="540" w:name="_Toc15116"/>
      <w:bookmarkStart w:id="541" w:name="_Toc19475"/>
      <w:bookmarkStart w:id="542" w:name="_Toc2113"/>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12"/>
      <w:bookmarkEnd w:id="513"/>
      <w:bookmarkEnd w:id="514"/>
      <w:bookmarkEnd w:id="515"/>
      <w:r>
        <w:rPr>
          <w:rFonts w:hint="eastAsia" w:ascii="宋体" w:hAnsi="宋体" w:eastAsia="宋体"/>
          <w:color w:val="auto"/>
          <w:sz w:val="24"/>
          <w:szCs w:val="24"/>
          <w:highlight w:val="none"/>
        </w:rPr>
        <w:t>的密封和递交</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543" w:name="_Toc13875"/>
      <w:bookmarkStart w:id="544" w:name="_Toc15663"/>
      <w:bookmarkStart w:id="545" w:name="_Toc492478739"/>
      <w:bookmarkStart w:id="546" w:name="_Toc375039085"/>
      <w:bookmarkStart w:id="547" w:name="_Toc15071"/>
      <w:bookmarkStart w:id="548" w:name="_Toc12117"/>
      <w:bookmarkStart w:id="549" w:name="_Toc25750609"/>
      <w:bookmarkStart w:id="550" w:name="_Toc19495"/>
      <w:bookmarkStart w:id="551" w:name="_Toc5922"/>
      <w:bookmarkStart w:id="552" w:name="_Toc9307"/>
      <w:bookmarkStart w:id="553" w:name="_Toc383891189"/>
      <w:bookmarkStart w:id="554" w:name="_Toc605"/>
      <w:bookmarkStart w:id="555" w:name="_Toc18616"/>
      <w:bookmarkStart w:id="556" w:name="_Toc26249"/>
      <w:bookmarkStart w:id="557" w:name="_Toc30196"/>
      <w:bookmarkStart w:id="558" w:name="_Toc15650"/>
      <w:bookmarkStart w:id="559" w:name="_Toc385427814"/>
      <w:bookmarkStart w:id="560" w:name="_Toc390098440"/>
      <w:bookmarkStart w:id="561" w:name="_Toc17200"/>
      <w:bookmarkStart w:id="562" w:name="_Toc12983524"/>
      <w:bookmarkStart w:id="563" w:name="_Toc12329"/>
      <w:bookmarkStart w:id="564" w:name="_Toc13621"/>
      <w:bookmarkStart w:id="565" w:name="_Toc13829"/>
      <w:bookmarkStart w:id="566" w:name="_Toc15735"/>
      <w:bookmarkStart w:id="567" w:name="_Toc24648"/>
      <w:r>
        <w:rPr>
          <w:rFonts w:hint="eastAsia" w:ascii="宋体" w:hAnsi="宋体" w:eastAsia="宋体" w:cs="宋体"/>
          <w:color w:val="auto"/>
          <w:sz w:val="21"/>
          <w:szCs w:val="21"/>
          <w:highlight w:val="none"/>
        </w:rPr>
        <w:t>17. 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568" w:name="_Toc375039086"/>
      <w:bookmarkStart w:id="569" w:name="_Toc385427815"/>
      <w:bookmarkStart w:id="570" w:name="_Toc390098441"/>
      <w:bookmarkStart w:id="571" w:name="_Toc383891190"/>
      <w:r>
        <w:rPr>
          <w:rFonts w:hint="eastAsia" w:ascii="宋体" w:hAnsi="宋体" w:eastAsia="宋体" w:cs="宋体"/>
          <w:color w:val="auto"/>
          <w:highlight w:val="none"/>
        </w:rPr>
        <w:t>17.1 封装方式</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（2）比选申请人可将比选申请文件封装为1个包，其中价格文件还需独立密封成包。</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所有密封箱/袋都应具有下列识别标志：</w:t>
      </w:r>
    </w:p>
    <w:p>
      <w:pPr>
        <w:tabs>
          <w:tab w:val="left" w:pos="1155"/>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（1）项目名称：</w:t>
      </w:r>
      <w:r>
        <w:rPr>
          <w:rFonts w:hint="eastAsia" w:ascii="宋体" w:hAnsi="宋体"/>
          <w:color w:val="auto"/>
          <w:highlight w:val="none"/>
          <w:lang w:eastAsia="zh-CN"/>
        </w:rPr>
        <w:t>运营公司安全生产标准化建设一级达标评价项目（2024年-2026年）（第二次）</w:t>
      </w:r>
      <w:r>
        <w:rPr>
          <w:rFonts w:hint="eastAsia" w:ascii="宋体" w:hAnsi="宋体" w:eastAsia="宋体" w:cs="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（2）项目编号：</w:t>
      </w:r>
      <w:r>
        <w:rPr>
          <w:rFonts w:hint="eastAsia" w:ascii="宋体" w:hAnsi="宋体" w:cs="宋体"/>
          <w:color w:val="auto"/>
          <w:highlight w:val="none"/>
        </w:rPr>
        <w:t>202401100001</w:t>
      </w:r>
      <w:r>
        <w:rPr>
          <w:rFonts w:hint="eastAsia" w:ascii="宋体" w:hAnsi="宋体" w:eastAsia="宋体" w:cs="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17.3 所有密封箱/袋上均应写明比选申请人的名称与地址，以便比选申请被宣布迟到时，能原封退回。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 如果密封箱/袋上没有按上述规定密封并加写标志，比选人将不承担比选申请文件错放或提前开封的责任，由此造成的提前开封的比选申请文件，比选人将予以拒绝，并退还给比选申请人。</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572" w:name="_Toc4735"/>
      <w:bookmarkStart w:id="573" w:name="_Toc22180"/>
      <w:bookmarkStart w:id="574" w:name="_Toc11039"/>
      <w:bookmarkStart w:id="575" w:name="_Toc11255"/>
      <w:bookmarkStart w:id="576" w:name="_Toc13883"/>
      <w:bookmarkStart w:id="577" w:name="_Toc27069"/>
      <w:bookmarkStart w:id="578" w:name="_Toc6339"/>
      <w:bookmarkStart w:id="579" w:name="_Toc25750610"/>
      <w:bookmarkStart w:id="580" w:name="_Toc6482"/>
      <w:bookmarkStart w:id="581" w:name="_Toc2337"/>
      <w:bookmarkStart w:id="582" w:name="_Toc28071"/>
      <w:bookmarkStart w:id="583" w:name="_Toc16266"/>
      <w:bookmarkStart w:id="584" w:name="_Toc16755"/>
      <w:bookmarkStart w:id="585" w:name="_Toc12983525"/>
      <w:bookmarkStart w:id="586" w:name="_Toc22445"/>
      <w:bookmarkStart w:id="587" w:name="_Toc16818"/>
      <w:bookmarkStart w:id="588" w:name="_Toc642"/>
      <w:bookmarkStart w:id="589" w:name="_Toc11096"/>
      <w:bookmarkStart w:id="590" w:name="_Toc492478740"/>
      <w:bookmarkStart w:id="591" w:name="_Toc23859"/>
      <w:bookmarkStart w:id="592" w:name="_Toc32760"/>
      <w:r>
        <w:rPr>
          <w:rFonts w:hint="eastAsia" w:ascii="宋体" w:hAnsi="宋体" w:eastAsia="宋体" w:cs="宋体"/>
          <w:color w:val="auto"/>
          <w:sz w:val="21"/>
          <w:szCs w:val="21"/>
          <w:highlight w:val="none"/>
        </w:rPr>
        <w:t>比选申请截止期</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18.1 所有比选申请文件应派专人送交，并须按“比选申请须知前附表”中规定的比选申请截止时间前送至比选文件规定的地点。如有必要，比选申请人可事先自行到该场地进行察看。</w:t>
      </w:r>
    </w:p>
    <w:p>
      <w:pPr>
        <w:tabs>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18.2 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18.3 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593" w:name="_Toc375039087"/>
      <w:bookmarkStart w:id="594" w:name="_Toc14239"/>
      <w:bookmarkStart w:id="595" w:name="_Toc492478741"/>
      <w:bookmarkStart w:id="596" w:name="_Toc18963"/>
      <w:bookmarkStart w:id="597" w:name="_Toc324"/>
      <w:bookmarkStart w:id="598" w:name="_Toc32252"/>
      <w:bookmarkStart w:id="599" w:name="_Toc29473"/>
      <w:bookmarkStart w:id="600" w:name="_Toc12983526"/>
      <w:bookmarkStart w:id="601" w:name="_Toc22945"/>
      <w:bookmarkStart w:id="602" w:name="_Toc26431"/>
      <w:bookmarkStart w:id="603" w:name="_Toc390098442"/>
      <w:bookmarkStart w:id="604" w:name="_Toc3597"/>
      <w:bookmarkStart w:id="605" w:name="_Toc23404"/>
      <w:bookmarkStart w:id="606" w:name="_Toc15252"/>
      <w:bookmarkStart w:id="607" w:name="_Toc29066"/>
      <w:bookmarkStart w:id="608" w:name="_Toc21960"/>
      <w:bookmarkStart w:id="609" w:name="_Toc13581"/>
      <w:bookmarkStart w:id="610" w:name="_Toc2226"/>
      <w:bookmarkStart w:id="611" w:name="_Toc11373"/>
      <w:bookmarkStart w:id="612" w:name="_Toc10818"/>
      <w:bookmarkStart w:id="613" w:name="_Toc32621"/>
      <w:bookmarkStart w:id="614" w:name="_Toc383891191"/>
      <w:bookmarkStart w:id="615" w:name="_Toc385427816"/>
      <w:bookmarkStart w:id="616" w:name="_Toc9522"/>
      <w:bookmarkStart w:id="617" w:name="_Toc25750611"/>
      <w:r>
        <w:rPr>
          <w:rFonts w:hint="eastAsia" w:ascii="宋体" w:hAnsi="宋体" w:eastAsia="宋体" w:cs="宋体"/>
          <w:color w:val="auto"/>
          <w:sz w:val="21"/>
          <w:szCs w:val="21"/>
          <w:highlight w:val="none"/>
        </w:rPr>
        <w:t>迟交的比选申请文件</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19.1 比选人将拒绝并原封退回在本须知18.1条规定的比选申请截止时间后收到的任何比选申请文件。</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618" w:name="_Toc26282"/>
      <w:bookmarkStart w:id="619" w:name="_Toc8636"/>
      <w:bookmarkStart w:id="620" w:name="_Toc9706"/>
      <w:bookmarkStart w:id="621" w:name="_Toc25750612"/>
      <w:bookmarkStart w:id="622" w:name="_Toc385427817"/>
      <w:bookmarkStart w:id="623" w:name="_Toc243"/>
      <w:bookmarkStart w:id="624" w:name="_Toc24030"/>
      <w:bookmarkStart w:id="625" w:name="_Toc28452"/>
      <w:bookmarkStart w:id="626" w:name="_Toc29208"/>
      <w:bookmarkStart w:id="627" w:name="_Toc14411"/>
      <w:bookmarkStart w:id="628" w:name="_Toc492478742"/>
      <w:bookmarkStart w:id="629" w:name="_Toc383891192"/>
      <w:bookmarkStart w:id="630" w:name="_Toc14522"/>
      <w:bookmarkStart w:id="631" w:name="_Toc27195"/>
      <w:bookmarkStart w:id="632" w:name="_Toc25427"/>
      <w:bookmarkStart w:id="633" w:name="_Toc23449"/>
      <w:bookmarkStart w:id="634" w:name="_Toc4605"/>
      <w:bookmarkStart w:id="635" w:name="_Toc17797"/>
      <w:bookmarkStart w:id="636" w:name="_Toc375039088"/>
      <w:bookmarkStart w:id="637" w:name="_Toc12983527"/>
      <w:bookmarkStart w:id="638" w:name="_Toc25824"/>
      <w:bookmarkStart w:id="639" w:name="_Toc12682"/>
      <w:bookmarkStart w:id="640" w:name="_Toc390098443"/>
      <w:bookmarkStart w:id="641" w:name="_Toc31033"/>
      <w:bookmarkStart w:id="642" w:name="_Toc21796"/>
      <w:r>
        <w:rPr>
          <w:rFonts w:hint="eastAsia" w:ascii="宋体" w:hAnsi="宋体" w:eastAsia="宋体" w:cs="宋体"/>
          <w:color w:val="auto"/>
          <w:sz w:val="21"/>
          <w:szCs w:val="21"/>
          <w:highlight w:val="none"/>
        </w:rPr>
        <w:t>比选申请文件的修改和撤回</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20.1 比选申请人在提交比选申请文件后可对其比选申请文件进行修改或撤回，但该修改或撤回的书面通知须在比选申请截止时间之前送达比选单位；且该通知需经正式授权的比选申请人代表签字方为有效。</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20.2 比选申请人对比选申请文件修改的书面材料或撤回的通知应按本比选申请须知16和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"_尻깃匡숭돨쵱룐뵨깃션"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20.3 比选申请截止时间以后比选申请人不得修改比选申请文件。</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20.4 比选申请人不得在比选申请截止时间至比选申请有效期期满前撤销比选申请文件。否则比选人有权要求比选申请人对损失给予赔偿。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643" w:name="_Toc29264"/>
      <w:bookmarkStart w:id="644" w:name="_Toc4291"/>
      <w:bookmarkStart w:id="645" w:name="_Toc10325"/>
      <w:bookmarkStart w:id="646" w:name="_Toc16856"/>
      <w:bookmarkStart w:id="647" w:name="_Toc12182"/>
      <w:bookmarkStart w:id="648" w:name="_Toc18076"/>
      <w:bookmarkStart w:id="649" w:name="_Toc12983528"/>
      <w:bookmarkStart w:id="650" w:name="_Toc5592"/>
      <w:bookmarkStart w:id="651" w:name="_Toc9549"/>
      <w:bookmarkStart w:id="652" w:name="_Toc3006"/>
      <w:bookmarkStart w:id="653" w:name="_Toc11529"/>
      <w:bookmarkStart w:id="654" w:name="_Toc383891193"/>
      <w:bookmarkStart w:id="655" w:name="_Toc24485"/>
      <w:bookmarkStart w:id="656" w:name="_Toc385427818"/>
      <w:bookmarkStart w:id="657" w:name="_Toc31978"/>
      <w:bookmarkStart w:id="658" w:name="_Toc28694"/>
      <w:bookmarkStart w:id="659" w:name="_Toc375039089"/>
      <w:bookmarkStart w:id="660" w:name="_Toc9728"/>
      <w:bookmarkStart w:id="661" w:name="_Toc2306"/>
      <w:bookmarkStart w:id="662" w:name="_Toc25433"/>
      <w:bookmarkStart w:id="663" w:name="_Toc22587"/>
      <w:bookmarkStart w:id="664" w:name="_Toc390098444"/>
      <w:bookmarkStart w:id="665" w:name="_Toc492478743"/>
      <w:bookmarkStart w:id="666" w:name="_Toc16854"/>
      <w:bookmarkStart w:id="667" w:name="_Toc8913"/>
      <w:bookmarkStart w:id="668" w:name="_Toc25025"/>
      <w:bookmarkStart w:id="669" w:name="_Toc17205"/>
      <w:bookmarkStart w:id="670" w:name="_Toc1172"/>
      <w:bookmarkStart w:id="671" w:name="_Toc20085"/>
      <w:bookmarkStart w:id="672" w:name="_Toc9086"/>
      <w:bookmarkStart w:id="673" w:name="_Toc27216"/>
      <w:r>
        <w:rPr>
          <w:rFonts w:hint="eastAsia" w:ascii="宋体" w:hAnsi="宋体" w:eastAsia="宋体"/>
          <w:color w:val="auto"/>
          <w:sz w:val="24"/>
          <w:szCs w:val="24"/>
          <w:highlight w:val="none"/>
        </w:rPr>
        <w:t>五、</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hint="eastAsia" w:ascii="宋体" w:hAnsi="宋体" w:eastAsia="宋体"/>
          <w:color w:val="auto"/>
          <w:sz w:val="24"/>
          <w:szCs w:val="24"/>
          <w:highlight w:val="none"/>
        </w:rPr>
        <w:t>比选申请文件递交与评审</w:t>
      </w:r>
      <w:bookmarkEnd w:id="666"/>
      <w:bookmarkEnd w:id="667"/>
      <w:bookmarkEnd w:id="668"/>
      <w:bookmarkEnd w:id="669"/>
      <w:bookmarkEnd w:id="670"/>
      <w:bookmarkEnd w:id="671"/>
      <w:bookmarkEnd w:id="672"/>
      <w:bookmarkEnd w:id="673"/>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674" w:name="_Toc6839"/>
      <w:bookmarkStart w:id="675" w:name="_Toc895"/>
      <w:bookmarkStart w:id="676" w:name="_Toc9264"/>
      <w:bookmarkStart w:id="677" w:name="_Toc25116"/>
      <w:bookmarkStart w:id="678" w:name="_Toc6974"/>
      <w:bookmarkStart w:id="679" w:name="_Toc10883"/>
      <w:bookmarkStart w:id="680" w:name="_Toc4825"/>
      <w:bookmarkStart w:id="681" w:name="_Toc12983529"/>
      <w:bookmarkStart w:id="682" w:name="_Toc4365"/>
      <w:bookmarkStart w:id="683" w:name="_Toc390098445"/>
      <w:bookmarkStart w:id="684" w:name="_Toc23705"/>
      <w:bookmarkStart w:id="685" w:name="_Toc385427819"/>
      <w:bookmarkStart w:id="686" w:name="_Toc383891194"/>
      <w:bookmarkStart w:id="687" w:name="_Toc4674"/>
      <w:bookmarkStart w:id="688" w:name="_Toc492478744"/>
      <w:bookmarkStart w:id="689" w:name="_Toc10292"/>
      <w:bookmarkStart w:id="690" w:name="_Toc9309"/>
      <w:bookmarkStart w:id="691" w:name="_Toc4638"/>
      <w:bookmarkStart w:id="692" w:name="_Toc18919"/>
      <w:bookmarkStart w:id="693" w:name="_Toc375039090"/>
      <w:bookmarkStart w:id="694" w:name="_Toc5182"/>
      <w:bookmarkStart w:id="695" w:name="_Toc24196"/>
      <w:bookmarkStart w:id="696" w:name="_Toc6377"/>
      <w:bookmarkStart w:id="697" w:name="_Toc25750614"/>
      <w:bookmarkStart w:id="698" w:name="_Toc13120"/>
      <w:r>
        <w:rPr>
          <w:rFonts w:hint="eastAsia" w:ascii="宋体" w:hAnsi="宋体" w:eastAsia="宋体" w:cs="宋体"/>
          <w:color w:val="auto"/>
          <w:sz w:val="21"/>
          <w:szCs w:val="21"/>
          <w:highlight w:val="none"/>
        </w:rPr>
        <w:t>21.</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Fonts w:hint="eastAsia" w:ascii="宋体" w:hAnsi="宋体" w:eastAsia="宋体" w:cs="宋体"/>
          <w:color w:val="auto"/>
          <w:sz w:val="21"/>
          <w:szCs w:val="21"/>
          <w:highlight w:val="none"/>
        </w:rPr>
        <w:t>比选申请文件递交</w:t>
      </w:r>
      <w:bookmarkEnd w:id="697"/>
      <w:bookmarkEnd w:id="698"/>
    </w:p>
    <w:p>
      <w:pPr>
        <w:tabs>
          <w:tab w:val="left" w:pos="945"/>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 比选人将按本须知18.1条项规定的时间和地址，对所有按时递交并已签收达三个或以上比选申请人的比选申请文件进行核查。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比选申请文件有下列情形之一的，比选人应当拒收：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21.1.1逾期送达的或者未送达指定地点的比选申请文件；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21.1.2比选申请文件外包封未按比选文件要求密封的。</w:t>
      </w:r>
    </w:p>
    <w:p>
      <w:pPr>
        <w:tabs>
          <w:tab w:val="left" w:pos="945"/>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21.2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699" w:name="_Toc251051540"/>
      <w:r>
        <w:rPr>
          <w:rFonts w:hint="eastAsia" w:ascii="宋体" w:hAnsi="宋体" w:eastAsia="宋体" w:cs="宋体"/>
          <w:b/>
          <w:color w:val="auto"/>
          <w:highlight w:val="none"/>
        </w:rPr>
        <w:t>否则作无效比选文件处理</w:t>
      </w:r>
      <w:bookmarkEnd w:id="699"/>
      <w:r>
        <w:rPr>
          <w:rFonts w:hint="eastAsia" w:ascii="宋体" w:hAnsi="宋体" w:eastAsia="宋体" w:cs="宋体"/>
          <w:b/>
          <w:color w:val="auto"/>
          <w:highlight w:val="none"/>
        </w:rPr>
        <w:t>。</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700" w:name="_Toc375039091"/>
      <w:bookmarkStart w:id="701" w:name="_Toc390098446"/>
      <w:bookmarkStart w:id="702" w:name="_Toc385427820"/>
      <w:bookmarkStart w:id="703" w:name="_Toc383891195"/>
      <w:bookmarkStart w:id="704" w:name="_Toc27636"/>
      <w:bookmarkStart w:id="705" w:name="_Toc1920"/>
      <w:bookmarkStart w:id="706" w:name="_Toc15466"/>
      <w:bookmarkStart w:id="707" w:name="_Toc23699"/>
      <w:bookmarkStart w:id="708" w:name="_Toc21819"/>
      <w:bookmarkStart w:id="709" w:name="_Toc30485"/>
      <w:bookmarkStart w:id="710" w:name="_Toc9391"/>
      <w:bookmarkStart w:id="711" w:name="_Toc30671"/>
      <w:bookmarkStart w:id="712" w:name="_Toc25270"/>
      <w:bookmarkStart w:id="713" w:name="_Toc16068"/>
      <w:bookmarkStart w:id="714" w:name="_Toc13202"/>
      <w:bookmarkStart w:id="715" w:name="_Toc16601"/>
      <w:bookmarkStart w:id="716" w:name="_Toc17785"/>
      <w:bookmarkStart w:id="717" w:name="_Toc11263"/>
      <w:bookmarkStart w:id="718" w:name="_Toc25750615"/>
      <w:bookmarkStart w:id="719" w:name="_Toc11013"/>
      <w:bookmarkStart w:id="720" w:name="_Toc24687"/>
      <w:bookmarkStart w:id="721" w:name="_Toc12983530"/>
      <w:bookmarkStart w:id="722" w:name="_Toc492478745"/>
      <w:bookmarkStart w:id="723" w:name="_Toc24630"/>
      <w:bookmarkStart w:id="724" w:name="_Toc5267"/>
      <w:r>
        <w:rPr>
          <w:rFonts w:hint="eastAsia" w:ascii="宋体" w:hAnsi="宋体" w:eastAsia="宋体" w:cs="宋体"/>
          <w:color w:val="auto"/>
          <w:sz w:val="21"/>
          <w:szCs w:val="21"/>
          <w:highlight w:val="none"/>
        </w:rPr>
        <w:t>22.评审</w:t>
      </w:r>
      <w:bookmarkEnd w:id="700"/>
      <w:bookmarkEnd w:id="701"/>
      <w:bookmarkEnd w:id="702"/>
      <w:bookmarkEnd w:id="703"/>
      <w:r>
        <w:rPr>
          <w:rFonts w:hint="eastAsia" w:ascii="宋体" w:hAnsi="宋体" w:eastAsia="宋体" w:cs="宋体"/>
          <w:color w:val="auto"/>
          <w:sz w:val="21"/>
          <w:szCs w:val="21"/>
          <w:highlight w:val="none"/>
        </w:rPr>
        <w:t>程序</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tabs>
          <w:tab w:val="left" w:pos="8364"/>
        </w:tabs>
        <w:spacing w:before="0" w:after="0" w:afterAutospacing="0"/>
        <w:ind w:left="0" w:right="0" w:firstLine="420" w:firstLineChars="200"/>
        <w:rPr>
          <w:rFonts w:hint="eastAsia" w:ascii="宋体" w:hAnsi="宋体" w:eastAsia="宋体" w:cs="宋体"/>
          <w:b/>
          <w:color w:val="auto"/>
          <w:highlight w:val="none"/>
        </w:rPr>
      </w:pPr>
      <w:bookmarkStart w:id="725" w:name="_Toc375039092"/>
      <w:r>
        <w:rPr>
          <w:rFonts w:hint="eastAsia" w:ascii="宋体" w:hAnsi="宋体" w:eastAsia="宋体" w:cs="宋体"/>
          <w:color w:val="auto"/>
          <w:highlight w:val="none"/>
        </w:rPr>
        <w:t>详见第六章《评审办法》。</w:t>
      </w:r>
      <w:bookmarkEnd w:id="725"/>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726" w:name="_Toc25750616"/>
      <w:bookmarkStart w:id="727" w:name="_Toc18063"/>
      <w:bookmarkStart w:id="728" w:name="_Toc26137"/>
      <w:bookmarkStart w:id="729" w:name="_Toc8295"/>
      <w:bookmarkStart w:id="730" w:name="_Toc6936"/>
      <w:bookmarkStart w:id="731" w:name="_Toc1456"/>
      <w:bookmarkStart w:id="732" w:name="_Toc5386"/>
      <w:bookmarkStart w:id="733" w:name="_Toc27570"/>
      <w:bookmarkStart w:id="734" w:name="_Toc375039093"/>
      <w:bookmarkStart w:id="735" w:name="_Toc12983531"/>
      <w:bookmarkStart w:id="736" w:name="_Toc390098447"/>
      <w:bookmarkStart w:id="737" w:name="_Toc24755"/>
      <w:bookmarkStart w:id="738" w:name="_Toc16072"/>
      <w:bookmarkStart w:id="739" w:name="_Toc13421"/>
      <w:bookmarkStart w:id="740" w:name="_Toc29929"/>
      <w:bookmarkStart w:id="741" w:name="_Toc833"/>
      <w:bookmarkStart w:id="742" w:name="_Toc385427821"/>
      <w:bookmarkStart w:id="743" w:name="_Toc11716"/>
      <w:bookmarkStart w:id="744" w:name="_Toc492478746"/>
      <w:bookmarkStart w:id="745" w:name="_Toc25047"/>
      <w:bookmarkStart w:id="746" w:name="_Toc14719"/>
      <w:bookmarkStart w:id="747" w:name="_Toc17980"/>
      <w:bookmarkStart w:id="748" w:name="_Toc15"/>
      <w:bookmarkStart w:id="749" w:name="_Toc18803"/>
      <w:bookmarkStart w:id="750" w:name="_Toc383891196"/>
      <w:r>
        <w:rPr>
          <w:rFonts w:hint="eastAsia" w:ascii="宋体" w:hAnsi="宋体" w:eastAsia="宋体" w:cs="宋体"/>
          <w:color w:val="auto"/>
          <w:sz w:val="21"/>
          <w:szCs w:val="21"/>
          <w:highlight w:val="none"/>
        </w:rPr>
        <w:t>与比选人和评审委员会的接触</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23.1 从比选申请截止日起至授予合同期间，未经书面要求，比选申请人不得就与其比选申请文件有关的事项与评审委员会、比选人接触（包括直接接触或间接接触）。</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 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23.3 比选申请人不得以任何方式干扰比选人的比选和评审活动，否则其比选申请无效并追究其法律责任。</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23.4 有关比选申请文件的审查、澄清、评估和比较以及有关授予合同的意向的一切情况都不得透露给任一比选申请人。</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751" w:name="_Toc25750617"/>
      <w:bookmarkStart w:id="752" w:name="_Toc9872"/>
      <w:bookmarkStart w:id="753" w:name="_Toc12960"/>
      <w:bookmarkStart w:id="754" w:name="_Toc18515"/>
      <w:bookmarkStart w:id="755" w:name="_Toc21167"/>
      <w:bookmarkStart w:id="756" w:name="_Toc16963"/>
      <w:bookmarkStart w:id="757" w:name="_Toc383891197"/>
      <w:bookmarkStart w:id="758" w:name="_Toc30207"/>
      <w:bookmarkStart w:id="759" w:name="_Toc654"/>
      <w:bookmarkStart w:id="760" w:name="_Toc20523"/>
      <w:bookmarkStart w:id="761" w:name="_Toc15988"/>
      <w:bookmarkStart w:id="762" w:name="_Toc385427822"/>
      <w:bookmarkStart w:id="763" w:name="_Toc12671"/>
      <w:bookmarkStart w:id="764" w:name="_Toc29504"/>
      <w:bookmarkStart w:id="765" w:name="_Toc12983532"/>
      <w:bookmarkStart w:id="766" w:name="_Toc19810"/>
      <w:bookmarkStart w:id="767" w:name="_Toc492478747"/>
      <w:bookmarkStart w:id="768" w:name="_Toc390098448"/>
      <w:bookmarkStart w:id="769" w:name="_Toc9941"/>
      <w:bookmarkStart w:id="770" w:name="_Toc25734"/>
      <w:bookmarkStart w:id="771" w:name="_Toc12555"/>
      <w:bookmarkStart w:id="772" w:name="_Toc12909"/>
      <w:bookmarkStart w:id="773" w:name="_Toc9602"/>
      <w:bookmarkStart w:id="774" w:name="_Toc7858"/>
      <w:bookmarkStart w:id="775" w:name="_Toc378514937"/>
      <w:bookmarkStart w:id="776" w:name="_Toc294723156"/>
      <w:bookmarkStart w:id="777" w:name="_Toc375039094"/>
      <w:r>
        <w:rPr>
          <w:rFonts w:hint="eastAsia" w:ascii="宋体" w:hAnsi="宋体" w:eastAsia="宋体" w:cs="宋体"/>
          <w:color w:val="auto"/>
          <w:sz w:val="21"/>
          <w:szCs w:val="21"/>
          <w:highlight w:val="none"/>
        </w:rPr>
        <w:t>评审过程保密</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778" w:name="_Toc13072"/>
      <w:bookmarkStart w:id="779" w:name="_Toc24327"/>
      <w:bookmarkStart w:id="780" w:name="_Toc492478748"/>
      <w:bookmarkStart w:id="781" w:name="_Toc14860"/>
      <w:bookmarkStart w:id="782" w:name="_Toc385427823"/>
      <w:bookmarkStart w:id="783" w:name="_Toc28898"/>
      <w:bookmarkStart w:id="784" w:name="_Toc28701"/>
      <w:bookmarkStart w:id="785" w:name="_Toc28843"/>
      <w:bookmarkStart w:id="786" w:name="_Toc13768"/>
      <w:bookmarkStart w:id="787" w:name="_Toc5983"/>
      <w:bookmarkStart w:id="788" w:name="_Toc30429"/>
      <w:bookmarkStart w:id="789" w:name="_Toc12983533"/>
      <w:bookmarkStart w:id="790" w:name="_Toc11077"/>
      <w:bookmarkStart w:id="791" w:name="_Toc27670"/>
      <w:bookmarkStart w:id="792" w:name="_Toc14799"/>
      <w:bookmarkStart w:id="793" w:name="_Toc1983"/>
      <w:bookmarkStart w:id="794" w:name="_Toc8827"/>
      <w:bookmarkStart w:id="795" w:name="_Toc25750618"/>
      <w:bookmarkStart w:id="796" w:name="_Toc390098449"/>
      <w:bookmarkStart w:id="797" w:name="_Toc383891198"/>
      <w:bookmarkStart w:id="798" w:name="_Toc13743"/>
      <w:bookmarkStart w:id="799" w:name="_Toc6624"/>
      <w:bookmarkStart w:id="800" w:name="_Toc22510"/>
      <w:bookmarkStart w:id="801" w:name="_Toc23267"/>
      <w:r>
        <w:rPr>
          <w:rFonts w:hint="eastAsia" w:ascii="宋体" w:hAnsi="宋体" w:eastAsia="宋体" w:cs="宋体"/>
          <w:color w:val="auto"/>
          <w:sz w:val="21"/>
          <w:szCs w:val="21"/>
          <w:highlight w:val="none"/>
        </w:rPr>
        <w:t>比选申请文件的澄清</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802" w:name="_Toc28992"/>
      <w:bookmarkStart w:id="803" w:name="_Toc12983534"/>
      <w:bookmarkStart w:id="804" w:name="_Toc1915"/>
      <w:bookmarkStart w:id="805" w:name="_Toc5607"/>
      <w:bookmarkStart w:id="806" w:name="_Toc26070"/>
      <w:bookmarkStart w:id="807" w:name="_Toc383891199"/>
      <w:bookmarkStart w:id="808" w:name="_Toc5437"/>
      <w:bookmarkStart w:id="809" w:name="_Toc9040"/>
      <w:bookmarkStart w:id="810" w:name="_Toc25750619"/>
      <w:bookmarkStart w:id="811" w:name="_Toc16884"/>
      <w:bookmarkStart w:id="812" w:name="_Toc11781"/>
      <w:bookmarkStart w:id="813" w:name="_Toc29146"/>
      <w:bookmarkStart w:id="814" w:name="_Toc390098450"/>
      <w:bookmarkStart w:id="815" w:name="_Toc22681"/>
      <w:bookmarkStart w:id="816" w:name="_Toc5926"/>
      <w:bookmarkStart w:id="817" w:name="_Toc6908"/>
      <w:bookmarkStart w:id="818" w:name="_Toc20519"/>
      <w:bookmarkStart w:id="819" w:name="_Toc12795"/>
      <w:bookmarkStart w:id="820" w:name="_Toc4397"/>
      <w:bookmarkStart w:id="821" w:name="_Toc385427824"/>
      <w:bookmarkStart w:id="822" w:name="_Toc18093"/>
      <w:bookmarkStart w:id="823" w:name="_Toc30017"/>
      <w:bookmarkStart w:id="824" w:name="_Toc26318"/>
      <w:bookmarkStart w:id="825" w:name="_Toc492478749"/>
      <w:r>
        <w:rPr>
          <w:rFonts w:hint="eastAsia" w:ascii="宋体" w:hAnsi="宋体" w:eastAsia="宋体" w:cs="宋体"/>
          <w:color w:val="auto"/>
          <w:sz w:val="21"/>
          <w:szCs w:val="21"/>
          <w:highlight w:val="none"/>
        </w:rPr>
        <w:t>比选申请文件响应性的确定</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826" w:name="_Toc22063"/>
      <w:bookmarkStart w:id="827" w:name="_Toc390098451"/>
      <w:bookmarkStart w:id="828" w:name="_Toc23808"/>
      <w:bookmarkStart w:id="829" w:name="_Toc20810"/>
      <w:bookmarkStart w:id="830" w:name="_Toc1027"/>
      <w:bookmarkStart w:id="831" w:name="_Toc385427825"/>
      <w:bookmarkStart w:id="832" w:name="_Toc5180"/>
      <w:bookmarkStart w:id="833" w:name="_Toc15051"/>
      <w:bookmarkStart w:id="834" w:name="_Toc12167"/>
      <w:bookmarkStart w:id="835" w:name="_Toc383891200"/>
      <w:bookmarkStart w:id="836" w:name="_Toc21468"/>
      <w:bookmarkStart w:id="837" w:name="_Toc20912"/>
      <w:bookmarkStart w:id="838" w:name="_Toc23999"/>
      <w:bookmarkStart w:id="839" w:name="_Toc17236"/>
      <w:bookmarkStart w:id="840" w:name="_Toc492478750"/>
      <w:bookmarkStart w:id="841" w:name="_Toc20874"/>
      <w:bookmarkStart w:id="842" w:name="_Toc31646"/>
      <w:bookmarkStart w:id="843" w:name="_Toc29398"/>
      <w:bookmarkStart w:id="844" w:name="_Toc25750620"/>
      <w:bookmarkStart w:id="845" w:name="_Toc12983535"/>
      <w:bookmarkStart w:id="846" w:name="_Toc26239"/>
      <w:bookmarkStart w:id="847" w:name="_Toc23956"/>
      <w:bookmarkStart w:id="848" w:name="_Toc22146"/>
      <w:bookmarkStart w:id="849" w:name="_Toc19477"/>
      <w:r>
        <w:rPr>
          <w:rFonts w:hint="eastAsia" w:ascii="宋体" w:hAnsi="宋体" w:eastAsia="宋体" w:cs="宋体"/>
          <w:color w:val="auto"/>
          <w:sz w:val="21"/>
          <w:szCs w:val="21"/>
          <w:highlight w:val="none"/>
        </w:rPr>
        <w:t>比选申请文件计算错误的修正</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27.1 比选申请报价大写金额与小写金额不一致的，以大写金额为准；总价金额与单价乘以数量的合计计算出的结果不一致的，以单价为准修正总价，但单价金额小数点有明显错误的除外。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bookmarkStart w:id="850" w:name="_Toc390098452"/>
      <w:bookmarkStart w:id="851" w:name="_Toc9737"/>
      <w:bookmarkStart w:id="852" w:name="_Toc1004"/>
      <w:bookmarkStart w:id="853" w:name="_Toc25750621"/>
      <w:bookmarkStart w:id="854" w:name="_Toc19936"/>
      <w:bookmarkStart w:id="855" w:name="_Toc29446"/>
      <w:bookmarkStart w:id="856" w:name="_Toc22994"/>
      <w:bookmarkStart w:id="857" w:name="_Toc20881"/>
      <w:bookmarkStart w:id="858" w:name="_Toc20444"/>
      <w:bookmarkStart w:id="859" w:name="_Toc8959"/>
      <w:bookmarkStart w:id="860" w:name="_Toc12983536"/>
      <w:bookmarkStart w:id="861" w:name="_Toc23907"/>
      <w:bookmarkStart w:id="862" w:name="_Toc3258"/>
      <w:bookmarkStart w:id="863" w:name="_Toc5319"/>
      <w:bookmarkStart w:id="864" w:name="_Toc20854"/>
      <w:bookmarkStart w:id="865" w:name="_Toc27112"/>
      <w:bookmarkStart w:id="866" w:name="_Toc16418"/>
      <w:bookmarkStart w:id="867" w:name="_Toc9812"/>
      <w:bookmarkStart w:id="868" w:name="_Toc4958"/>
      <w:bookmarkStart w:id="869" w:name="_Toc383891201"/>
      <w:bookmarkStart w:id="870" w:name="_Toc24176"/>
      <w:bookmarkStart w:id="871" w:name="_Toc492478751"/>
      <w:bookmarkStart w:id="872" w:name="_Toc29276"/>
      <w:bookmarkStart w:id="873" w:name="_Toc385427826"/>
      <w:r>
        <w:rPr>
          <w:rFonts w:hint="eastAsia" w:ascii="宋体" w:hAnsi="宋体" w:eastAsia="宋体" w:cs="宋体"/>
          <w:color w:val="auto"/>
          <w:highlight w:val="none"/>
        </w:rPr>
        <w:t>27.2 按上述修正错误的规则对比选申请报价进行修正。评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价格及中</w:t>
      </w:r>
      <w:r>
        <w:rPr>
          <w:rFonts w:hint="eastAsia" w:ascii="宋体" w:hAnsi="宋体" w:cs="宋体"/>
          <w:color w:val="auto"/>
          <w:highlight w:val="none"/>
          <w:lang w:val="en-US" w:eastAsia="zh-CN"/>
        </w:rPr>
        <w:t>选</w:t>
      </w:r>
      <w:r>
        <w:rPr>
          <w:rFonts w:hint="eastAsia" w:ascii="宋体" w:hAnsi="宋体" w:eastAsia="宋体" w:cs="宋体"/>
          <w:color w:val="auto"/>
          <w:highlight w:val="none"/>
        </w:rPr>
        <w:t>价均以修正后的报价为准。如比选申请人不接受按以上规则确定的评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价格和中</w:t>
      </w:r>
      <w:r>
        <w:rPr>
          <w:rFonts w:hint="eastAsia" w:ascii="宋体" w:hAnsi="宋体" w:cs="宋体"/>
          <w:color w:val="auto"/>
          <w:highlight w:val="none"/>
          <w:lang w:val="en-US" w:eastAsia="zh-CN"/>
        </w:rPr>
        <w:t>选</w:t>
      </w:r>
      <w:r>
        <w:rPr>
          <w:rFonts w:hint="eastAsia" w:ascii="宋体" w:hAnsi="宋体" w:eastAsia="宋体" w:cs="宋体"/>
          <w:color w:val="auto"/>
          <w:highlight w:val="none"/>
        </w:rPr>
        <w:t>价，则其比选申请将被拒绝。</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比选申请文件的评价与比较</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28.2 评审将按《评审办法》规定执行。</w:t>
      </w:r>
      <w:bookmarkEnd w:id="775"/>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874" w:name="_Toc3358"/>
      <w:bookmarkStart w:id="875" w:name="_Toc32344"/>
      <w:bookmarkStart w:id="876" w:name="_Toc11657"/>
      <w:bookmarkStart w:id="877" w:name="_Toc31774"/>
      <w:bookmarkStart w:id="878" w:name="_Toc385427827"/>
      <w:bookmarkStart w:id="879" w:name="_Toc12983537"/>
      <w:bookmarkStart w:id="880" w:name="_Toc28489"/>
      <w:bookmarkStart w:id="881" w:name="_Toc492478752"/>
      <w:bookmarkStart w:id="882" w:name="_Toc8074"/>
      <w:bookmarkStart w:id="883" w:name="_Toc19322"/>
      <w:bookmarkStart w:id="884" w:name="_Toc11010"/>
      <w:bookmarkStart w:id="885" w:name="_Toc1450"/>
      <w:bookmarkStart w:id="886" w:name="_Toc383891202"/>
      <w:bookmarkStart w:id="887" w:name="_Toc15146"/>
      <w:bookmarkStart w:id="888" w:name="_Toc7756"/>
      <w:bookmarkStart w:id="889" w:name="_Toc27289"/>
      <w:bookmarkStart w:id="890" w:name="_Toc25750622"/>
      <w:bookmarkStart w:id="891" w:name="_Toc27803"/>
      <w:bookmarkStart w:id="892" w:name="_Toc22500"/>
      <w:bookmarkStart w:id="893" w:name="_Toc507"/>
      <w:bookmarkStart w:id="894" w:name="_Toc390098453"/>
      <w:bookmarkStart w:id="895" w:name="_Toc17460"/>
      <w:bookmarkStart w:id="896" w:name="_Toc8845"/>
      <w:bookmarkStart w:id="897" w:name="_Toc14300"/>
      <w:r>
        <w:rPr>
          <w:rFonts w:hint="eastAsia" w:ascii="宋体" w:hAnsi="宋体" w:eastAsia="宋体" w:cs="宋体"/>
          <w:color w:val="auto"/>
          <w:sz w:val="21"/>
          <w:szCs w:val="21"/>
          <w:highlight w:val="none"/>
        </w:rPr>
        <w:t>定标</w:t>
      </w:r>
      <w:bookmarkEnd w:id="776"/>
      <w:bookmarkEnd w:id="777"/>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 经评审后，评审委员会将综合得分最高的比选申请人推荐为中选候选人。比选申请人的综合得分相等时，技术评分高者优先；技术评分也相等的，比选报价评分高者优先，比选报价评分也相等的，以评审委员会记名投票的方式按少数服从多数的原则决定其排名顺序。</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29.4比选人确定的中选人必须按有关规定进行公示。</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29.5评审委员会评审结束后，比选人经审查发现评审过程中有明显错误，可以组织原评审委员会进行复评。</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898" w:name="_Toc21142"/>
      <w:bookmarkStart w:id="899" w:name="_Toc22182"/>
      <w:bookmarkStart w:id="900" w:name="_Toc1215"/>
      <w:bookmarkStart w:id="901" w:name="_Toc27664"/>
      <w:bookmarkStart w:id="902" w:name="_Toc19634"/>
      <w:bookmarkStart w:id="903" w:name="_Toc13986"/>
      <w:bookmarkStart w:id="904" w:name="_Toc21947"/>
      <w:bookmarkStart w:id="905" w:name="_Toc5257"/>
      <w:bookmarkStart w:id="906" w:name="_Toc15932"/>
      <w:bookmarkStart w:id="907" w:name="_Toc37"/>
      <w:bookmarkStart w:id="908" w:name="_Toc375039095"/>
      <w:bookmarkStart w:id="909" w:name="_Toc492478753"/>
      <w:bookmarkStart w:id="910" w:name="_Toc17823"/>
      <w:bookmarkStart w:id="911" w:name="_Toc18192"/>
      <w:bookmarkStart w:id="912" w:name="_Toc14042"/>
      <w:bookmarkStart w:id="913" w:name="_Toc16732"/>
      <w:bookmarkStart w:id="914" w:name="_Toc5172"/>
      <w:bookmarkStart w:id="915" w:name="_Toc383891203"/>
      <w:bookmarkStart w:id="916" w:name="_Toc390098454"/>
      <w:bookmarkStart w:id="917" w:name="_Toc3761"/>
      <w:bookmarkStart w:id="918" w:name="_Toc12983538"/>
      <w:bookmarkStart w:id="919" w:name="_Toc385427828"/>
      <w:bookmarkStart w:id="920" w:name="_Toc26470"/>
      <w:bookmarkStart w:id="921" w:name="_Toc25750623"/>
      <w:bookmarkStart w:id="922" w:name="_Toc4536"/>
      <w:r>
        <w:rPr>
          <w:rFonts w:hint="eastAsia" w:ascii="宋体" w:hAnsi="宋体" w:eastAsia="宋体" w:cs="宋体"/>
          <w:color w:val="auto"/>
          <w:sz w:val="21"/>
          <w:szCs w:val="21"/>
          <w:highlight w:val="none"/>
        </w:rPr>
        <w:t>重新</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Fonts w:hint="eastAsia" w:ascii="宋体" w:hAnsi="宋体" w:eastAsia="宋体" w:cs="宋体"/>
          <w:color w:val="auto"/>
          <w:sz w:val="21"/>
          <w:szCs w:val="21"/>
          <w:highlight w:val="none"/>
        </w:rPr>
        <w:t>比选</w:t>
      </w:r>
      <w:bookmarkEnd w:id="921"/>
      <w:bookmarkEnd w:id="922"/>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出现下列特殊情况之一时，可重新比选：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30.1在比选申请截止时间到达时提交比选申请文件的比选申请人不足3家的；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30.2评审委员会否决不合格比选申请或者界定为否决比选申请后，因有效比选申请不足三家使得比选申请明显缺乏竞争性的（当有效比选申请只剩余两家时，评审委员会认为剩余的比选申请文件仍具有竞争性的，应继续评审）；</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30.3评审委员会决定否决全部比选申请的；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30.4中选候选人均放弃中选资格的；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30.5根据本须知15.2条规定，所有中选候选人均不同意在比选申请有效期内延长比选申请有效期的。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30.6比选文件中规定的其他情况。</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923" w:name="_Toc5959"/>
      <w:bookmarkStart w:id="924" w:name="_Toc11126"/>
      <w:bookmarkStart w:id="925" w:name="_Toc12983539"/>
      <w:bookmarkStart w:id="926" w:name="_Toc2422"/>
      <w:bookmarkStart w:id="927" w:name="_Toc6886"/>
      <w:bookmarkStart w:id="928" w:name="_Toc383891204"/>
      <w:bookmarkStart w:id="929" w:name="_Toc390098455"/>
      <w:bookmarkStart w:id="930" w:name="_Toc26919"/>
      <w:bookmarkStart w:id="931" w:name="_Toc1945"/>
      <w:bookmarkStart w:id="932" w:name="_Toc20979"/>
      <w:bookmarkStart w:id="933" w:name="_Toc26954"/>
      <w:bookmarkStart w:id="934" w:name="_Toc492478754"/>
      <w:bookmarkStart w:id="935" w:name="_Toc17042"/>
      <w:bookmarkStart w:id="936" w:name="_Toc12031"/>
      <w:bookmarkStart w:id="937" w:name="_Toc31757"/>
      <w:bookmarkStart w:id="938" w:name="_Toc3769"/>
      <w:bookmarkStart w:id="939" w:name="_Toc25257"/>
      <w:bookmarkStart w:id="940" w:name="_Toc14454"/>
      <w:bookmarkStart w:id="941" w:name="_Toc10962"/>
      <w:bookmarkStart w:id="942" w:name="_Toc1116"/>
      <w:bookmarkStart w:id="943" w:name="_Toc14235"/>
      <w:bookmarkStart w:id="944" w:name="_Toc375039096"/>
      <w:bookmarkStart w:id="945" w:name="_Toc385427829"/>
      <w:bookmarkStart w:id="946" w:name="_Toc25750624"/>
      <w:bookmarkStart w:id="947" w:name="_Toc13092"/>
      <w:r>
        <w:rPr>
          <w:rFonts w:hint="eastAsia" w:ascii="宋体" w:hAnsi="宋体" w:eastAsia="宋体" w:cs="宋体"/>
          <w:color w:val="auto"/>
          <w:sz w:val="21"/>
          <w:szCs w:val="21"/>
          <w:highlight w:val="none"/>
        </w:rPr>
        <w:t>不再</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Fonts w:hint="eastAsia" w:ascii="宋体" w:hAnsi="宋体" w:eastAsia="宋体" w:cs="宋体"/>
          <w:color w:val="auto"/>
          <w:sz w:val="21"/>
          <w:szCs w:val="21"/>
          <w:highlight w:val="none"/>
        </w:rPr>
        <w:t>比选</w:t>
      </w:r>
      <w:bookmarkEnd w:id="946"/>
      <w:bookmarkEnd w:id="947"/>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48" w:name="_Toc19952"/>
      <w:bookmarkStart w:id="949" w:name="_Toc26653"/>
      <w:bookmarkStart w:id="950" w:name="_Toc31958"/>
      <w:bookmarkStart w:id="951" w:name="_Toc385427830"/>
      <w:bookmarkStart w:id="952" w:name="_Toc18800"/>
      <w:bookmarkStart w:id="953" w:name="_Toc24681"/>
      <w:bookmarkStart w:id="954" w:name="_Toc21030"/>
      <w:bookmarkStart w:id="955" w:name="_Toc30278"/>
      <w:bookmarkStart w:id="956" w:name="_Toc2326"/>
      <w:bookmarkStart w:id="957" w:name="_Toc20748"/>
      <w:bookmarkStart w:id="958" w:name="_Toc9113"/>
      <w:bookmarkStart w:id="959" w:name="_Toc492478755"/>
      <w:bookmarkStart w:id="960" w:name="_Toc22975"/>
      <w:bookmarkStart w:id="961" w:name="_Toc12421"/>
      <w:bookmarkStart w:id="962" w:name="_Toc8834"/>
      <w:bookmarkStart w:id="963" w:name="_Toc12983540"/>
      <w:bookmarkStart w:id="964" w:name="_Toc21516"/>
      <w:bookmarkStart w:id="965" w:name="_Toc375039097"/>
      <w:bookmarkStart w:id="966" w:name="_Toc390098456"/>
      <w:bookmarkStart w:id="967" w:name="_Toc27839"/>
      <w:bookmarkStart w:id="968" w:name="_Toc2434"/>
      <w:bookmarkStart w:id="969" w:name="_Toc6573"/>
      <w:bookmarkStart w:id="970" w:name="_Toc24580"/>
      <w:bookmarkStart w:id="971" w:name="_Toc6000"/>
      <w:bookmarkStart w:id="972" w:name="_Toc383891205"/>
      <w:bookmarkStart w:id="973" w:name="_Toc17545"/>
      <w:bookmarkStart w:id="974" w:name="_Toc14827"/>
      <w:bookmarkStart w:id="975" w:name="_Toc4743"/>
      <w:bookmarkStart w:id="976" w:name="_Toc19091"/>
      <w:bookmarkStart w:id="977" w:name="_Toc25431"/>
      <w:bookmarkStart w:id="978" w:name="_Toc24138"/>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979" w:name="_Toc390098457"/>
      <w:bookmarkStart w:id="980" w:name="_Toc22323"/>
      <w:bookmarkStart w:id="981" w:name="_Toc1269"/>
      <w:bookmarkStart w:id="982" w:name="_Toc385427831"/>
      <w:bookmarkStart w:id="983" w:name="_Toc31011"/>
      <w:bookmarkStart w:id="984" w:name="_Toc22688"/>
      <w:bookmarkStart w:id="985" w:name="_Toc18878"/>
      <w:bookmarkStart w:id="986" w:name="_Toc25750626"/>
      <w:bookmarkStart w:id="987" w:name="_Toc8938"/>
      <w:bookmarkStart w:id="988" w:name="_Toc10522"/>
      <w:bookmarkStart w:id="989" w:name="_Toc3447"/>
      <w:bookmarkStart w:id="990" w:name="_Toc12983541"/>
      <w:bookmarkStart w:id="991" w:name="_Toc21728"/>
      <w:bookmarkStart w:id="992" w:name="_Toc30026"/>
      <w:bookmarkStart w:id="993" w:name="_Toc375039098"/>
      <w:bookmarkStart w:id="994" w:name="_Toc492478756"/>
      <w:bookmarkStart w:id="995" w:name="_Toc28661"/>
      <w:bookmarkStart w:id="996" w:name="_Toc30743"/>
      <w:bookmarkStart w:id="997" w:name="_Toc21975"/>
      <w:bookmarkStart w:id="998" w:name="_Toc383891206"/>
      <w:bookmarkStart w:id="999" w:name="_Toc26143"/>
      <w:bookmarkStart w:id="1000" w:name="_Toc20642"/>
      <w:bookmarkStart w:id="1001" w:name="_Toc26525"/>
      <w:bookmarkStart w:id="1002" w:name="_Toc11795"/>
      <w:bookmarkStart w:id="1003" w:name="_Toc13914"/>
      <w:r>
        <w:rPr>
          <w:rFonts w:hint="eastAsia" w:ascii="宋体" w:hAnsi="宋体" w:eastAsia="宋体" w:cs="宋体"/>
          <w:color w:val="auto"/>
          <w:sz w:val="21"/>
          <w:szCs w:val="21"/>
          <w:highlight w:val="none"/>
        </w:rPr>
        <w:t>32.</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合同授予标准</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32.1 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1004" w:name="_Toc25750627"/>
      <w:bookmarkStart w:id="1005" w:name="_Toc377"/>
      <w:bookmarkStart w:id="1006" w:name="_Toc19128"/>
      <w:bookmarkStart w:id="1007" w:name="_Toc1953"/>
      <w:bookmarkStart w:id="1008" w:name="_Toc24183"/>
      <w:bookmarkStart w:id="1009" w:name="_Toc14325"/>
      <w:bookmarkStart w:id="1010" w:name="_Toc17818"/>
      <w:bookmarkStart w:id="1011" w:name="_Toc492478757"/>
      <w:bookmarkStart w:id="1012" w:name="_Toc383891207"/>
      <w:bookmarkStart w:id="1013" w:name="_Toc17153"/>
      <w:bookmarkStart w:id="1014" w:name="_Toc23649"/>
      <w:bookmarkStart w:id="1015" w:name="_Toc1873"/>
      <w:bookmarkStart w:id="1016" w:name="_Toc11913"/>
      <w:bookmarkStart w:id="1017" w:name="_Toc14301"/>
      <w:bookmarkStart w:id="1018" w:name="_Toc390098458"/>
      <w:bookmarkStart w:id="1019" w:name="_Toc12983542"/>
      <w:bookmarkStart w:id="1020" w:name="_Toc385427832"/>
      <w:bookmarkStart w:id="1021" w:name="_Toc31336"/>
      <w:bookmarkStart w:id="1022" w:name="_Toc13417"/>
      <w:bookmarkStart w:id="1023" w:name="_Toc16111"/>
      <w:bookmarkStart w:id="1024" w:name="_Toc375039099"/>
      <w:bookmarkStart w:id="1025" w:name="_Toc14832"/>
      <w:bookmarkStart w:id="1026" w:name="_Toc25797"/>
      <w:bookmarkStart w:id="1027" w:name="_Toc19774"/>
      <w:bookmarkStart w:id="1028" w:name="_Toc18977"/>
      <w:r>
        <w:rPr>
          <w:rFonts w:hint="eastAsia" w:ascii="宋体" w:hAnsi="宋体" w:eastAsia="宋体" w:cs="宋体"/>
          <w:color w:val="auto"/>
          <w:sz w:val="21"/>
          <w:szCs w:val="21"/>
          <w:highlight w:val="none"/>
        </w:rPr>
        <w:t>33.</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接受和否决任何或所有比选申请的权力</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7"/>
        </w:numPr>
        <w:spacing w:before="0" w:after="0" w:afterAutospacing="0"/>
        <w:ind w:left="0" w:right="0" w:firstLine="422" w:firstLineChars="200"/>
        <w:rPr>
          <w:rFonts w:hint="eastAsia" w:ascii="宋体" w:hAnsi="宋体" w:eastAsia="宋体" w:cs="宋体"/>
          <w:color w:val="auto"/>
          <w:sz w:val="21"/>
          <w:szCs w:val="21"/>
          <w:highlight w:val="none"/>
        </w:rPr>
      </w:pPr>
      <w:bookmarkStart w:id="1029" w:name="_Toc385427833"/>
      <w:bookmarkStart w:id="1030" w:name="_Toc673"/>
      <w:bookmarkStart w:id="1031" w:name="_Toc32424"/>
      <w:bookmarkStart w:id="1032" w:name="_Toc13596"/>
      <w:bookmarkStart w:id="1033" w:name="_Toc19943"/>
      <w:bookmarkStart w:id="1034" w:name="_Toc12065"/>
      <w:bookmarkStart w:id="1035" w:name="_Toc375039100"/>
      <w:bookmarkStart w:id="1036" w:name="_Toc30071"/>
      <w:bookmarkStart w:id="1037" w:name="_Toc5061"/>
      <w:bookmarkStart w:id="1038" w:name="_Toc19556"/>
      <w:bookmarkStart w:id="1039" w:name="_Toc2061"/>
      <w:bookmarkStart w:id="1040" w:name="_Toc20680"/>
      <w:bookmarkStart w:id="1041" w:name="_Toc921"/>
      <w:bookmarkStart w:id="1042" w:name="_Toc25750628"/>
      <w:bookmarkStart w:id="1043" w:name="_Toc383891208"/>
      <w:bookmarkStart w:id="1044" w:name="_Toc17953"/>
      <w:bookmarkStart w:id="1045" w:name="_Toc21798"/>
      <w:bookmarkStart w:id="1046" w:name="_Toc27683"/>
      <w:bookmarkStart w:id="1047" w:name="_Toc492478758"/>
      <w:bookmarkStart w:id="1048" w:name="_Toc22657"/>
      <w:bookmarkStart w:id="1049" w:name="_Toc10348"/>
      <w:bookmarkStart w:id="1050" w:name="_Toc390098459"/>
      <w:bookmarkStart w:id="1051" w:name="_Toc12983543"/>
      <w:bookmarkStart w:id="1052" w:name="_Toc13605"/>
      <w:bookmarkStart w:id="1053" w:name="_Toc9636"/>
      <w:r>
        <w:rPr>
          <w:rFonts w:hint="eastAsia" w:ascii="宋体" w:hAnsi="宋体" w:eastAsia="宋体" w:cs="宋体"/>
          <w:color w:val="auto"/>
          <w:sz w:val="21"/>
          <w:szCs w:val="21"/>
          <w:highlight w:val="none"/>
        </w:rPr>
        <w:t>中选通知书</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 在比选申请有效期截止前，在本须知第15条规定的比选申请有效期内，比选人以书面形式向中选人发出中选通知书。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34.2 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34.3 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34.4放弃中选人资格的处罚详见前附表。</w:t>
      </w:r>
    </w:p>
    <w:p>
      <w:pPr>
        <w:pStyle w:val="6"/>
        <w:numPr>
          <w:ilvl w:val="0"/>
          <w:numId w:val="7"/>
        </w:numPr>
        <w:spacing w:before="0" w:after="0" w:afterAutospacing="0"/>
        <w:ind w:left="0" w:right="0" w:firstLine="422" w:firstLineChars="200"/>
        <w:rPr>
          <w:rFonts w:hint="eastAsia" w:ascii="宋体" w:hAnsi="宋体" w:eastAsia="宋体" w:cs="宋体"/>
          <w:color w:val="auto"/>
          <w:sz w:val="21"/>
          <w:szCs w:val="21"/>
          <w:highlight w:val="none"/>
        </w:rPr>
      </w:pPr>
      <w:bookmarkStart w:id="1054" w:name="_Toc1780"/>
      <w:bookmarkStart w:id="1055" w:name="_Toc25208"/>
      <w:bookmarkStart w:id="1056" w:name="_Toc383891209"/>
      <w:bookmarkStart w:id="1057" w:name="_Toc2980"/>
      <w:bookmarkStart w:id="1058" w:name="_Toc28815"/>
      <w:bookmarkStart w:id="1059" w:name="_Toc29993"/>
      <w:bookmarkStart w:id="1060" w:name="_Toc390098460"/>
      <w:bookmarkStart w:id="1061" w:name="_Toc25750629"/>
      <w:bookmarkStart w:id="1062" w:name="_Toc375039101"/>
      <w:bookmarkStart w:id="1063" w:name="_Toc24240"/>
      <w:bookmarkStart w:id="1064" w:name="_Toc8628"/>
      <w:bookmarkStart w:id="1065" w:name="_Toc492478759"/>
      <w:bookmarkStart w:id="1066" w:name="_Toc12983544"/>
      <w:bookmarkStart w:id="1067" w:name="_Toc1862"/>
      <w:bookmarkStart w:id="1068" w:name="_Toc4190"/>
      <w:bookmarkStart w:id="1069" w:name="_Toc18694"/>
      <w:bookmarkStart w:id="1070" w:name="_Toc24885"/>
      <w:bookmarkStart w:id="1071" w:name="_Toc22442"/>
      <w:bookmarkStart w:id="1072" w:name="_Toc385427834"/>
      <w:bookmarkStart w:id="1073" w:name="_Toc21217"/>
      <w:bookmarkStart w:id="1074" w:name="_Toc5617"/>
      <w:bookmarkStart w:id="1075" w:name="_Toc30862"/>
      <w:bookmarkStart w:id="1076" w:name="_Toc21570"/>
      <w:bookmarkStart w:id="1077" w:name="_Toc15048"/>
      <w:bookmarkStart w:id="1078" w:name="_Toc5767"/>
      <w:r>
        <w:rPr>
          <w:rFonts w:hint="eastAsia" w:ascii="宋体" w:hAnsi="宋体" w:eastAsia="宋体" w:cs="宋体"/>
          <w:color w:val="auto"/>
          <w:sz w:val="21"/>
          <w:szCs w:val="21"/>
          <w:highlight w:val="none"/>
        </w:rPr>
        <w:t>签订合同</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35.1 中选人在收到中选通知书后，按比选文件的要求与比选人签订合同。</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35.2 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35.3 如果中选人没有按照上述第35.1条规定执行，比选人将有充分理由取消该中选决定。在此情况下，比选人可以按照评审委员会提出的中选候选人名单排序依次确定其他中选候选人为中选人，也可以重新比选。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35.4 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0" w:firstLine="422" w:firstLineChars="200"/>
        <w:rPr>
          <w:rFonts w:hint="eastAsia" w:ascii="宋体" w:hAnsi="宋体" w:eastAsia="宋体" w:cs="宋体"/>
          <w:color w:val="auto"/>
          <w:highlight w:val="none"/>
        </w:rPr>
      </w:pPr>
      <w:bookmarkStart w:id="1079" w:name="_Toc11412"/>
      <w:bookmarkStart w:id="1080" w:name="_Toc23817"/>
      <w:bookmarkStart w:id="1081" w:name="_Toc25483"/>
      <w:bookmarkStart w:id="1082" w:name="_Toc9981"/>
      <w:bookmarkStart w:id="1083" w:name="_Toc12983545"/>
      <w:bookmarkStart w:id="1084" w:name="_Toc16371"/>
      <w:bookmarkStart w:id="1085" w:name="_Toc8104"/>
      <w:bookmarkStart w:id="1086" w:name="_Toc16589"/>
      <w:bookmarkStart w:id="1087" w:name="_Toc5576"/>
      <w:bookmarkStart w:id="1088" w:name="_Toc390098461"/>
      <w:bookmarkStart w:id="1089" w:name="_Toc25750630"/>
      <w:bookmarkStart w:id="1090" w:name="_Toc20178"/>
      <w:bookmarkStart w:id="1091" w:name="_Toc385427835"/>
      <w:bookmarkStart w:id="1092" w:name="_Toc492478760"/>
      <w:bookmarkStart w:id="1093" w:name="_Toc29857"/>
      <w:bookmarkStart w:id="1094" w:name="_Toc11079"/>
      <w:bookmarkStart w:id="1095" w:name="_Toc24750"/>
      <w:bookmarkStart w:id="1096" w:name="_Toc9433"/>
      <w:bookmarkStart w:id="1097" w:name="_Toc17281"/>
      <w:bookmarkStart w:id="1098" w:name="_Toc375039102"/>
      <w:bookmarkStart w:id="1099" w:name="_Toc383891210"/>
      <w:bookmarkStart w:id="1100" w:name="_Toc31814"/>
      <w:bookmarkStart w:id="1101" w:name="_Toc25632"/>
      <w:bookmarkStart w:id="1102" w:name="_Toc6599"/>
      <w:r>
        <w:rPr>
          <w:rFonts w:hint="eastAsia" w:ascii="宋体" w:hAnsi="宋体" w:eastAsia="宋体" w:cs="宋体"/>
          <w:b/>
          <w:bCs/>
          <w:color w:val="auto"/>
          <w:highlight w:val="none"/>
        </w:rPr>
        <w:t>36.履约担保</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1103" w:name="_Toc25750631"/>
      <w:bookmarkStart w:id="1104" w:name="_Toc30169"/>
      <w:bookmarkStart w:id="1105" w:name="_Toc25988"/>
      <w:bookmarkStart w:id="1106" w:name="_Toc13615"/>
      <w:bookmarkStart w:id="1107" w:name="_Toc385427836"/>
      <w:bookmarkStart w:id="1108" w:name="_Toc383891211"/>
      <w:bookmarkStart w:id="1109" w:name="_Toc10399"/>
      <w:bookmarkStart w:id="1110" w:name="_Toc2637"/>
      <w:bookmarkStart w:id="1111" w:name="_Toc23115"/>
      <w:bookmarkStart w:id="1112" w:name="_Toc20351"/>
      <w:bookmarkStart w:id="1113" w:name="_Toc16584"/>
      <w:bookmarkStart w:id="1114" w:name="_Toc23677"/>
      <w:bookmarkStart w:id="1115" w:name="_Toc26808"/>
      <w:bookmarkStart w:id="1116" w:name="_Toc390098462"/>
      <w:bookmarkStart w:id="1117" w:name="_Toc492478761"/>
      <w:bookmarkStart w:id="1118" w:name="_Toc10480"/>
      <w:bookmarkStart w:id="1119" w:name="_Toc16212"/>
      <w:bookmarkStart w:id="1120" w:name="_Toc12983546"/>
      <w:bookmarkStart w:id="1121" w:name="_Toc21294"/>
      <w:bookmarkStart w:id="1122" w:name="_Toc11354"/>
      <w:bookmarkStart w:id="1123" w:name="_Toc24400"/>
      <w:bookmarkStart w:id="1124" w:name="_Toc25990"/>
      <w:bookmarkStart w:id="1125" w:name="_Toc375039103"/>
      <w:bookmarkStart w:id="1126" w:name="_Toc19122"/>
      <w:bookmarkStart w:id="1127" w:name="_Toc8178"/>
      <w:r>
        <w:rPr>
          <w:rFonts w:hint="eastAsia" w:ascii="宋体" w:hAnsi="宋体" w:cs="宋体"/>
          <w:color w:val="auto"/>
          <w:highlight w:val="none"/>
          <w:lang w:val="en-US" w:eastAsia="zh-CN"/>
        </w:rPr>
        <w:t>无。</w:t>
      </w:r>
    </w:p>
    <w:p>
      <w:pPr>
        <w:pStyle w:val="6"/>
        <w:numPr>
          <w:ilvl w:val="255"/>
          <w:numId w:val="0"/>
        </w:numPr>
        <w:spacing w:before="0" w:after="0" w:afterAutospacing="0"/>
        <w:ind w:left="1129" w:leftChars="20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37.其他</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 知识产权和专利权</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37.1.1 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37.1.2 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 保密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37.2.1 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37.2.2 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 比选申请人知悉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37.3.1 比选申请人将被视为已合理地充分了解了对所有影响本项目的事项，包括任何与项目和项目时间表有关的特殊困难。</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37.3.2 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37.5 需要补充的其他内容：详见比选申请须知前附表</w:t>
      </w:r>
    </w:p>
    <w:p>
      <w:pPr>
        <w:pStyle w:val="2"/>
        <w:pageBreakBefore/>
        <w:ind w:left="0" w:leftChars="0" w:right="-57" w:firstLine="0" w:firstLineChars="0"/>
        <w:jc w:val="center"/>
        <w:outlineLvl w:val="0"/>
        <w:rPr>
          <w:rStyle w:val="46"/>
          <w:rFonts w:ascii="宋体" w:hAnsi="宋体" w:eastAsia="宋体"/>
          <w:color w:val="auto"/>
          <w:highlight w:val="none"/>
        </w:rPr>
      </w:pPr>
      <w:bookmarkStart w:id="1128" w:name="_Toc12281"/>
      <w:bookmarkStart w:id="1129" w:name="_Toc1179"/>
      <w:bookmarkStart w:id="1130" w:name="_Toc13323"/>
      <w:bookmarkStart w:id="1131" w:name="_Toc21919"/>
      <w:bookmarkStart w:id="1132" w:name="_Toc7547"/>
      <w:bookmarkStart w:id="1133" w:name="_Toc1362"/>
      <w:bookmarkStart w:id="1134" w:name="_Toc14991"/>
      <w:bookmarkStart w:id="1135" w:name="_Toc26569"/>
      <w:bookmarkStart w:id="1136" w:name="_Toc25920"/>
      <w:bookmarkStart w:id="1137" w:name="_Toc23292"/>
      <w:bookmarkStart w:id="1138" w:name="_Toc4003"/>
      <w:bookmarkStart w:id="1139" w:name="_Toc15740"/>
      <w:bookmarkStart w:id="1140" w:name="_Toc22446"/>
      <w:bookmarkStart w:id="1141" w:name="_Toc1413"/>
      <w:bookmarkStart w:id="1142" w:name="_Toc28464"/>
      <w:bookmarkStart w:id="1143" w:name="_Toc31884"/>
      <w:bookmarkStart w:id="1144" w:name="_Toc16340"/>
      <w:bookmarkStart w:id="1145" w:name="_Toc17067"/>
      <w:bookmarkStart w:id="1146" w:name="_Toc11424"/>
      <w:bookmarkStart w:id="1147" w:name="_Toc17022"/>
      <w:bookmarkStart w:id="1148" w:name="_Toc17265"/>
      <w:bookmarkStart w:id="1149" w:name="_Toc9991"/>
      <w:bookmarkStart w:id="1150" w:name="_Toc9725"/>
      <w:bookmarkStart w:id="1151" w:name="_Toc7558"/>
      <w:bookmarkStart w:id="1152" w:name="_Toc2112"/>
      <w:bookmarkStart w:id="1153" w:name="_Toc6010"/>
      <w:bookmarkStart w:id="1154" w:name="_Toc9458"/>
      <w:r>
        <w:rPr>
          <w:rStyle w:val="46"/>
          <w:rFonts w:hint="eastAsia" w:ascii="宋体" w:hAnsi="宋体" w:eastAsia="宋体"/>
          <w:color w:val="auto"/>
          <w:highlight w:val="none"/>
        </w:rPr>
        <w:t>第三章合同条款及格式</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spacing w:before="0"/>
        <w:ind w:right="0"/>
        <w:jc w:val="center"/>
        <w:outlineLvl w:val="1"/>
        <w:rPr>
          <w:rFonts w:ascii="宋体" w:hAnsi="宋体"/>
          <w:b/>
          <w:color w:val="auto"/>
          <w:sz w:val="24"/>
          <w:szCs w:val="24"/>
          <w:highlight w:val="none"/>
        </w:rPr>
      </w:pPr>
      <w:bookmarkStart w:id="1155" w:name="_Toc31368"/>
      <w:bookmarkStart w:id="1156" w:name="_Toc7236"/>
      <w:bookmarkStart w:id="1157" w:name="_Toc32403"/>
      <w:bookmarkStart w:id="1158" w:name="_Toc1289"/>
      <w:bookmarkStart w:id="1159" w:name="_Toc13761"/>
      <w:bookmarkStart w:id="1160" w:name="_Toc4026"/>
      <w:bookmarkStart w:id="1161" w:name="_Toc14463"/>
      <w:bookmarkStart w:id="1162" w:name="_Toc7587"/>
      <w:bookmarkStart w:id="1163" w:name="_Toc6950"/>
      <w:bookmarkStart w:id="1164" w:name="_Toc16805"/>
      <w:bookmarkStart w:id="1165" w:name="_Toc29797"/>
      <w:bookmarkStart w:id="1166" w:name="_Toc20060"/>
      <w:bookmarkStart w:id="1167" w:name="_Toc26130"/>
      <w:bookmarkStart w:id="1168" w:name="_Toc15840"/>
      <w:bookmarkStart w:id="1169" w:name="_Toc25945"/>
      <w:bookmarkStart w:id="1170" w:name="_Toc25828"/>
      <w:bookmarkStart w:id="1171" w:name="_Toc21740"/>
      <w:bookmarkStart w:id="1172" w:name="_Toc23440"/>
      <w:bookmarkStart w:id="1173" w:name="_Toc12983547"/>
      <w:bookmarkStart w:id="1174" w:name="_Toc2618"/>
      <w:bookmarkStart w:id="1175" w:name="_Toc9038"/>
      <w:bookmarkStart w:id="1176" w:name="_Toc15167"/>
      <w:bookmarkStart w:id="1177" w:name="_Toc6190"/>
      <w:bookmarkStart w:id="1178" w:name="_Toc3488"/>
      <w:bookmarkStart w:id="1179" w:name="_Toc6488"/>
      <w:bookmarkStart w:id="1180" w:name="_Toc8999"/>
      <w:r>
        <w:rPr>
          <w:rFonts w:hint="eastAsia" w:ascii="宋体" w:hAnsi="宋体"/>
          <w:b/>
          <w:color w:val="auto"/>
          <w:sz w:val="24"/>
          <w:szCs w:val="24"/>
          <w:highlight w:val="none"/>
        </w:rPr>
        <w:t>一、合同协议书</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spacing w:before="0" w:after="0" w:afterAutospacing="0"/>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甲方（全称）：南宁轨道交通运营有限公司</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乙方（全称）：</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本协议由南宁轨道交通运营有限公司（下称“甲方”或业主）与</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（下称“乙方”），双方根据</w:t>
      </w:r>
      <w:r>
        <w:rPr>
          <w:rFonts w:hint="eastAsia" w:ascii="宋体" w:hAnsi="宋体"/>
          <w:color w:val="auto"/>
          <w:highlight w:val="none"/>
          <w:lang w:eastAsia="zh-CN"/>
        </w:rPr>
        <w:t>运营公司安全生产标准化建设一级达标评价项目（2024年-2026年）</w:t>
      </w:r>
      <w:r>
        <w:rPr>
          <w:rFonts w:hint="eastAsia" w:ascii="宋体" w:hAnsi="宋体" w:eastAsia="宋体" w:cs="宋体"/>
          <w:color w:val="auto"/>
          <w:highlight w:val="none"/>
        </w:rPr>
        <w:t>（项目编号：202401100001）比选结果，依据《中华人民共和国民法典》的规定，签订协议。具体内容如下：</w:t>
      </w:r>
    </w:p>
    <w:p>
      <w:pPr>
        <w:tabs>
          <w:tab w:val="left" w:pos="1134"/>
          <w:tab w:val="left" w:pos="1680"/>
        </w:tabs>
        <w:spacing w:before="0" w:after="0" w:afterAutospacing="0"/>
        <w:ind w:left="0" w:right="0" w:firstLine="422"/>
        <w:rPr>
          <w:rFonts w:hint="eastAsia" w:ascii="宋体" w:hAnsi="宋体" w:eastAsia="宋体" w:cs="宋体"/>
          <w:b/>
          <w:color w:val="auto"/>
          <w:highlight w:val="none"/>
        </w:rPr>
      </w:pPr>
      <w:r>
        <w:rPr>
          <w:rFonts w:hint="eastAsia" w:ascii="宋体" w:hAnsi="宋体" w:eastAsia="宋体" w:cs="宋体"/>
          <w:b/>
          <w:color w:val="auto"/>
          <w:highlight w:val="none"/>
        </w:rPr>
        <w:t>1、项目概况</w:t>
      </w:r>
    </w:p>
    <w:p>
      <w:pPr>
        <w:tabs>
          <w:tab w:val="left" w:pos="1134"/>
          <w:tab w:val="left" w:pos="1680"/>
        </w:tabs>
        <w:spacing w:before="0" w:after="0" w:afterAutospacing="0"/>
        <w:ind w:left="0" w:right="0" w:firstLine="420"/>
        <w:rPr>
          <w:rFonts w:hint="eastAsia" w:ascii="宋体" w:hAnsi="宋体"/>
          <w:color w:val="auto"/>
          <w:highlight w:val="none"/>
          <w:lang w:eastAsia="zh-CN"/>
        </w:rPr>
      </w:pPr>
      <w:r>
        <w:rPr>
          <w:rFonts w:hint="eastAsia" w:ascii="宋体" w:hAnsi="宋体" w:eastAsia="宋体" w:cs="宋体"/>
          <w:color w:val="auto"/>
          <w:highlight w:val="none"/>
        </w:rPr>
        <w:t>1.1 项目名称：</w:t>
      </w:r>
      <w:r>
        <w:rPr>
          <w:rFonts w:hint="eastAsia" w:ascii="宋体" w:hAnsi="宋体"/>
          <w:color w:val="auto"/>
          <w:highlight w:val="none"/>
          <w:lang w:eastAsia="zh-CN"/>
        </w:rPr>
        <w:t>运营公司安全生产标准化建设一级达标评价项目（2024年-2026年）</w:t>
      </w:r>
    </w:p>
    <w:p>
      <w:pPr>
        <w:tabs>
          <w:tab w:val="left" w:pos="1134"/>
          <w:tab w:val="left" w:pos="1680"/>
        </w:tabs>
        <w:spacing w:before="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t>1.2项目实施地点：</w:t>
      </w:r>
      <w:r>
        <w:rPr>
          <w:rFonts w:hint="eastAsia" w:ascii="宋体" w:hAnsi="宋体"/>
          <w:color w:val="auto"/>
          <w:highlight w:val="none"/>
        </w:rPr>
        <w:t>南宁轨道交通运营公司的运营线路车站、控制中心、车辆段（基地）、停车场、主所等。</w:t>
      </w:r>
    </w:p>
    <w:p>
      <w:pPr>
        <w:spacing w:before="0" w:after="0" w:afterAutospacing="0"/>
        <w:ind w:left="0" w:right="0" w:firstLine="420" w:firstLineChars="200"/>
        <w:rPr>
          <w:rFonts w:hint="eastAsia" w:ascii="宋体" w:hAnsi="宋体"/>
          <w:color w:val="auto"/>
          <w:highlight w:val="none"/>
        </w:rPr>
      </w:pPr>
      <w:r>
        <w:rPr>
          <w:rFonts w:hint="eastAsia" w:ascii="宋体" w:hAnsi="宋体" w:eastAsia="宋体" w:cs="宋体"/>
          <w:color w:val="auto"/>
          <w:highlight w:val="none"/>
        </w:rPr>
        <w:t>1.3项目范围：</w:t>
      </w:r>
      <w:r>
        <w:rPr>
          <w:rFonts w:hint="eastAsia" w:ascii="宋体" w:hAnsi="宋体"/>
          <w:color w:val="auto"/>
          <w:highlight w:val="none"/>
        </w:rPr>
        <w:t>对南宁轨道交通运营公司现有运营线路、车辆段、主所，设备设施等在一级安全生产标准化要求下的安全管理现状（包括目标与考核、管理机构和人员、安全责任体系、资质、法律法规与安全生产管理制度、安全投入、设备设施、作业安全、教育培训、运营突发事件和重大故障管理、风险管理、隐患排查和治理。职业健康、安全文化、应急管理、事故报告调查处理、绩效评定与持续改进等）、安全管理水平和风险管控能力，是否符合一级安全生产标准化要求和是否能持续达标。</w:t>
      </w:r>
    </w:p>
    <w:p>
      <w:pPr>
        <w:tabs>
          <w:tab w:val="left" w:pos="1134"/>
          <w:tab w:val="left" w:pos="1680"/>
        </w:tabs>
        <w:spacing w:before="0" w:after="0" w:afterAutospacing="0"/>
        <w:ind w:left="0" w:right="0" w:firstLine="420"/>
        <w:rPr>
          <w:rFonts w:hint="eastAsia" w:ascii="宋体" w:hAnsi="宋体" w:eastAsia="宋体" w:cs="宋体"/>
          <w:color w:val="auto"/>
          <w:highlight w:val="none"/>
        </w:rPr>
      </w:pPr>
      <w:r>
        <w:rPr>
          <w:rFonts w:hint="eastAsia" w:ascii="宋体" w:hAnsi="宋体"/>
          <w:color w:val="auto"/>
          <w:highlight w:val="none"/>
        </w:rPr>
        <w:t>该项目是对现有运营线路、车辆段、主所、设备设施等安全管理现状、安全管理水平和安全防范能力进行评价，提供为期一天的安全生产标准化培训（线上）。项目含2024年安全生产标准化现场一级达标评价（换证）及后续两年年度自评审核工作，颁发证书和年度稽查合格证明、每年度一次的安全生产标准化培训（线上）等</w:t>
      </w:r>
      <w:r>
        <w:rPr>
          <w:rFonts w:hint="eastAsia" w:ascii="宋体" w:hAnsi="宋体" w:eastAsia="宋体"/>
          <w:color w:val="auto"/>
          <w:szCs w:val="21"/>
          <w:highlight w:val="none"/>
        </w:rPr>
        <w:t>。</w:t>
      </w:r>
      <w:r>
        <w:rPr>
          <w:rFonts w:hint="eastAsia" w:ascii="宋体" w:hAnsi="宋体" w:eastAsia="宋体"/>
          <w:color w:val="auto"/>
          <w:highlight w:val="none"/>
        </w:rPr>
        <w:t>具体详见用户需求书。</w:t>
      </w:r>
    </w:p>
    <w:p>
      <w:pPr>
        <w:tabs>
          <w:tab w:val="left" w:pos="1134"/>
          <w:tab w:val="left" w:pos="1680"/>
        </w:tabs>
        <w:spacing w:before="0" w:after="0" w:afterAutospacing="0"/>
        <w:ind w:left="0" w:right="0" w:firstLine="422"/>
        <w:rPr>
          <w:rFonts w:hint="eastAsia" w:ascii="宋体" w:hAnsi="宋体" w:eastAsia="宋体" w:cs="宋体"/>
          <w:b/>
          <w:color w:val="auto"/>
          <w:highlight w:val="none"/>
        </w:rPr>
      </w:pPr>
      <w:r>
        <w:rPr>
          <w:rFonts w:hint="eastAsia" w:ascii="宋体" w:hAnsi="宋体" w:eastAsia="宋体" w:cs="宋体"/>
          <w:b/>
          <w:color w:val="auto"/>
          <w:highlight w:val="none"/>
        </w:rPr>
        <w:t>2、合同标的</w:t>
      </w:r>
    </w:p>
    <w:p>
      <w:pPr>
        <w:tabs>
          <w:tab w:val="left" w:pos="567"/>
        </w:tabs>
        <w:spacing w:before="0" w:after="0" w:afterAutospacing="0"/>
        <w:ind w:left="0" w:right="0" w:firstLine="420" w:firstLineChars="200"/>
        <w:rPr>
          <w:rFonts w:hint="eastAsia" w:ascii="宋体" w:hAnsi="宋体" w:cs="宋体"/>
          <w:color w:val="auto"/>
          <w:kern w:val="2"/>
          <w:highlight w:val="none"/>
        </w:rPr>
      </w:pPr>
      <w:r>
        <w:rPr>
          <w:rFonts w:hint="eastAsia" w:ascii="宋体" w:hAnsi="宋体" w:eastAsia="宋体" w:cs="宋体"/>
          <w:color w:val="auto"/>
          <w:highlight w:val="none"/>
        </w:rPr>
        <w:t>甲方同意接受，乙方同意作为中选方并以下列第3条所述价格提供</w:t>
      </w:r>
      <w:r>
        <w:rPr>
          <w:rFonts w:hint="eastAsia" w:ascii="宋体" w:hAnsi="宋体"/>
          <w:color w:val="auto"/>
          <w:highlight w:val="none"/>
          <w:lang w:eastAsia="zh-CN"/>
        </w:rPr>
        <w:t>运营公司安全生产标准化建设一级达标评价项目（2024年-2026年）</w:t>
      </w:r>
      <w:r>
        <w:rPr>
          <w:rFonts w:hint="eastAsia" w:ascii="宋体" w:hAnsi="宋体" w:eastAsia="宋体" w:cs="宋体"/>
          <w:color w:val="auto"/>
          <w:highlight w:val="none"/>
        </w:rPr>
        <w:t>项下的合同标的。</w:t>
      </w:r>
      <w:r>
        <w:rPr>
          <w:rFonts w:hint="eastAsia" w:ascii="宋体" w:hAnsi="宋体" w:eastAsia="宋体" w:cs="宋体"/>
          <w:color w:val="auto"/>
          <w:kern w:val="2"/>
          <w:highlight w:val="none"/>
        </w:rPr>
        <w:t>本次合同的标的为</w:t>
      </w:r>
      <w:r>
        <w:rPr>
          <w:rFonts w:hint="eastAsia" w:ascii="宋体" w:hAnsi="宋体" w:cs="宋体"/>
          <w:color w:val="auto"/>
          <w:kern w:val="2"/>
          <w:highlight w:val="none"/>
        </w:rPr>
        <w:t>对南宁轨道交通运营公司现有运营线路、车辆段、主所，设备设施等在一级安全生产标准化要求下的安全管理现状（包括目标与考核、管理机构和人员、安全责任体系、资质、法律法规与安全生产管理制度、安全投入、设备设施、作业安全、教育培训、运营突发事件和重大故障管理、风险管理、隐患排查和治理。职业健康、安全文化、应急管理、事故报告调查处理、绩效评定与持续改进等）、安全管理水平和风险管控能力，是否符合一级安全生产标准化要求和是否能持续达标。</w:t>
      </w:r>
    </w:p>
    <w:p>
      <w:pPr>
        <w:tabs>
          <w:tab w:val="left" w:pos="567"/>
        </w:tabs>
        <w:spacing w:before="0" w:after="0" w:afterAutospacing="0"/>
        <w:ind w:left="0" w:right="0" w:firstLine="420" w:firstLineChars="200"/>
        <w:rPr>
          <w:rFonts w:hint="eastAsia" w:ascii="宋体" w:hAnsi="宋体" w:eastAsia="宋体" w:cs="宋体"/>
          <w:color w:val="auto"/>
          <w:kern w:val="2"/>
          <w:highlight w:val="none"/>
        </w:rPr>
      </w:pPr>
      <w:r>
        <w:rPr>
          <w:rFonts w:hint="eastAsia" w:ascii="宋体" w:hAnsi="宋体" w:cs="宋体"/>
          <w:color w:val="auto"/>
          <w:kern w:val="2"/>
          <w:highlight w:val="none"/>
        </w:rPr>
        <w:t>该项目是对现有运营线路、车辆段、主所、设备设施等安全管理现状、安全管理水平和安全防范能力进行评价，提供为期一天的安全生产标准化培训（线上）。项目含2024年安全生产标准化现场一级达标评价（换证）及后续两年年度自评审核工作，颁发证书和年度稽查合格证明、每年度一次的安全生产标准化培训（线上）等。</w:t>
      </w:r>
      <w:r>
        <w:rPr>
          <w:rFonts w:hint="eastAsia" w:ascii="宋体" w:hAnsi="宋体" w:eastAsia="宋体" w:cs="宋体"/>
          <w:color w:val="auto"/>
          <w:kern w:val="2"/>
          <w:highlight w:val="none"/>
        </w:rPr>
        <w:t>具体详见</w:t>
      </w:r>
      <w:r>
        <w:rPr>
          <w:rFonts w:hint="eastAsia" w:ascii="宋体" w:hAnsi="宋体" w:eastAsia="宋体" w:cs="宋体"/>
          <w:color w:val="auto"/>
          <w:kern w:val="2"/>
          <w:highlight w:val="none"/>
          <w:lang w:val="en-US" w:eastAsia="zh-CN"/>
        </w:rPr>
        <w:t>技术规格书</w:t>
      </w:r>
      <w:r>
        <w:rPr>
          <w:rFonts w:hint="eastAsia" w:ascii="宋体" w:hAnsi="宋体" w:eastAsia="宋体" w:cs="宋体"/>
          <w:color w:val="auto"/>
          <w:kern w:val="2"/>
          <w:highlight w:val="none"/>
        </w:rPr>
        <w:t>。</w:t>
      </w:r>
    </w:p>
    <w:p>
      <w:pPr>
        <w:tabs>
          <w:tab w:val="left" w:pos="567"/>
        </w:tabs>
        <w:spacing w:before="0" w:after="0" w:afterAutospacing="0"/>
        <w:ind w:left="0" w:right="0"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3、合同价格</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本项目合同价格：</w:t>
      </w:r>
      <w:r>
        <w:rPr>
          <w:rFonts w:hint="eastAsia" w:ascii="宋体" w:hAnsi="宋体"/>
          <w:color w:val="auto"/>
          <w:highlight w:val="none"/>
        </w:rPr>
        <w:t>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s="宋体"/>
          <w:color w:val="auto"/>
          <w:highlight w:val="none"/>
          <w:lang w:eastAsia="zh-CN"/>
        </w:rPr>
        <w:t>。</w:t>
      </w:r>
      <w:r>
        <w:rPr>
          <w:rFonts w:hint="eastAsia" w:ascii="宋体" w:hAnsi="宋体" w:eastAsia="宋体" w:cs="宋体"/>
          <w:color w:val="auto"/>
          <w:highlight w:val="none"/>
        </w:rPr>
        <w:t>本合同价格为</w:t>
      </w:r>
      <w:r>
        <w:rPr>
          <w:rFonts w:hint="eastAsia" w:ascii="宋体" w:hAnsi="宋体" w:cs="宋体"/>
          <w:color w:val="auto"/>
          <w:highlight w:val="none"/>
          <w:lang w:val="en-US" w:eastAsia="zh-CN"/>
        </w:rPr>
        <w:t>总价包干</w:t>
      </w:r>
      <w:r>
        <w:rPr>
          <w:rFonts w:hint="eastAsia" w:ascii="宋体" w:hAnsi="宋体" w:eastAsia="宋体" w:cs="宋体"/>
          <w:color w:val="auto"/>
          <w:highlight w:val="none"/>
        </w:rPr>
        <w:t>，</w:t>
      </w:r>
      <w:r>
        <w:rPr>
          <w:rFonts w:hint="eastAsia" w:ascii="宋体" w:hAnsi="宋体" w:eastAsia="宋体" w:cs="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4</w:t>
      </w:r>
      <w:r>
        <w:rPr>
          <w:rFonts w:hint="eastAsia" w:ascii="宋体" w:hAnsi="宋体" w:cs="宋体"/>
          <w:b/>
          <w:color w:val="auto"/>
          <w:highlight w:val="none"/>
          <w:lang w:eastAsia="zh-CN"/>
        </w:rPr>
        <w:t>、</w:t>
      </w:r>
      <w:r>
        <w:rPr>
          <w:rFonts w:hint="eastAsia" w:ascii="宋体" w:hAnsi="宋体" w:eastAsia="宋体" w:cs="宋体"/>
          <w:b/>
          <w:color w:val="auto"/>
          <w:highlight w:val="none"/>
        </w:rPr>
        <w:t>本合同由下列文件构成</w:t>
      </w:r>
      <w:r>
        <w:rPr>
          <w:rFonts w:hint="eastAsia" w:ascii="宋体" w:hAnsi="宋体" w:eastAsia="宋体" w:cs="宋体"/>
          <w:color w:val="auto"/>
          <w:highlight w:val="none"/>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（1）本合同协议书（含合同谈判过程中的澄清文件和补充资料）；</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（2）中选通知书；</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（3）合同条款；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（4）价格组成文件；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（5）技术规格书；</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（6）合同附件；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（7）比选文件（含比选补充文件）；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（8）比选申请文件（含比选申请文件的补充文件）。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乙方向甲方承诺严格履行合同条款义务，按合同约定承担本合同责任。</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cs="宋体"/>
          <w:color w:val="auto"/>
          <w:highlight w:val="none"/>
          <w:lang w:eastAsia="zh-CN"/>
        </w:rPr>
        <w:t>、</w:t>
      </w:r>
      <w:r>
        <w:rPr>
          <w:rFonts w:hint="eastAsia" w:ascii="宋体" w:hAnsi="宋体" w:eastAsia="宋体" w:cs="宋体"/>
          <w:color w:val="auto"/>
          <w:highlight w:val="none"/>
        </w:rPr>
        <w:t>双方依据本次比选文件中的用户需求书，通过合同澄清最终形成技术规格书，并经双方正式签署后构成本合同的有效组成部分。在本合同执行中以技术规格书为准。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cs="宋体"/>
          <w:color w:val="auto"/>
          <w:highlight w:val="none"/>
          <w:lang w:eastAsia="zh-CN"/>
        </w:rPr>
        <w:t>、</w:t>
      </w:r>
      <w:r>
        <w:rPr>
          <w:rFonts w:hint="eastAsia" w:ascii="宋体" w:hAnsi="宋体" w:eastAsia="宋体" w:cs="宋体"/>
          <w:color w:val="auto"/>
          <w:highlight w:val="none"/>
        </w:rPr>
        <w:t>甲方向乙方承诺按合同条款约定的条件、时间和方式支付合同价款。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cs="宋体"/>
          <w:color w:val="auto"/>
          <w:highlight w:val="none"/>
          <w:lang w:eastAsia="zh-CN"/>
        </w:rPr>
        <w:t>、</w:t>
      </w:r>
      <w:r>
        <w:rPr>
          <w:rFonts w:hint="eastAsia" w:ascii="宋体" w:hAnsi="宋体" w:eastAsia="宋体" w:cs="宋体"/>
          <w:color w:val="auto"/>
          <w:highlight w:val="none"/>
        </w:rPr>
        <w:t>甲方、乙方承诺按照合同条款约定的违约责任和解决争议方式履行合同。</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w:t>
      </w:r>
      <w:r>
        <w:rPr>
          <w:rFonts w:hint="eastAsia" w:ascii="宋体" w:hAnsi="宋体" w:cs="宋体"/>
          <w:color w:val="auto"/>
          <w:highlight w:val="none"/>
          <w:lang w:eastAsia="zh-CN"/>
        </w:rPr>
        <w:t>、</w:t>
      </w:r>
      <w:r>
        <w:rPr>
          <w:rFonts w:hint="eastAsia" w:ascii="宋体" w:hAnsi="宋体" w:eastAsia="宋体" w:cs="宋体"/>
          <w:color w:val="auto"/>
          <w:highlight w:val="none"/>
        </w:rPr>
        <w:t>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cs="宋体"/>
          <w:color w:val="auto"/>
          <w:highlight w:val="none"/>
          <w:lang w:eastAsia="zh-CN"/>
        </w:rPr>
        <w:t>、</w:t>
      </w:r>
      <w:r>
        <w:rPr>
          <w:rFonts w:hint="eastAsia" w:ascii="宋体" w:hAnsi="宋体" w:eastAsia="宋体" w:cs="宋体"/>
          <w:color w:val="auto"/>
          <w:highlight w:val="none"/>
        </w:rPr>
        <w:t>本合同用中文书写，正本</w:t>
      </w:r>
      <w:r>
        <w:rPr>
          <w:rFonts w:hint="eastAsia" w:ascii="宋体" w:hAnsi="宋体" w:eastAsia="宋体" w:cs="宋体"/>
          <w:color w:val="auto"/>
          <w:highlight w:val="none"/>
          <w:u w:val="single"/>
        </w:rPr>
        <w:t>2</w:t>
      </w:r>
      <w:r>
        <w:rPr>
          <w:rFonts w:hint="eastAsia" w:ascii="宋体" w:hAnsi="宋体" w:eastAsia="宋体" w:cs="宋体"/>
          <w:color w:val="auto"/>
          <w:highlight w:val="none"/>
        </w:rPr>
        <w:t>份，甲乙方各</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lang w:val="en-US" w:eastAsia="zh-CN"/>
        </w:rPr>
        <w:t>6</w:t>
      </w:r>
      <w:r>
        <w:rPr>
          <w:rFonts w:hint="eastAsia" w:ascii="宋体" w:hAnsi="宋体" w:eastAsia="宋体" w:cs="宋体"/>
          <w:color w:val="auto"/>
          <w:highlight w:val="none"/>
        </w:rPr>
        <w:t xml:space="preserve">份，甲方持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份，乙方持</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份。</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cs="宋体"/>
          <w:color w:val="auto"/>
          <w:highlight w:val="none"/>
          <w:lang w:eastAsia="zh-CN"/>
        </w:rPr>
        <w:t>、</w:t>
      </w:r>
      <w:r>
        <w:rPr>
          <w:rFonts w:hint="eastAsia" w:ascii="宋体" w:hAnsi="宋体" w:eastAsia="宋体" w:cs="宋体"/>
          <w:color w:val="auto"/>
          <w:highlight w:val="none"/>
        </w:rPr>
        <w:t>本合同协议书经双方法定代表人或授权代表在合同协议书上签字并加盖单位公章</w:t>
      </w:r>
      <w:r>
        <w:rPr>
          <w:rFonts w:hint="eastAsia" w:ascii="宋体" w:hAnsi="宋体" w:eastAsia="宋体" w:cs="宋体"/>
          <w:color w:val="auto"/>
          <w:highlight w:val="none"/>
          <w:lang w:val="en-US" w:eastAsia="zh-CN"/>
        </w:rPr>
        <w:t>或合同章</w:t>
      </w:r>
      <w:r>
        <w:rPr>
          <w:rFonts w:hint="eastAsia" w:ascii="宋体" w:hAnsi="宋体" w:eastAsia="宋体" w:cs="宋体"/>
          <w:color w:val="auto"/>
          <w:highlight w:val="none"/>
        </w:rPr>
        <w:t>后生效。</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w:t>
      </w:r>
      <w:r>
        <w:rPr>
          <w:rFonts w:hint="eastAsia" w:ascii="宋体" w:hAnsi="宋体" w:cs="宋体"/>
          <w:color w:val="auto"/>
          <w:highlight w:val="none"/>
          <w:lang w:eastAsia="zh-CN"/>
        </w:rPr>
        <w:t>、</w:t>
      </w:r>
      <w:r>
        <w:rPr>
          <w:rFonts w:hint="eastAsia" w:ascii="宋体" w:hAnsi="宋体" w:eastAsia="宋体" w:cs="宋体"/>
          <w:color w:val="auto"/>
          <w:highlight w:val="none"/>
        </w:rPr>
        <w:t>合同未尽事宜，双方另行签订补充协议。</w:t>
      </w:r>
    </w:p>
    <w:tbl>
      <w:tblPr>
        <w:tblStyle w:val="33"/>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none"/>
              </w:rPr>
              <w:t>南宁轨道交通运营有限公司</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法定代表人或授权人：</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none"/>
              </w:rPr>
              <w:t>广西南宁市青秀区云景路83号</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传真：</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纳税人识别号：</w:t>
            </w:r>
          </w:p>
        </w:tc>
        <w:tc>
          <w:tcPr>
            <w:tcW w:w="4261" w:type="dxa"/>
          </w:tcPr>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法定代表人或授权人：</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联系电话：</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传真：</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开户银行：</w:t>
            </w:r>
          </w:p>
          <w:p>
            <w:pPr>
              <w:pStyle w:val="2"/>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纳税人识别号：</w:t>
            </w:r>
          </w:p>
        </w:tc>
      </w:tr>
    </w:tbl>
    <w:p>
      <w:pPr>
        <w:spacing w:before="0" w:after="0"/>
        <w:ind w:left="699" w:leftChars="333" w:right="0" w:firstLine="930" w:firstLineChars="441"/>
        <w:rPr>
          <w:rFonts w:ascii="宋体" w:hAnsi="宋体"/>
          <w:b/>
          <w:color w:val="auto"/>
          <w:highlight w:val="none"/>
          <w:u w:val="single"/>
        </w:rPr>
      </w:pPr>
      <w:r>
        <w:rPr>
          <w:rFonts w:hint="eastAsia" w:ascii="宋体" w:hAnsi="宋体"/>
          <w:b/>
          <w:color w:val="auto"/>
          <w:highlight w:val="none"/>
        </w:rPr>
        <w:t>签订时间：     年   月   日</w:t>
      </w:r>
    </w:p>
    <w:p>
      <w:pPr>
        <w:spacing w:before="0"/>
        <w:ind w:left="0" w:right="0" w:firstLine="0"/>
        <w:jc w:val="left"/>
        <w:rPr>
          <w:rFonts w:hint="eastAsia" w:ascii="宋体" w:hAnsi="宋体"/>
          <w:b/>
          <w:color w:val="auto"/>
          <w:sz w:val="24"/>
          <w:szCs w:val="24"/>
          <w:highlight w:val="none"/>
        </w:rPr>
      </w:pPr>
      <w:bookmarkStart w:id="1181" w:name="_Toc258"/>
      <w:bookmarkStart w:id="1182" w:name="_Toc18460"/>
      <w:bookmarkStart w:id="1183" w:name="_Toc11253"/>
      <w:bookmarkStart w:id="1184" w:name="_Toc10196"/>
      <w:bookmarkStart w:id="1185" w:name="_Toc4133"/>
      <w:bookmarkStart w:id="1186" w:name="_Toc9438"/>
      <w:bookmarkStart w:id="1187" w:name="_Toc16743"/>
      <w:bookmarkStart w:id="1188" w:name="_Toc10761"/>
      <w:bookmarkStart w:id="1189" w:name="_Toc12155"/>
      <w:bookmarkStart w:id="1190" w:name="_Toc7689"/>
      <w:bookmarkStart w:id="1191" w:name="_Toc24098"/>
      <w:bookmarkStart w:id="1192" w:name="_Toc24973"/>
      <w:bookmarkStart w:id="1193" w:name="_Toc25942"/>
      <w:bookmarkStart w:id="1194" w:name="_Toc7529"/>
      <w:bookmarkStart w:id="1195" w:name="_Toc29876"/>
      <w:bookmarkStart w:id="1196" w:name="_Toc997"/>
      <w:bookmarkStart w:id="1197" w:name="_Toc9188"/>
      <w:bookmarkStart w:id="1198" w:name="_Toc14469"/>
      <w:bookmarkStart w:id="1199" w:name="_Toc23998"/>
      <w:r>
        <w:rPr>
          <w:rFonts w:hint="eastAsia" w:ascii="宋体" w:hAnsi="宋体"/>
          <w:b/>
          <w:color w:val="auto"/>
          <w:sz w:val="24"/>
          <w:szCs w:val="24"/>
          <w:highlight w:val="none"/>
        </w:rPr>
        <w:br w:type="page"/>
      </w:r>
    </w:p>
    <w:p>
      <w:pPr>
        <w:spacing w:before="0"/>
        <w:ind w:right="0" w:firstLine="200"/>
        <w:jc w:val="center"/>
        <w:outlineLvl w:val="1"/>
        <w:rPr>
          <w:rFonts w:hint="eastAsia" w:ascii="宋体" w:hAnsi="宋体"/>
          <w:b/>
          <w:color w:val="auto"/>
          <w:sz w:val="24"/>
          <w:szCs w:val="24"/>
          <w:highlight w:val="none"/>
        </w:rPr>
      </w:pPr>
      <w:bookmarkStart w:id="1200" w:name="_Toc19469"/>
      <w:bookmarkStart w:id="1201" w:name="_Toc14314"/>
      <w:r>
        <w:rPr>
          <w:rFonts w:hint="eastAsia" w:ascii="宋体" w:hAnsi="宋体"/>
          <w:b/>
          <w:color w:val="auto"/>
          <w:sz w:val="24"/>
          <w:szCs w:val="24"/>
          <w:highlight w:val="none"/>
          <w:lang w:val="en-US" w:eastAsia="zh-CN"/>
        </w:rPr>
        <w:t>二</w:t>
      </w:r>
      <w:r>
        <w:rPr>
          <w:rFonts w:hint="eastAsia" w:ascii="宋体" w:hAnsi="宋体"/>
          <w:b/>
          <w:color w:val="auto"/>
          <w:sz w:val="24"/>
          <w:szCs w:val="24"/>
          <w:highlight w:val="none"/>
        </w:rPr>
        <w:t>、</w:t>
      </w:r>
      <w:r>
        <w:rPr>
          <w:rFonts w:hint="eastAsia" w:ascii="宋体" w:hAnsi="宋体"/>
          <w:b/>
          <w:color w:val="auto"/>
          <w:sz w:val="24"/>
          <w:szCs w:val="24"/>
          <w:highlight w:val="none"/>
          <w:lang w:val="en-US" w:eastAsia="zh-CN"/>
        </w:rPr>
        <w:t>中选通知</w:t>
      </w:r>
      <w:r>
        <w:rPr>
          <w:rFonts w:hint="eastAsia" w:ascii="宋体" w:hAnsi="宋体"/>
          <w:b/>
          <w:color w:val="auto"/>
          <w:sz w:val="24"/>
          <w:szCs w:val="24"/>
          <w:highlight w:val="none"/>
        </w:rPr>
        <w:t>书</w:t>
      </w:r>
      <w:bookmarkEnd w:id="1200"/>
      <w:bookmarkEnd w:id="1201"/>
    </w:p>
    <w:p>
      <w:pPr>
        <w:spacing w:before="0"/>
        <w:ind w:right="0" w:firstLine="0"/>
        <w:jc w:val="left"/>
        <w:outlineLvl w:val="9"/>
        <w:rPr>
          <w:color w:val="auto"/>
          <w:highlight w:val="none"/>
        </w:rPr>
      </w:pPr>
      <w:r>
        <w:rPr>
          <w:rFonts w:hint="eastAsia" w:ascii="宋体" w:hAnsi="宋体"/>
          <w:b/>
          <w:color w:val="auto"/>
          <w:sz w:val="24"/>
          <w:szCs w:val="24"/>
          <w:highlight w:val="none"/>
        </w:rPr>
        <w:br w:type="page"/>
      </w:r>
    </w:p>
    <w:p>
      <w:pPr>
        <w:spacing w:before="0"/>
        <w:ind w:right="0" w:firstLine="200"/>
        <w:jc w:val="center"/>
        <w:outlineLvl w:val="1"/>
        <w:rPr>
          <w:rFonts w:ascii="宋体" w:hAnsi="宋体"/>
          <w:b/>
          <w:color w:val="auto"/>
          <w:sz w:val="24"/>
          <w:szCs w:val="24"/>
          <w:highlight w:val="none"/>
        </w:rPr>
      </w:pPr>
      <w:bookmarkStart w:id="1202" w:name="_Toc12830"/>
      <w:bookmarkStart w:id="1203" w:name="_Toc5927"/>
      <w:bookmarkStart w:id="1204" w:name="_Toc31675"/>
      <w:bookmarkStart w:id="1205" w:name="_Toc32148"/>
      <w:bookmarkStart w:id="1206" w:name="_Toc6561"/>
      <w:bookmarkStart w:id="1207" w:name="_Toc31177"/>
      <w:r>
        <w:rPr>
          <w:rFonts w:hint="eastAsia" w:ascii="宋体" w:hAnsi="宋体"/>
          <w:b/>
          <w:color w:val="auto"/>
          <w:sz w:val="24"/>
          <w:szCs w:val="24"/>
          <w:highlight w:val="none"/>
          <w:lang w:val="en-US" w:eastAsia="zh-CN"/>
        </w:rPr>
        <w:t>三</w:t>
      </w:r>
      <w:r>
        <w:rPr>
          <w:rFonts w:hint="eastAsia" w:ascii="宋体" w:hAnsi="宋体"/>
          <w:b/>
          <w:color w:val="auto"/>
          <w:sz w:val="24"/>
          <w:szCs w:val="24"/>
          <w:highlight w:val="none"/>
        </w:rPr>
        <w:t>、合同条款</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2"/>
      <w:bookmarkEnd w:id="1203"/>
      <w:bookmarkEnd w:id="1204"/>
      <w:bookmarkEnd w:id="1205"/>
      <w:bookmarkEnd w:id="1206"/>
      <w:bookmarkEnd w:id="1207"/>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208" w:name="_Toc43"/>
      <w:bookmarkStart w:id="1209" w:name="_Toc390098464"/>
      <w:bookmarkStart w:id="1210" w:name="_Toc385427838"/>
      <w:bookmarkStart w:id="1211" w:name="_Toc15707"/>
      <w:bookmarkStart w:id="1212" w:name="_Toc31691"/>
      <w:bookmarkStart w:id="1213" w:name="_Toc7961"/>
      <w:bookmarkStart w:id="1214" w:name="_Toc28024"/>
      <w:bookmarkStart w:id="1215" w:name="_Toc4032"/>
      <w:bookmarkStart w:id="1216" w:name="_Toc25750635"/>
      <w:bookmarkStart w:id="1217" w:name="_Toc20484"/>
      <w:bookmarkStart w:id="1218" w:name="_Toc20354"/>
      <w:bookmarkStart w:id="1219" w:name="_Toc18605"/>
      <w:bookmarkStart w:id="1220" w:name="_Toc29932"/>
      <w:bookmarkStart w:id="1221" w:name="_Toc21601"/>
      <w:bookmarkStart w:id="1222" w:name="_Toc378514952"/>
      <w:bookmarkStart w:id="1223" w:name="_Toc370933855"/>
      <w:bookmarkStart w:id="1224" w:name="_Toc12256"/>
      <w:bookmarkStart w:id="1225" w:name="_Toc19176"/>
      <w:bookmarkStart w:id="1226" w:name="_Toc22880"/>
      <w:bookmarkStart w:id="1227" w:name="_Toc18727"/>
      <w:bookmarkStart w:id="1228" w:name="_Toc10730"/>
      <w:bookmarkStart w:id="1229" w:name="_Toc10362"/>
      <w:bookmarkStart w:id="1230" w:name="_Toc25643"/>
      <w:bookmarkStart w:id="1231" w:name="_Toc14287"/>
      <w:bookmarkStart w:id="1232" w:name="_Toc23374"/>
      <w:bookmarkStart w:id="1233" w:name="_Toc19920"/>
      <w:bookmarkStart w:id="1234" w:name="_Toc492478763"/>
      <w:bookmarkStart w:id="1235" w:name="_Toc2614"/>
      <w:bookmarkStart w:id="1236" w:name="_Toc12080"/>
      <w:bookmarkStart w:id="1237" w:name="_Toc6054"/>
      <w:bookmarkStart w:id="1238" w:name="_Toc16839"/>
      <w:r>
        <w:rPr>
          <w:rFonts w:hint="eastAsia" w:ascii="宋体" w:hAnsi="宋体" w:eastAsia="宋体" w:cs="宋体"/>
          <w:b/>
          <w:color w:val="auto"/>
          <w:highlight w:val="none"/>
        </w:rPr>
        <w:t>1.定义及解释</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numPr>
          <w:ilvl w:val="1"/>
          <w:numId w:val="8"/>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定义</w:t>
      </w:r>
    </w:p>
    <w:p>
      <w:pPr>
        <w:tabs>
          <w:tab w:val="left" w:pos="540"/>
          <w:tab w:val="left" w:pos="840"/>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在合同中，下列措辞和用语具有此处所赋予的他们的含义：</w:t>
      </w:r>
    </w:p>
    <w:p>
      <w:pPr>
        <w:numPr>
          <w:ilvl w:val="2"/>
          <w:numId w:val="9"/>
        </w:numPr>
        <w:tabs>
          <w:tab w:val="left" w:pos="106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合同文件（或称合同）：指合同协议书、中选通知书、合同条款、合同附件、用户需求书/技术规格书、招标投标文件和澄清文件及甲方对项目管理的有关规定等。</w:t>
      </w:r>
    </w:p>
    <w:p>
      <w:pPr>
        <w:numPr>
          <w:ilvl w:val="2"/>
          <w:numId w:val="9"/>
        </w:numPr>
        <w:tabs>
          <w:tab w:val="left" w:pos="106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“合同价格”指合同规定乙方在正确地完全履行合同义务后甲方应支付给乙方的金额。</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“合同条款”系指本合同条款。</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“甲方”或“业主”系指南宁轨道交通运营有限公司。</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“乙方”系指受甲方委托，负责本项目提供合同标的的法人和/或其他组织。</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“双方”系指甲方和乙方。</w:t>
      </w:r>
    </w:p>
    <w:p>
      <w:pPr>
        <w:numPr>
          <w:ilvl w:val="2"/>
          <w:numId w:val="8"/>
        </w:num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不可抗力：是指合同当事人在签订合同时不可预见，在合同履行过程中不可避免且不能克服的自然灾害和社会性突发事件，如地震、海啸、瘟疫、骚乱、戒严、暴动、战争和合同条款中约定的其他情形。</w:t>
      </w:r>
    </w:p>
    <w:p>
      <w:pPr>
        <w:numPr>
          <w:ilvl w:val="1"/>
          <w:numId w:val="8"/>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解释</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凡指当事人或各方的措辞应包括商行、公司以及具有法人资格的任何组织。仅表明单数形式的词也包括复数含义，视上下文需要而定，反之亦然。</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8"/>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239" w:name="_Toc390098465"/>
      <w:bookmarkStart w:id="1240" w:name="_Toc8477"/>
      <w:bookmarkStart w:id="1241" w:name="_Toc1169"/>
      <w:bookmarkStart w:id="1242" w:name="_Toc23305"/>
      <w:bookmarkStart w:id="1243" w:name="_Toc378514953"/>
      <w:bookmarkStart w:id="1244" w:name="_Toc18178"/>
      <w:bookmarkStart w:id="1245" w:name="_Toc13835"/>
      <w:bookmarkStart w:id="1246" w:name="_Toc15944"/>
      <w:bookmarkStart w:id="1247" w:name="_Toc385427839"/>
      <w:bookmarkStart w:id="1248" w:name="_Toc370933856"/>
      <w:bookmarkStart w:id="1249" w:name="_Toc9927"/>
      <w:bookmarkStart w:id="1250" w:name="_Toc7059"/>
      <w:bookmarkStart w:id="1251" w:name="_Toc7813"/>
      <w:bookmarkStart w:id="1252" w:name="_Toc25826"/>
      <w:bookmarkStart w:id="1253" w:name="_Toc5955"/>
      <w:bookmarkStart w:id="1254" w:name="_Toc32266"/>
      <w:bookmarkStart w:id="1255" w:name="_Toc3180"/>
      <w:bookmarkStart w:id="1256" w:name="_Toc19899"/>
      <w:bookmarkStart w:id="1257" w:name="_Toc7270"/>
      <w:bookmarkStart w:id="1258" w:name="_Toc30815"/>
      <w:bookmarkStart w:id="1259" w:name="_Toc9668"/>
      <w:bookmarkStart w:id="1260" w:name="_Toc23247"/>
      <w:bookmarkStart w:id="1261" w:name="_Toc492478764"/>
      <w:bookmarkStart w:id="1262" w:name="_Toc23112"/>
      <w:bookmarkStart w:id="1263" w:name="_Toc4301"/>
      <w:bookmarkStart w:id="1264" w:name="_Toc13812"/>
      <w:bookmarkStart w:id="1265" w:name="_Toc10198"/>
      <w:bookmarkStart w:id="1266" w:name="_Toc26988"/>
      <w:bookmarkStart w:id="1267" w:name="_Toc4212"/>
      <w:bookmarkStart w:id="1268" w:name="_Toc4255"/>
      <w:bookmarkStart w:id="1269" w:name="_Toc25750636"/>
      <w:r>
        <w:rPr>
          <w:rFonts w:hint="eastAsia" w:ascii="宋体" w:hAnsi="宋体" w:eastAsia="宋体" w:cs="宋体"/>
          <w:b/>
          <w:color w:val="auto"/>
          <w:highlight w:val="none"/>
        </w:rPr>
        <w:t>2.适用性</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tabs>
          <w:tab w:val="left" w:pos="540"/>
          <w:tab w:val="left" w:pos="840"/>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hint="eastAsia" w:ascii="宋体" w:hAnsi="宋体" w:eastAsia="宋体" w:cs="宋体"/>
          <w:color w:val="auto"/>
          <w:highlight w:val="none"/>
        </w:rPr>
      </w:pPr>
      <w:bookmarkStart w:id="1270" w:name="_Toc390098466"/>
      <w:bookmarkStart w:id="1271" w:name="_Toc5253"/>
      <w:bookmarkStart w:id="1272" w:name="_Toc647"/>
      <w:bookmarkStart w:id="1273" w:name="_Toc370933857"/>
      <w:bookmarkStart w:id="1274" w:name="_Toc12248"/>
      <w:bookmarkStart w:id="1275" w:name="_Toc4898"/>
      <w:bookmarkStart w:id="1276" w:name="_Toc25750637"/>
      <w:bookmarkStart w:id="1277" w:name="_Toc9306"/>
      <w:bookmarkStart w:id="1278" w:name="_Toc385427840"/>
      <w:bookmarkStart w:id="1279" w:name="_Toc15900"/>
      <w:bookmarkStart w:id="1280" w:name="_Toc4969"/>
      <w:bookmarkStart w:id="1281" w:name="_Toc378514954"/>
      <w:bookmarkStart w:id="1282" w:name="_Toc3131"/>
      <w:bookmarkStart w:id="1283" w:name="_Toc21065"/>
      <w:bookmarkStart w:id="1284" w:name="_Toc15308"/>
      <w:bookmarkStart w:id="1285" w:name="_Toc492478765"/>
      <w:bookmarkStart w:id="1286" w:name="_Toc19527"/>
      <w:bookmarkStart w:id="1287" w:name="_Toc21603"/>
      <w:bookmarkStart w:id="1288" w:name="_Toc23741"/>
      <w:bookmarkStart w:id="1289" w:name="_Toc29113"/>
      <w:bookmarkStart w:id="1290" w:name="_Toc11803"/>
      <w:bookmarkStart w:id="1291" w:name="_Toc3397"/>
      <w:bookmarkStart w:id="1292" w:name="_Toc17372"/>
      <w:bookmarkStart w:id="1293" w:name="_Toc4738"/>
      <w:bookmarkStart w:id="1294" w:name="_Toc9864"/>
      <w:bookmarkStart w:id="1295" w:name="_Toc13801"/>
      <w:bookmarkStart w:id="1296" w:name="_Toc8943"/>
      <w:bookmarkStart w:id="1297" w:name="_Toc14437"/>
      <w:bookmarkStart w:id="1298" w:name="_Toc26983"/>
      <w:bookmarkStart w:id="1299" w:name="_Toc3674"/>
      <w:bookmarkStart w:id="1300" w:name="_Toc18092"/>
      <w:r>
        <w:rPr>
          <w:rFonts w:hint="eastAsia" w:ascii="宋体" w:hAnsi="宋体" w:eastAsia="宋体" w:cs="宋体"/>
          <w:b/>
          <w:color w:val="auto"/>
          <w:highlight w:val="none"/>
        </w:rPr>
        <w:t>3.</w:t>
      </w:r>
      <w:r>
        <w:rPr>
          <w:rFonts w:hint="eastAsia" w:ascii="宋体" w:hAnsi="宋体" w:eastAsia="宋体" w:cs="宋体"/>
          <w:b/>
          <w:bCs/>
          <w:color w:val="auto"/>
          <w:highlight w:val="none"/>
        </w:rPr>
        <w:t>语言文字</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ind w:left="105" w:leftChars="50"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1"/>
        <w:rPr>
          <w:rFonts w:hint="eastAsia" w:ascii="宋体" w:hAnsi="宋体" w:eastAsia="宋体" w:cs="宋体"/>
          <w:color w:val="auto"/>
          <w:highlight w:val="none"/>
        </w:rPr>
      </w:pPr>
      <w:bookmarkStart w:id="1301" w:name="_Toc370933858"/>
      <w:bookmarkStart w:id="1302" w:name="_Toc23249"/>
      <w:bookmarkStart w:id="1303" w:name="_Toc14273"/>
      <w:bookmarkStart w:id="1304" w:name="_Toc10807"/>
      <w:bookmarkStart w:id="1305" w:name="_Toc18548"/>
      <w:bookmarkStart w:id="1306" w:name="_Toc2708"/>
      <w:bookmarkStart w:id="1307" w:name="_Toc19514"/>
      <w:bookmarkStart w:id="1308" w:name="_Toc17127"/>
      <w:bookmarkStart w:id="1309" w:name="_Toc11626"/>
      <w:bookmarkStart w:id="1310" w:name="_Toc16646"/>
      <w:bookmarkStart w:id="1311" w:name="_Toc25311"/>
      <w:bookmarkStart w:id="1312" w:name="_Toc378514955"/>
      <w:bookmarkStart w:id="1313" w:name="_Toc3318"/>
      <w:bookmarkStart w:id="1314" w:name="_Toc25750638"/>
      <w:bookmarkStart w:id="1315" w:name="_Toc21356"/>
      <w:bookmarkStart w:id="1316" w:name="_Toc3469"/>
      <w:bookmarkStart w:id="1317" w:name="_Toc23258"/>
      <w:bookmarkStart w:id="1318" w:name="_Toc11524"/>
      <w:bookmarkStart w:id="1319" w:name="_Toc27450"/>
      <w:bookmarkStart w:id="1320" w:name="_Toc12180"/>
      <w:bookmarkStart w:id="1321" w:name="_Toc385427841"/>
      <w:bookmarkStart w:id="1322" w:name="_Toc32756"/>
      <w:bookmarkStart w:id="1323" w:name="_Toc21042"/>
      <w:bookmarkStart w:id="1324" w:name="_Toc14713"/>
      <w:bookmarkStart w:id="1325" w:name="_Toc11953"/>
      <w:bookmarkStart w:id="1326" w:name="_Toc492478766"/>
      <w:bookmarkStart w:id="1327" w:name="_Toc30163"/>
      <w:bookmarkStart w:id="1328" w:name="_Toc390098467"/>
      <w:bookmarkStart w:id="1329" w:name="_Toc26980"/>
      <w:bookmarkStart w:id="1330" w:name="_Toc21289"/>
      <w:bookmarkStart w:id="1331" w:name="_Toc21641"/>
      <w:r>
        <w:rPr>
          <w:rFonts w:hint="eastAsia" w:ascii="宋体" w:hAnsi="宋体" w:eastAsia="宋体" w:cs="宋体"/>
          <w:b/>
          <w:color w:val="auto"/>
          <w:highlight w:val="none"/>
        </w:rPr>
        <w:t>4.</w:t>
      </w:r>
      <w:r>
        <w:rPr>
          <w:rFonts w:hint="eastAsia" w:ascii="宋体" w:hAnsi="宋体" w:eastAsia="宋体" w:cs="宋体"/>
          <w:b/>
          <w:bCs/>
          <w:color w:val="auto"/>
          <w:highlight w:val="none"/>
        </w:rPr>
        <w:t>适用法律、标准和规范</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numPr>
          <w:ilvl w:val="1"/>
          <w:numId w:val="10"/>
        </w:numPr>
        <w:tabs>
          <w:tab w:val="left" w:pos="84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适用于合同的法律包括国家现行法律、行政法规、部门规章，以及广西壮族自治区和南宁市的地方法规、地方政府规章。</w:t>
      </w:r>
    </w:p>
    <w:p>
      <w:pPr>
        <w:numPr>
          <w:ilvl w:val="1"/>
          <w:numId w:val="10"/>
        </w:numPr>
        <w:tabs>
          <w:tab w:val="left" w:pos="84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适用标准、规范。</w:t>
      </w:r>
    </w:p>
    <w:p>
      <w:pPr>
        <w:numPr>
          <w:ilvl w:val="255"/>
          <w:numId w:val="0"/>
        </w:numPr>
        <w:tabs>
          <w:tab w:val="left" w:pos="840"/>
        </w:tabs>
        <w:spacing w:before="0" w:after="0" w:afterAutospacing="0"/>
        <w:ind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332" w:name="_Toc18617"/>
      <w:bookmarkStart w:id="1333" w:name="_Toc5809"/>
      <w:bookmarkStart w:id="1334" w:name="_Toc20372"/>
      <w:bookmarkStart w:id="1335" w:name="_Toc13516"/>
      <w:bookmarkStart w:id="1336" w:name="_Toc14089"/>
      <w:bookmarkStart w:id="1337" w:name="_Toc27620"/>
      <w:bookmarkStart w:id="1338" w:name="_Toc2304"/>
      <w:bookmarkStart w:id="1339" w:name="_Toc2352"/>
      <w:bookmarkStart w:id="1340" w:name="_Toc390098468"/>
      <w:bookmarkStart w:id="1341" w:name="_Toc23631"/>
      <w:bookmarkStart w:id="1342" w:name="_Toc370933859"/>
      <w:bookmarkStart w:id="1343" w:name="_Toc4048"/>
      <w:bookmarkStart w:id="1344" w:name="_Toc13093"/>
      <w:bookmarkStart w:id="1345" w:name="_Toc492478767"/>
      <w:bookmarkStart w:id="1346" w:name="_Toc10995"/>
      <w:bookmarkStart w:id="1347" w:name="_Toc31912"/>
      <w:bookmarkStart w:id="1348" w:name="_Toc18813"/>
      <w:bookmarkStart w:id="1349" w:name="_Toc19358"/>
      <w:bookmarkStart w:id="1350" w:name="_Toc20288"/>
      <w:bookmarkStart w:id="1351" w:name="_Toc17081"/>
      <w:bookmarkStart w:id="1352" w:name="_Toc11487"/>
      <w:bookmarkStart w:id="1353" w:name="_Toc24783"/>
      <w:bookmarkStart w:id="1354" w:name="_Toc16769"/>
      <w:bookmarkStart w:id="1355" w:name="_Toc385427842"/>
      <w:bookmarkStart w:id="1356" w:name="_Toc25750639"/>
      <w:bookmarkStart w:id="1357" w:name="_Toc378514956"/>
      <w:bookmarkStart w:id="1358" w:name="_Toc23539"/>
      <w:bookmarkStart w:id="1359" w:name="_Toc22040"/>
      <w:bookmarkStart w:id="1360" w:name="_Toc3165"/>
      <w:bookmarkStart w:id="1361" w:name="_Toc28381"/>
      <w:bookmarkStart w:id="1362" w:name="_Toc5003"/>
      <w:r>
        <w:rPr>
          <w:rFonts w:hint="eastAsia" w:ascii="宋体" w:hAnsi="宋体" w:eastAsia="宋体" w:cs="宋体"/>
          <w:b/>
          <w:color w:val="auto"/>
          <w:highlight w:val="none"/>
        </w:rPr>
        <w:t>5.合同文件、资料及使用</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numPr>
          <w:ilvl w:val="1"/>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5.5</w:t>
      </w:r>
      <w:r>
        <w:rPr>
          <w:rFonts w:hint="eastAsia" w:ascii="宋体" w:hAnsi="宋体" w:eastAsia="宋体" w:cs="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5.6</w:t>
      </w:r>
      <w:r>
        <w:rPr>
          <w:rFonts w:hint="eastAsia" w:ascii="宋体" w:hAnsi="宋体" w:eastAsia="宋体" w:cs="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363" w:name="_Toc25750640"/>
      <w:bookmarkStart w:id="1364" w:name="_Toc2944"/>
      <w:bookmarkStart w:id="1365" w:name="_Toc8848"/>
      <w:bookmarkStart w:id="1366" w:name="_Toc12048"/>
      <w:bookmarkStart w:id="1367" w:name="_Toc17102"/>
      <w:bookmarkStart w:id="1368" w:name="_Toc15801"/>
      <w:bookmarkStart w:id="1369" w:name="_Toc2096"/>
      <w:bookmarkStart w:id="1370" w:name="_Toc4739"/>
      <w:bookmarkStart w:id="1371" w:name="_Toc18946"/>
      <w:bookmarkStart w:id="1372" w:name="_Toc16891"/>
      <w:bookmarkStart w:id="1373" w:name="_Toc32131"/>
      <w:bookmarkStart w:id="1374" w:name="_Toc378514957"/>
      <w:bookmarkStart w:id="1375" w:name="_Toc25049"/>
      <w:bookmarkStart w:id="1376" w:name="_Toc18841"/>
      <w:bookmarkStart w:id="1377" w:name="_Toc390098469"/>
      <w:bookmarkStart w:id="1378" w:name="_Toc385427843"/>
      <w:bookmarkStart w:id="1379" w:name="_Toc5930"/>
      <w:bookmarkStart w:id="1380" w:name="_Toc2340"/>
      <w:bookmarkStart w:id="1381" w:name="_Toc23542"/>
      <w:bookmarkStart w:id="1382" w:name="_Toc24189"/>
      <w:bookmarkStart w:id="1383" w:name="_Toc8233"/>
      <w:bookmarkStart w:id="1384" w:name="_Toc23274"/>
      <w:bookmarkStart w:id="1385" w:name="_Toc24896"/>
      <w:bookmarkStart w:id="1386" w:name="_Toc24677"/>
      <w:bookmarkStart w:id="1387" w:name="_Toc17908"/>
      <w:bookmarkStart w:id="1388" w:name="_Toc17100"/>
      <w:bookmarkStart w:id="1389" w:name="_Toc492478768"/>
      <w:bookmarkStart w:id="1390" w:name="_Toc370933860"/>
      <w:bookmarkStart w:id="1391" w:name="_Toc16793"/>
      <w:bookmarkStart w:id="1392" w:name="_Toc25104"/>
      <w:bookmarkStart w:id="1393" w:name="_Toc15277"/>
      <w:r>
        <w:rPr>
          <w:rFonts w:hint="eastAsia" w:ascii="宋体" w:hAnsi="宋体" w:eastAsia="宋体" w:cs="宋体"/>
          <w:b/>
          <w:color w:val="auto"/>
          <w:highlight w:val="none"/>
        </w:rPr>
        <w:t>6.知识产权</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numPr>
          <w:ilvl w:val="0"/>
          <w:numId w:val="12"/>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640"/>
          <w:tab w:val="left" w:pos="1843"/>
          <w:tab w:val="clear" w:pos="312"/>
        </w:tabs>
        <w:spacing w:before="0" w:after="0" w:afterAutospacing="0"/>
        <w:ind w:left="422" w:right="0" w:firstLine="0"/>
        <w:outlineLvl w:val="1"/>
        <w:rPr>
          <w:rFonts w:hint="eastAsia" w:ascii="宋体" w:hAnsi="宋体" w:cs="宋体"/>
          <w:b/>
          <w:color w:val="auto"/>
          <w:highlight w:val="none"/>
          <w:lang w:val="en-US" w:eastAsia="zh-CN"/>
        </w:rPr>
      </w:pPr>
      <w:bookmarkStart w:id="1394" w:name="_Toc12641"/>
      <w:bookmarkStart w:id="1395" w:name="_Toc10471"/>
      <w:bookmarkStart w:id="1396" w:name="_Toc6777"/>
      <w:bookmarkStart w:id="1397" w:name="_Toc25888"/>
      <w:bookmarkStart w:id="1398" w:name="_Toc21755"/>
      <w:bookmarkStart w:id="1399" w:name="_Toc2076"/>
      <w:bookmarkStart w:id="1400" w:name="_Toc21848"/>
      <w:bookmarkStart w:id="1401" w:name="_Toc11516"/>
      <w:bookmarkStart w:id="1402" w:name="_Toc7460"/>
      <w:bookmarkStart w:id="1403" w:name="_Toc21654"/>
      <w:bookmarkStart w:id="1404" w:name="_Toc19614"/>
      <w:bookmarkStart w:id="1405" w:name="_Toc1869"/>
      <w:bookmarkStart w:id="1406" w:name="_Toc17489"/>
      <w:bookmarkStart w:id="1407" w:name="_Toc7187"/>
      <w:bookmarkStart w:id="1408" w:name="_Toc828"/>
      <w:bookmarkStart w:id="1409" w:name="_Toc25858"/>
      <w:bookmarkStart w:id="1410" w:name="_Toc25327"/>
      <w:bookmarkStart w:id="1411" w:name="_Toc30403"/>
      <w:bookmarkStart w:id="1412" w:name="_Toc370933861"/>
      <w:bookmarkStart w:id="1413" w:name="_Toc17901"/>
      <w:bookmarkStart w:id="1414" w:name="_Toc492478769"/>
      <w:bookmarkStart w:id="1415" w:name="_Toc385427844"/>
      <w:bookmarkStart w:id="1416" w:name="_Toc24887"/>
      <w:bookmarkStart w:id="1417" w:name="_Toc7907"/>
      <w:bookmarkStart w:id="1418" w:name="_Toc20551"/>
      <w:bookmarkStart w:id="1419" w:name="_Toc390098470"/>
      <w:bookmarkStart w:id="1420" w:name="_Toc25750641"/>
      <w:bookmarkStart w:id="1421" w:name="_Toc29337"/>
      <w:bookmarkStart w:id="1422" w:name="_Toc29127"/>
      <w:bookmarkStart w:id="1423" w:name="_Toc378514958"/>
      <w:r>
        <w:rPr>
          <w:rFonts w:hint="eastAsia" w:ascii="宋体" w:hAnsi="宋体" w:cs="宋体"/>
          <w:b/>
          <w:color w:val="auto"/>
          <w:highlight w:val="none"/>
          <w:lang w:val="en-US" w:eastAsia="zh-CN"/>
        </w:rPr>
        <w:t>服务期</w:t>
      </w:r>
      <w:bookmarkEnd w:id="1394"/>
      <w:bookmarkEnd w:id="1395"/>
    </w:p>
    <w:p>
      <w:pPr>
        <w:numPr>
          <w:ilvl w:val="-1"/>
          <w:numId w:val="0"/>
        </w:numPr>
        <w:tabs>
          <w:tab w:val="left" w:pos="840"/>
        </w:tabs>
        <w:spacing w:before="0" w:after="0" w:afterAutospacing="0"/>
        <w:ind w:left="420" w:leftChars="200" w:right="0" w:firstLine="0" w:firstLine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合同期3年，共36个月（合同起止日期以合同约定为准）。</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424" w:name="_Toc18619"/>
      <w:bookmarkStart w:id="1425" w:name="_Toc23191"/>
      <w:r>
        <w:rPr>
          <w:rFonts w:hint="eastAsia" w:ascii="宋体" w:hAnsi="宋体" w:cs="宋体"/>
          <w:b/>
          <w:color w:val="auto"/>
          <w:highlight w:val="none"/>
          <w:lang w:val="en-US" w:eastAsia="zh-CN"/>
        </w:rPr>
        <w:t>8.</w:t>
      </w:r>
      <w:r>
        <w:rPr>
          <w:rFonts w:hint="eastAsia" w:ascii="宋体" w:hAnsi="宋体" w:eastAsia="宋体" w:cs="宋体"/>
          <w:b/>
          <w:color w:val="auto"/>
          <w:highlight w:val="none"/>
        </w:rPr>
        <w:t>履约担保</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lang w:val="en-US" w:eastAsia="zh-CN"/>
        </w:rPr>
      </w:pPr>
      <w:bookmarkStart w:id="1426" w:name="_Toc25873"/>
      <w:bookmarkStart w:id="1427" w:name="_Toc25750642"/>
      <w:bookmarkStart w:id="1428" w:name="_Toc26034"/>
      <w:bookmarkStart w:id="1429" w:name="_Toc20550"/>
      <w:bookmarkStart w:id="1430" w:name="_Toc7801"/>
      <w:bookmarkStart w:id="1431" w:name="_Toc2613"/>
      <w:bookmarkStart w:id="1432" w:name="_Toc32382"/>
      <w:bookmarkStart w:id="1433" w:name="_Toc5676"/>
      <w:bookmarkStart w:id="1434" w:name="_Toc31795"/>
      <w:bookmarkStart w:id="1435" w:name="_Toc21872"/>
      <w:bookmarkStart w:id="1436" w:name="_Toc97"/>
      <w:bookmarkStart w:id="1437" w:name="_Toc12113"/>
      <w:bookmarkStart w:id="1438" w:name="_Toc30234"/>
      <w:bookmarkStart w:id="1439" w:name="_Toc20252"/>
      <w:bookmarkStart w:id="1440" w:name="_Toc29729"/>
      <w:bookmarkStart w:id="1441" w:name="_Toc1990"/>
      <w:bookmarkStart w:id="1442" w:name="_Toc32711"/>
      <w:bookmarkStart w:id="1443" w:name="_Toc15512"/>
      <w:bookmarkStart w:id="1444" w:name="_Toc20899"/>
      <w:bookmarkStart w:id="1445" w:name="_Toc30445"/>
      <w:r>
        <w:rPr>
          <w:rFonts w:hint="eastAsia" w:ascii="宋体" w:hAnsi="宋体" w:cs="宋体"/>
          <w:color w:val="auto"/>
          <w:highlight w:val="none"/>
          <w:lang w:val="en-US" w:eastAsia="zh-CN"/>
        </w:rPr>
        <w:t>无</w:t>
      </w:r>
      <w:r>
        <w:rPr>
          <w:rFonts w:hint="eastAsia" w:ascii="宋体" w:hAnsi="宋体" w:eastAsia="宋体" w:cs="宋体"/>
          <w:color w:val="auto"/>
          <w:highlight w:val="none"/>
          <w:lang w:val="en-US" w:eastAsia="zh-CN"/>
        </w:rPr>
        <w:t>。</w:t>
      </w:r>
    </w:p>
    <w:p>
      <w:pPr>
        <w:tabs>
          <w:tab w:val="left" w:pos="840"/>
          <w:tab w:val="left" w:pos="1843"/>
        </w:tabs>
        <w:spacing w:before="0" w:after="0" w:afterAutospacing="0"/>
        <w:ind w:left="422" w:right="0" w:firstLine="0"/>
        <w:outlineLvl w:val="1"/>
        <w:rPr>
          <w:rFonts w:hint="eastAsia" w:ascii="宋体" w:hAnsi="宋体" w:eastAsia="宋体" w:cs="宋体"/>
          <w:b/>
          <w:color w:val="auto"/>
          <w:sz w:val="21"/>
          <w:szCs w:val="21"/>
          <w:highlight w:val="none"/>
        </w:rPr>
      </w:pPr>
      <w:bookmarkStart w:id="1446" w:name="_Toc9444"/>
      <w:bookmarkStart w:id="1447" w:name="_Toc22306"/>
      <w:bookmarkStart w:id="1448" w:name="_Toc28582"/>
      <w:bookmarkStart w:id="1449" w:name="_Toc1689"/>
      <w:r>
        <w:rPr>
          <w:rFonts w:hint="eastAsia" w:ascii="宋体" w:hAnsi="宋体" w:cs="宋体"/>
          <w:b/>
          <w:color w:val="auto"/>
          <w:sz w:val="21"/>
          <w:szCs w:val="21"/>
          <w:highlight w:val="none"/>
          <w:lang w:val="en-US" w:eastAsia="zh-CN"/>
        </w:rPr>
        <w:t>9</w:t>
      </w:r>
      <w:r>
        <w:rPr>
          <w:rFonts w:hint="eastAsia" w:ascii="宋体" w:hAnsi="宋体" w:eastAsia="宋体" w:cs="宋体"/>
          <w:b/>
          <w:color w:val="auto"/>
          <w:sz w:val="21"/>
          <w:szCs w:val="21"/>
          <w:highlight w:val="none"/>
          <w:lang w:val="en-US" w:eastAsia="zh-CN"/>
        </w:rPr>
        <w:t>.验收要求</w:t>
      </w:r>
      <w:bookmarkEnd w:id="1446"/>
      <w:bookmarkEnd w:id="1447"/>
      <w:bookmarkEnd w:id="1448"/>
      <w:bookmarkEnd w:id="1449"/>
    </w:p>
    <w:p>
      <w:pPr>
        <w:pStyle w:val="2"/>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乙方按照甲方的要求在现场换证评价工作</w:t>
      </w:r>
      <w:r>
        <w:rPr>
          <w:rFonts w:hint="default" w:hAnsi="宋体" w:cs="宋体"/>
          <w:color w:val="auto"/>
          <w:sz w:val="21"/>
          <w:szCs w:val="21"/>
          <w:highlight w:val="none"/>
        </w:rPr>
        <w:t>期间</w:t>
      </w:r>
      <w:r>
        <w:rPr>
          <w:rFonts w:hint="eastAsia" w:ascii="宋体" w:hAnsi="宋体" w:eastAsia="宋体" w:cs="宋体"/>
          <w:color w:val="auto"/>
          <w:sz w:val="21"/>
          <w:szCs w:val="21"/>
          <w:highlight w:val="none"/>
        </w:rPr>
        <w:t>进行为期1天的安全生产标准化培训（线上）。</w:t>
      </w:r>
    </w:p>
    <w:p>
      <w:pPr>
        <w:pStyle w:val="2"/>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.2乙方完成现场换证评价工作并在甲方完成不符合项整改后30个工作日内发放证书。</w:t>
      </w:r>
    </w:p>
    <w:p>
      <w:pPr>
        <w:pStyle w:val="2"/>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.3 乙方在甲方提交年度自评报告和相关证明文件后于30个工作日内发放稽查合格标签。</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450" w:name="_Toc22895"/>
      <w:bookmarkStart w:id="1451" w:name="_Toc17826"/>
      <w:bookmarkStart w:id="1452" w:name="_Toc26216"/>
      <w:bookmarkStart w:id="1453" w:name="_Toc21225"/>
      <w:bookmarkStart w:id="1454" w:name="_Toc13466"/>
      <w:bookmarkStart w:id="1455" w:name="_Toc19464"/>
      <w:r>
        <w:rPr>
          <w:rFonts w:hint="eastAsia" w:ascii="宋体" w:hAnsi="宋体" w:cs="宋体"/>
          <w:b/>
          <w:color w:val="auto"/>
          <w:highlight w:val="none"/>
          <w:lang w:val="en-US" w:eastAsia="zh-CN"/>
        </w:rPr>
        <w:t>10</w:t>
      </w:r>
      <w:r>
        <w:rPr>
          <w:rFonts w:hint="eastAsia" w:ascii="宋体" w:hAnsi="宋体" w:eastAsia="宋体" w:cs="宋体"/>
          <w:b/>
          <w:color w:val="auto"/>
          <w:highlight w:val="none"/>
        </w:rPr>
        <w: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Start w:id="1456" w:name="_Toc459797495"/>
      <w:bookmarkEnd w:id="1456"/>
      <w:bookmarkStart w:id="1457" w:name="_Toc459797507"/>
      <w:bookmarkEnd w:id="1457"/>
      <w:bookmarkStart w:id="1458" w:name="_Toc459730455"/>
      <w:bookmarkEnd w:id="1458"/>
      <w:bookmarkStart w:id="1459" w:name="_Toc459730449"/>
      <w:bookmarkEnd w:id="1459"/>
      <w:bookmarkStart w:id="1460" w:name="_Toc459730446"/>
      <w:bookmarkEnd w:id="1460"/>
      <w:bookmarkStart w:id="1461" w:name="_Toc459797496"/>
      <w:bookmarkEnd w:id="1461"/>
      <w:bookmarkStart w:id="1462" w:name="_Toc459730448"/>
      <w:bookmarkEnd w:id="1462"/>
      <w:bookmarkStart w:id="1463" w:name="_Toc459730452"/>
      <w:bookmarkEnd w:id="1463"/>
      <w:bookmarkStart w:id="1464" w:name="_Toc459797500"/>
      <w:bookmarkEnd w:id="1464"/>
      <w:bookmarkStart w:id="1465" w:name="_Toc459730457"/>
      <w:bookmarkEnd w:id="1465"/>
      <w:bookmarkStart w:id="1466" w:name="_Toc459730456"/>
      <w:bookmarkEnd w:id="1466"/>
      <w:bookmarkStart w:id="1467" w:name="_Toc459730454"/>
      <w:bookmarkEnd w:id="1467"/>
      <w:bookmarkStart w:id="1468" w:name="_Toc459797506"/>
      <w:bookmarkEnd w:id="1468"/>
      <w:bookmarkStart w:id="1469" w:name="_Toc459730458"/>
      <w:bookmarkEnd w:id="1469"/>
      <w:bookmarkStart w:id="1470" w:name="_Toc459797508"/>
      <w:bookmarkEnd w:id="1470"/>
      <w:bookmarkStart w:id="1471" w:name="_Toc459797510"/>
      <w:bookmarkEnd w:id="1471"/>
      <w:bookmarkStart w:id="1472" w:name="_Toc459730445"/>
      <w:bookmarkEnd w:id="1472"/>
      <w:bookmarkStart w:id="1473" w:name="_Toc459730442"/>
      <w:bookmarkEnd w:id="1473"/>
      <w:bookmarkStart w:id="1474" w:name="_Toc459730444"/>
      <w:bookmarkEnd w:id="1474"/>
      <w:bookmarkStart w:id="1475" w:name="_Toc459797509"/>
      <w:bookmarkEnd w:id="1475"/>
      <w:bookmarkStart w:id="1476" w:name="_Toc459730447"/>
      <w:bookmarkEnd w:id="1476"/>
      <w:bookmarkStart w:id="1477" w:name="_Toc459730443"/>
      <w:bookmarkEnd w:id="1477"/>
      <w:bookmarkStart w:id="1478" w:name="_Toc459797502"/>
      <w:bookmarkEnd w:id="1478"/>
      <w:bookmarkStart w:id="1479" w:name="_Toc459797501"/>
      <w:bookmarkEnd w:id="1479"/>
      <w:bookmarkStart w:id="1480" w:name="_Toc459730451"/>
      <w:bookmarkEnd w:id="1480"/>
      <w:bookmarkStart w:id="1481" w:name="_Toc459730459"/>
      <w:bookmarkEnd w:id="1481"/>
      <w:bookmarkStart w:id="1482" w:name="_Toc459797505"/>
      <w:bookmarkEnd w:id="1482"/>
      <w:bookmarkStart w:id="1483" w:name="_Toc459797511"/>
      <w:bookmarkEnd w:id="1483"/>
      <w:bookmarkStart w:id="1484" w:name="_Toc459797512"/>
      <w:bookmarkEnd w:id="1484"/>
      <w:bookmarkStart w:id="1485" w:name="_Toc459797498"/>
      <w:bookmarkEnd w:id="1485"/>
      <w:bookmarkStart w:id="1486" w:name="_Toc459797499"/>
      <w:bookmarkEnd w:id="1486"/>
      <w:bookmarkStart w:id="1487" w:name="_Toc459730450"/>
      <w:bookmarkEnd w:id="1487"/>
      <w:bookmarkStart w:id="1488" w:name="_Toc459730453"/>
      <w:bookmarkEnd w:id="1488"/>
      <w:bookmarkStart w:id="1489" w:name="_Toc459797504"/>
      <w:bookmarkEnd w:id="1489"/>
      <w:bookmarkStart w:id="1490" w:name="_Toc459797497"/>
      <w:bookmarkEnd w:id="1490"/>
      <w:bookmarkStart w:id="1491" w:name="_Toc459797503"/>
      <w:bookmarkEnd w:id="1491"/>
      <w:r>
        <w:rPr>
          <w:rFonts w:hint="eastAsia" w:ascii="宋体" w:hAnsi="宋体" w:eastAsia="宋体" w:cs="宋体"/>
          <w:b/>
          <w:color w:val="auto"/>
          <w:highlight w:val="none"/>
        </w:rPr>
        <w:t>合同价款支付方式</w:t>
      </w:r>
      <w:bookmarkEnd w:id="1445"/>
      <w:bookmarkEnd w:id="1450"/>
      <w:bookmarkEnd w:id="1451"/>
      <w:bookmarkEnd w:id="1452"/>
      <w:bookmarkEnd w:id="1453"/>
      <w:bookmarkEnd w:id="1454"/>
      <w:bookmarkEnd w:id="1455"/>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bookmarkStart w:id="1492" w:name="_Toc378514969"/>
      <w:bookmarkStart w:id="1493" w:name="_Toc370933872"/>
      <w:r>
        <w:rPr>
          <w:rFonts w:hint="eastAsia" w:ascii="宋体" w:hAnsi="宋体" w:cs="宋体"/>
          <w:color w:val="auto"/>
          <w:highlight w:val="none"/>
          <w:lang w:val="en-US" w:eastAsia="zh-CN"/>
        </w:rPr>
        <w:t>10.1本合同的支付按合同条款规定方式进行。</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10.2在合同履约过程中，本合同税率将遵照国家现行税法执行，随国家税率调整而调整。本合同最终税金在结算阶段，按实际产生的税金进行核算，但合同不含税价格不因国家税率调整而调整。</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10.3付款方式。</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10.3.1在完成2024年度现场评价工作并颁发颁发一级安全生产标准化证书后，甲方在收到乙方提供的以下材料后60个工作日内支付至合同总金额的70%。</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①乙方开具的增值税专用发票。</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②乙方出具的支付申请书。</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③提供完成相应阶段的成果资料等。</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10.3.2完成2025年度自评审核工作、发放年度审核合格标签并完成计量后，甲方在收到乙方提供的以下材料后60个工作日内支付至合同总金额的85%。</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①乙方开具的增值税专用发票。</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②乙方出具的支付申请书。</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③提供完成相应阶段的成果资料等。</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10.3.3完成2026年度自评审核工作、发放年度审核合格标签并完成结算后，甲方在收到由乙方提供的以下材料后60个工作日内支付结算审定金额的剩余价款。</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①乙方开具的增值税专用发票。</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②乙方出具的支付申请书。</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③提供完成相应阶段的成果资料等。</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10.4乙方在完成相应合同义务后以书面形式向甲方申请付款，同时随附注明已发证书和标签、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10.5支付的货币应以人民币支付。</w:t>
      </w:r>
    </w:p>
    <w:p>
      <w:pPr>
        <w:tabs>
          <w:tab w:val="left" w:pos="840"/>
          <w:tab w:val="left" w:pos="1134"/>
        </w:tabs>
        <w:spacing w:before="0" w:after="0" w:afterAutospacing="0"/>
        <w:ind w:left="426" w:right="0" w:firstLine="0"/>
        <w:outlineLvl w:val="1"/>
        <w:rPr>
          <w:rFonts w:hint="eastAsia" w:ascii="宋体" w:hAnsi="宋体" w:eastAsia="宋体" w:cs="宋体"/>
          <w:color w:val="auto"/>
          <w:highlight w:val="none"/>
        </w:rPr>
      </w:pPr>
      <w:bookmarkStart w:id="1494" w:name="_Toc2069"/>
      <w:bookmarkStart w:id="1495" w:name="_Toc27186"/>
      <w:bookmarkStart w:id="1496" w:name="_Toc17247"/>
      <w:bookmarkStart w:id="1497" w:name="_Toc18890"/>
      <w:bookmarkStart w:id="1498" w:name="_Toc12729"/>
      <w:bookmarkStart w:id="1499" w:name="_Toc24274"/>
      <w:bookmarkStart w:id="1500" w:name="_Toc12979"/>
      <w:bookmarkStart w:id="1501" w:name="_Toc26222"/>
      <w:bookmarkStart w:id="1502" w:name="_Toc28757"/>
      <w:bookmarkStart w:id="1503" w:name="_Toc19387"/>
      <w:bookmarkStart w:id="1504" w:name="_Toc18054"/>
      <w:bookmarkStart w:id="1505" w:name="_Toc25750650"/>
      <w:bookmarkStart w:id="1506" w:name="_Toc13281"/>
      <w:bookmarkStart w:id="1507" w:name="_Toc9852"/>
      <w:bookmarkStart w:id="1508" w:name="_Toc9642"/>
      <w:bookmarkStart w:id="1509" w:name="_Toc23172"/>
      <w:bookmarkStart w:id="1510" w:name="_Toc2957"/>
      <w:bookmarkStart w:id="1511" w:name="_Toc22179"/>
      <w:bookmarkStart w:id="1512" w:name="_Toc492478779"/>
      <w:bookmarkStart w:id="1513" w:name="_Toc4697"/>
      <w:bookmarkStart w:id="1514" w:name="_Toc13971"/>
      <w:bookmarkStart w:id="1515" w:name="_Toc15760"/>
      <w:bookmarkStart w:id="1516" w:name="_Toc27798"/>
      <w:bookmarkStart w:id="1517" w:name="_Toc14992"/>
      <w:bookmarkStart w:id="1518" w:name="_Toc30094"/>
      <w:bookmarkStart w:id="1519" w:name="_Toc390098481"/>
      <w:bookmarkStart w:id="1520" w:name="_Toc8657"/>
      <w:bookmarkStart w:id="1521" w:name="_Toc16641"/>
      <w:bookmarkStart w:id="1522" w:name="_Toc385427855"/>
      <w:r>
        <w:rPr>
          <w:rFonts w:hint="eastAsia" w:ascii="宋体" w:hAnsi="宋体" w:cs="宋体"/>
          <w:b/>
          <w:color w:val="auto"/>
          <w:highlight w:val="none"/>
          <w:lang w:val="en-US" w:eastAsia="zh-CN"/>
        </w:rPr>
        <w:t>11</w:t>
      </w:r>
      <w:r>
        <w:rPr>
          <w:rFonts w:hint="eastAsia" w:ascii="宋体" w:hAnsi="宋体" w:eastAsia="宋体" w:cs="宋体"/>
          <w:b/>
          <w:color w:val="auto"/>
          <w:highlight w:val="none"/>
        </w:rPr>
        <w:t>.合同价格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.1合同价格执行以下条款的规定。</w:t>
      </w:r>
    </w:p>
    <w:p>
      <w:pPr>
        <w:tabs>
          <w:tab w:val="left" w:pos="960"/>
          <w:tab w:val="left" w:pos="1418"/>
          <w:tab w:val="left" w:pos="8364"/>
        </w:tabs>
        <w:spacing w:before="0" w:after="0" w:afterAutospacing="0"/>
        <w:ind w:left="105" w:leftChars="50" w:right="0" w:firstLine="420" w:firstLineChars="200"/>
        <w:rPr>
          <w:rFonts w:hint="eastAsia" w:ascii="宋体" w:hAnsi="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.2本合同价格中</w:t>
      </w:r>
      <w:r>
        <w:rPr>
          <w:rFonts w:hint="eastAsia" w:ascii="宋体" w:hAnsi="宋体" w:eastAsia="宋体" w:cs="宋体"/>
          <w:color w:val="auto"/>
          <w:highlight w:val="none"/>
          <w:u w:val="single"/>
        </w:rPr>
        <w:t>合同不含税单价</w:t>
      </w:r>
      <w:r>
        <w:rPr>
          <w:rFonts w:hint="eastAsia" w:ascii="宋体" w:hAnsi="宋体" w:eastAsia="宋体" w:cs="宋体"/>
          <w:color w:val="auto"/>
          <w:highlight w:val="none"/>
        </w:rPr>
        <w:t>为固定价，不得以任何理由予以合同价格上浮、上调、上涨，但如属经双方协商同意变更的情况除外</w:t>
      </w:r>
      <w:r>
        <w:rPr>
          <w:rFonts w:hint="eastAsia" w:ascii="宋体" w:hAnsi="宋体" w:cs="宋体"/>
          <w:color w:val="auto"/>
          <w:highlight w:val="none"/>
          <w:lang w:eastAsia="zh-CN"/>
        </w:rPr>
        <w:t>。</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.3合同价格完全包括本合同中要求的全部工作内容、备件、服务及所维护维修涉及的施工及辅材。</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b/>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.4合同价格：</w:t>
      </w:r>
      <w:r>
        <w:rPr>
          <w:rFonts w:hint="eastAsia" w:ascii="宋体" w:hAnsi="宋体"/>
          <w:color w:val="auto"/>
          <w:highlight w:val="none"/>
        </w:rPr>
        <w:t>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eastAsia="宋体" w:cs="宋体"/>
          <w:color w:val="auto"/>
          <w:highlight w:val="none"/>
        </w:rPr>
        <w:t>本合同价格为暂定价，</w:t>
      </w:r>
      <w:r>
        <w:rPr>
          <w:rFonts w:hint="eastAsia" w:ascii="宋体" w:hAnsi="宋体" w:eastAsia="宋体" w:cs="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宋体"/>
          <w:b/>
          <w:color w:val="auto"/>
          <w:highlight w:val="none"/>
          <w:lang w:eastAsia="zh-CN"/>
        </w:rPr>
        <w:t>。</w:t>
      </w:r>
    </w:p>
    <w:p>
      <w:pPr>
        <w:tabs>
          <w:tab w:val="left" w:pos="960"/>
          <w:tab w:val="left" w:pos="1418"/>
          <w:tab w:val="left" w:pos="8364"/>
        </w:tabs>
        <w:spacing w:before="0" w:after="0" w:afterAutospacing="0"/>
        <w:ind w:left="0" w:leftChars="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.5现场知晓</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.6价格的充分性</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应当认为乙方已彻底查清，并在本合同价格中充分考虑到了以下各项：</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.6.1影响合同价格的全部条件和情况；</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.6.2完成合同中所述项目的可能性；</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.6.3现场的综合情况；</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.6.4现场总的劳务情况；</w:t>
      </w:r>
    </w:p>
    <w:p>
      <w:pPr>
        <w:tabs>
          <w:tab w:val="left" w:pos="1134"/>
          <w:tab w:val="left" w:pos="8364"/>
        </w:tabs>
        <w:spacing w:before="0" w:after="0" w:afterAutospacing="0"/>
        <w:ind w:left="420" w:right="0" w:firstLine="0"/>
        <w:rPr>
          <w:rFonts w:hint="eastAsia" w:ascii="宋体" w:hAnsi="宋体" w:eastAsia="宋体" w:cs="宋体"/>
          <w:b/>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1</w:t>
      </w:r>
      <w:r>
        <w:rPr>
          <w:rFonts w:hint="eastAsia" w:ascii="宋体" w:hAnsi="宋体" w:eastAsia="宋体" w:cs="宋体"/>
          <w:color w:val="auto"/>
          <w:highlight w:val="none"/>
        </w:rPr>
        <w:t>.6.5甲方不接受乙方以组价不当（包括对工作内容理解的偏差、工料耗量水平的确定、生产要素市场价格的判断、取费决策等）为由而主张的任何损失或索赔。</w:t>
      </w:r>
      <w:bookmarkStart w:id="1523" w:name="_Toc30611"/>
      <w:bookmarkStart w:id="1524" w:name="_Toc25750651"/>
      <w:bookmarkStart w:id="1525" w:name="_Toc378514970"/>
      <w:bookmarkStart w:id="1526" w:name="_Toc390098482"/>
      <w:bookmarkStart w:id="1527" w:name="_Toc2956"/>
      <w:bookmarkStart w:id="1528" w:name="_Toc370933873"/>
      <w:bookmarkStart w:id="1529" w:name="_Toc29106"/>
      <w:bookmarkStart w:id="1530" w:name="_Toc21856"/>
      <w:bookmarkStart w:id="1531" w:name="_Toc25230"/>
      <w:bookmarkStart w:id="1532" w:name="_Toc2295"/>
      <w:bookmarkStart w:id="1533" w:name="_Toc14851"/>
      <w:bookmarkStart w:id="1534" w:name="_Toc24363"/>
      <w:bookmarkStart w:id="1535" w:name="_Toc492478780"/>
      <w:bookmarkStart w:id="1536" w:name="_Toc9450"/>
      <w:bookmarkStart w:id="1537" w:name="_Toc32028"/>
      <w:bookmarkStart w:id="1538" w:name="_Toc27489"/>
      <w:bookmarkStart w:id="1539" w:name="_Toc5961"/>
      <w:bookmarkStart w:id="1540" w:name="_Toc25441"/>
      <w:bookmarkStart w:id="1541" w:name="_Toc16809"/>
      <w:bookmarkStart w:id="1542" w:name="_Toc23070"/>
      <w:bookmarkStart w:id="1543" w:name="_Toc8159"/>
      <w:bookmarkStart w:id="1544" w:name="_Toc3558"/>
      <w:bookmarkStart w:id="1545" w:name="_Toc385427856"/>
      <w:bookmarkStart w:id="1546" w:name="_Toc24113"/>
      <w:bookmarkStart w:id="1547" w:name="_Toc6771"/>
      <w:bookmarkStart w:id="1548" w:name="_Toc10545"/>
      <w:bookmarkStart w:id="1549" w:name="_Toc26418"/>
      <w:bookmarkStart w:id="1550" w:name="_Toc29593"/>
      <w:bookmarkStart w:id="1551" w:name="_Toc12825"/>
      <w:bookmarkStart w:id="1552" w:name="_Toc769"/>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553" w:name="_Toc3351"/>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2</w:t>
      </w:r>
      <w:r>
        <w:rPr>
          <w:rFonts w:hint="eastAsia" w:ascii="宋体" w:hAnsi="宋体" w:eastAsia="宋体" w:cs="宋体"/>
          <w:b/>
          <w:color w:val="auto"/>
          <w:highlight w:val="none"/>
        </w:rPr>
        <w:t>.合同变更与修改</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.1除非甲方与乙方双方签署书面修改书，否则不能对合同条款进行任何变更。如果合同另有约定，从其约定。</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.4 变更费用的确认：</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.4.1变更后的费用经甲乙双方协商确认后，如低于原合同价格，则按照变更后的费用来执行；</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2</w:t>
      </w:r>
      <w:r>
        <w:rPr>
          <w:rFonts w:hint="eastAsia" w:ascii="宋体" w:hAnsi="宋体" w:eastAsia="宋体" w:cs="宋体"/>
          <w:color w:val="auto"/>
          <w:highlight w:val="none"/>
        </w:rPr>
        <w:t>.4.2变更后的费用经甲乙双方协商确认后，如高于原合同价格，则按照原合同价格来执行。</w:t>
      </w:r>
    </w:p>
    <w:p>
      <w:pPr>
        <w:tabs>
          <w:tab w:val="left" w:pos="840"/>
          <w:tab w:val="left" w:pos="1843"/>
        </w:tabs>
        <w:spacing w:before="0" w:after="0" w:afterAutospacing="0"/>
        <w:ind w:left="422" w:right="0" w:firstLine="0"/>
        <w:outlineLvl w:val="1"/>
        <w:rPr>
          <w:rFonts w:hint="eastAsia" w:ascii="宋体" w:hAnsi="宋体" w:eastAsia="宋体" w:cs="宋体"/>
          <w:b/>
          <w:color w:val="auto"/>
          <w:sz w:val="21"/>
          <w:szCs w:val="21"/>
          <w:highlight w:val="none"/>
          <w:lang w:val="en-US" w:eastAsia="zh-CN"/>
        </w:rPr>
      </w:pPr>
      <w:bookmarkStart w:id="1554" w:name="_Toc1109"/>
      <w:bookmarkStart w:id="1555" w:name="_Toc13244"/>
      <w:bookmarkStart w:id="1556" w:name="_Toc506"/>
      <w:bookmarkStart w:id="1557" w:name="_Toc22898"/>
      <w:bookmarkStart w:id="1558" w:name="_Toc14280"/>
      <w:bookmarkStart w:id="1559" w:name="_Toc7546"/>
      <w:bookmarkStart w:id="1560" w:name="_Toc2241"/>
      <w:bookmarkStart w:id="1561" w:name="_Toc6370"/>
      <w:bookmarkStart w:id="1562" w:name="_Toc16440"/>
      <w:bookmarkStart w:id="1563" w:name="_Toc8018"/>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3</w:t>
      </w:r>
      <w:r>
        <w:rPr>
          <w:rFonts w:hint="eastAsia" w:ascii="宋体" w:hAnsi="宋体" w:eastAsia="宋体" w:cs="宋体"/>
          <w:b/>
          <w:color w:val="auto"/>
          <w:highlight w:val="none"/>
          <w:lang w:val="en-US" w:eastAsia="zh-CN"/>
        </w:rPr>
        <w:t>.</w:t>
      </w:r>
      <w:r>
        <w:rPr>
          <w:rFonts w:hint="eastAsia" w:ascii="宋体" w:hAnsi="宋体" w:eastAsia="宋体" w:cs="宋体"/>
          <w:b/>
          <w:color w:val="auto"/>
          <w:sz w:val="21"/>
          <w:szCs w:val="21"/>
          <w:highlight w:val="none"/>
        </w:rPr>
        <w:t>考核</w:t>
      </w:r>
      <w:r>
        <w:rPr>
          <w:rFonts w:hint="eastAsia" w:ascii="宋体" w:hAnsi="宋体" w:eastAsia="宋体" w:cs="宋体"/>
          <w:b/>
          <w:color w:val="auto"/>
          <w:sz w:val="21"/>
          <w:szCs w:val="21"/>
          <w:highlight w:val="none"/>
          <w:lang w:val="en-US" w:eastAsia="zh-CN"/>
        </w:rPr>
        <w:t>评价</w:t>
      </w:r>
      <w:bookmarkEnd w:id="1554"/>
      <w:bookmarkEnd w:id="1555"/>
      <w:bookmarkEnd w:id="1556"/>
      <w:bookmarkEnd w:id="1557"/>
    </w:p>
    <w:p>
      <w:pPr>
        <w:pStyle w:val="8"/>
        <w:numPr>
          <w:ilvl w:val="0"/>
          <w:numId w:val="0"/>
        </w:numPr>
        <w:snapToGrid w:val="0"/>
        <w:spacing w:line="360" w:lineRule="auto"/>
        <w:ind w:right="0" w:rightChars="0" w:firstLine="420" w:firstLineChars="200"/>
        <w:jc w:val="both"/>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13.1 若乙方不按合同履行职责，甲方有权撤销同</w:t>
      </w:r>
      <w:r>
        <w:rPr>
          <w:rFonts w:hint="eastAsia" w:ascii="宋体" w:hAnsi="宋体"/>
          <w:color w:val="auto"/>
          <w:sz w:val="21"/>
          <w:szCs w:val="21"/>
          <w:highlight w:val="none"/>
          <w:lang w:val="en-US" w:eastAsia="zh-CN"/>
        </w:rPr>
        <w:t>乙方</w:t>
      </w:r>
      <w:r>
        <w:rPr>
          <w:rFonts w:hint="eastAsia" w:ascii="宋体" w:hAnsi="宋体" w:eastAsia="宋体"/>
          <w:color w:val="auto"/>
          <w:sz w:val="21"/>
          <w:szCs w:val="21"/>
          <w:highlight w:val="none"/>
          <w:lang w:val="en-US" w:eastAsia="zh-CN"/>
        </w:rPr>
        <w:t>合同关系；乙方须补偿甲方的损失，并且甲方有权扣除应支付给乙方的费用作为处罚。</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szCs w:val="24"/>
          <w:highlight w:val="none"/>
          <w:lang w:val="en-US" w:eastAsia="zh-CN"/>
        </w:rPr>
        <w:t xml:space="preserve">13.2 </w:t>
      </w:r>
      <w:r>
        <w:rPr>
          <w:rFonts w:hint="eastAsia" w:ascii="宋体" w:hAnsi="宋体" w:eastAsia="宋体"/>
          <w:color w:val="auto"/>
          <w:sz w:val="21"/>
          <w:szCs w:val="21"/>
          <w:highlight w:val="none"/>
          <w:lang w:val="en-US" w:eastAsia="zh-CN"/>
        </w:rPr>
        <w:t>乙方</w:t>
      </w:r>
      <w:r>
        <w:rPr>
          <w:rFonts w:hint="eastAsia" w:ascii="宋体" w:hAnsi="宋体"/>
          <w:color w:val="auto"/>
          <w:szCs w:val="24"/>
          <w:highlight w:val="none"/>
          <w:lang w:val="en-US" w:eastAsia="zh-CN"/>
        </w:rPr>
        <w:t>对评价的质量和结果的准确性负完全责任,如果因</w:t>
      </w:r>
      <w:r>
        <w:rPr>
          <w:rFonts w:hint="eastAsia" w:ascii="宋体" w:hAnsi="宋体" w:eastAsia="宋体"/>
          <w:color w:val="auto"/>
          <w:sz w:val="21"/>
          <w:szCs w:val="21"/>
          <w:highlight w:val="none"/>
          <w:lang w:val="en-US" w:eastAsia="zh-CN"/>
        </w:rPr>
        <w:t>乙方</w:t>
      </w:r>
      <w:r>
        <w:rPr>
          <w:rFonts w:hint="eastAsia" w:ascii="宋体" w:hAnsi="宋体"/>
          <w:color w:val="auto"/>
          <w:szCs w:val="24"/>
          <w:highlight w:val="none"/>
          <w:lang w:val="en-US" w:eastAsia="zh-CN"/>
        </w:rPr>
        <w:t>过失或服务水平低下、评价错误</w:t>
      </w:r>
      <w:r>
        <w:rPr>
          <w:rFonts w:hint="eastAsia" w:ascii="宋体" w:hAnsi="宋体" w:eastAsia="宋体" w:cs="Times New Roman"/>
          <w:color w:val="auto"/>
          <w:sz w:val="21"/>
          <w:szCs w:val="21"/>
          <w:highlight w:val="none"/>
          <w:lang w:val="en-US" w:eastAsia="zh-CN" w:bidi="ar-SA"/>
        </w:rPr>
        <w:t>而造成</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损失的，</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有权要求乙方赔偿。</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13.3由于</w:t>
      </w:r>
      <w:r>
        <w:rPr>
          <w:rFonts w:hint="eastAsia" w:ascii="宋体" w:hAnsi="宋体" w:eastAsia="宋体"/>
          <w:color w:val="auto"/>
          <w:sz w:val="21"/>
          <w:szCs w:val="21"/>
          <w:highlight w:val="none"/>
          <w:lang w:val="en-US" w:eastAsia="zh-CN"/>
        </w:rPr>
        <w:t>乙方</w:t>
      </w:r>
      <w:r>
        <w:rPr>
          <w:rFonts w:hint="eastAsia" w:ascii="宋体" w:hAnsi="宋体" w:eastAsia="宋体" w:cs="Times New Roman"/>
          <w:color w:val="auto"/>
          <w:sz w:val="21"/>
          <w:szCs w:val="21"/>
          <w:highlight w:val="none"/>
          <w:lang w:val="en-US" w:eastAsia="zh-CN" w:bidi="ar-SA"/>
        </w:rPr>
        <w:t>不能按双方约定的时间和要求完全完成评价工作，</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有权委托其他评价单位参与本项目评价，发生的评价费用高于</w:t>
      </w:r>
      <w:r>
        <w:rPr>
          <w:rFonts w:hint="eastAsia" w:ascii="宋体" w:hAnsi="宋体" w:cs="Times New Roman"/>
          <w:color w:val="auto"/>
          <w:sz w:val="21"/>
          <w:szCs w:val="21"/>
          <w:highlight w:val="none"/>
          <w:lang w:val="en-US" w:eastAsia="zh-CN" w:bidi="ar-SA"/>
        </w:rPr>
        <w:t>乙方</w:t>
      </w:r>
      <w:r>
        <w:rPr>
          <w:rFonts w:hint="eastAsia" w:ascii="宋体" w:hAnsi="宋体" w:eastAsia="宋体" w:cs="Times New Roman"/>
          <w:color w:val="auto"/>
          <w:sz w:val="21"/>
          <w:szCs w:val="21"/>
          <w:highlight w:val="none"/>
          <w:lang w:val="en-US" w:eastAsia="zh-CN" w:bidi="ar-SA"/>
        </w:rPr>
        <w:t>报价的，则该多出部分由</w:t>
      </w:r>
      <w:r>
        <w:rPr>
          <w:rFonts w:hint="eastAsia" w:ascii="宋体" w:hAnsi="宋体" w:eastAsia="宋体"/>
          <w:color w:val="auto"/>
          <w:sz w:val="21"/>
          <w:szCs w:val="21"/>
          <w:highlight w:val="none"/>
          <w:lang w:val="en-US" w:eastAsia="zh-CN"/>
        </w:rPr>
        <w:t>乙方</w:t>
      </w:r>
      <w:r>
        <w:rPr>
          <w:rFonts w:hint="eastAsia" w:ascii="宋体" w:hAnsi="宋体" w:eastAsia="宋体" w:cs="Times New Roman"/>
          <w:color w:val="auto"/>
          <w:sz w:val="21"/>
          <w:szCs w:val="21"/>
          <w:highlight w:val="none"/>
          <w:lang w:val="en-US" w:eastAsia="zh-CN" w:bidi="ar-SA"/>
        </w:rPr>
        <w:t>承担。</w:t>
      </w:r>
    </w:p>
    <w:p>
      <w:pPr>
        <w:pStyle w:val="8"/>
        <w:snapToGrid w:val="0"/>
        <w:spacing w:line="360" w:lineRule="auto"/>
        <w:ind w:firstLine="420" w:firstLineChars="200"/>
        <w:jc w:val="both"/>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13.4 在评价过程中由于乙方原因，或未经甲方同意，擅自公开甲方相关信息、数据的，造成社会不良影响，或引起负面影响的，</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有权单方面解除合同，并按照相关法律规定，对甲方造成的损失进行赔偿。</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564" w:name="_Toc22428"/>
      <w:bookmarkStart w:id="1565" w:name="_Toc25911"/>
      <w:bookmarkStart w:id="1566" w:name="_Toc13908"/>
      <w:bookmarkStart w:id="1567" w:name="_Toc3210"/>
      <w:bookmarkStart w:id="1568" w:name="_Toc31439"/>
      <w:bookmarkStart w:id="1569" w:name="_Toc23718"/>
      <w:bookmarkStart w:id="1570" w:name="_Toc29972"/>
      <w:bookmarkStart w:id="1571" w:name="_Toc24354"/>
      <w:bookmarkStart w:id="1572" w:name="_Toc20850"/>
      <w:bookmarkStart w:id="1573" w:name="_Toc385427864"/>
      <w:bookmarkStart w:id="1574" w:name="_Toc19072"/>
      <w:bookmarkStart w:id="1575" w:name="_Toc17213"/>
      <w:bookmarkStart w:id="1576" w:name="_Toc378514978"/>
      <w:bookmarkStart w:id="1577" w:name="_Toc1503"/>
      <w:bookmarkStart w:id="1578" w:name="_Toc10805"/>
      <w:bookmarkStart w:id="1579" w:name="_Toc492478788"/>
      <w:bookmarkStart w:id="1580" w:name="_Toc20058"/>
      <w:bookmarkStart w:id="1581" w:name="_Toc26831"/>
      <w:bookmarkStart w:id="1582" w:name="_Toc29365"/>
      <w:bookmarkStart w:id="1583" w:name="_Toc16121"/>
      <w:bookmarkStart w:id="1584" w:name="_Toc25750659"/>
      <w:bookmarkStart w:id="1585" w:name="_Toc10764"/>
      <w:bookmarkStart w:id="1586" w:name="_Toc15991"/>
      <w:bookmarkStart w:id="1587" w:name="_Toc15352"/>
      <w:bookmarkStart w:id="1588" w:name="_Toc21718"/>
      <w:bookmarkStart w:id="1589" w:name="_Toc7691"/>
      <w:bookmarkStart w:id="1590" w:name="_Toc370933881"/>
      <w:bookmarkStart w:id="1591" w:name="_Toc1972"/>
      <w:bookmarkStart w:id="1592" w:name="_Toc26667"/>
      <w:bookmarkStart w:id="1593" w:name="_Toc4002"/>
      <w:bookmarkStart w:id="1594" w:name="_Toc390098490"/>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4</w:t>
      </w:r>
      <w:r>
        <w:rPr>
          <w:rFonts w:hint="eastAsia" w:ascii="宋体" w:hAnsi="宋体" w:eastAsia="宋体" w:cs="宋体"/>
          <w:b/>
          <w:color w:val="auto"/>
          <w:highlight w:val="none"/>
        </w:rPr>
        <w:t>.转让和分包</w:t>
      </w:r>
      <w:bookmarkEnd w:id="1564"/>
      <w:bookmarkEnd w:id="1565"/>
      <w:bookmarkEnd w:id="1566"/>
      <w:bookmarkEnd w:id="1567"/>
      <w:bookmarkEnd w:id="1568"/>
      <w:bookmarkEnd w:id="1569"/>
      <w:bookmarkEnd w:id="1570"/>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4</w:t>
      </w:r>
      <w:r>
        <w:rPr>
          <w:rFonts w:hint="eastAsia" w:ascii="宋体" w:hAnsi="宋体" w:eastAsia="宋体" w:cs="宋体"/>
          <w:color w:val="auto"/>
          <w:highlight w:val="none"/>
        </w:rPr>
        <w:t>.1 除甲方事先书面同意外，乙方不得将其合同权利、责任和义务部分转让或全部转让或转移给第三方。</w:t>
      </w:r>
    </w:p>
    <w:p>
      <w:pPr>
        <w:pStyle w:val="8"/>
        <w:snapToGrid w:val="0"/>
        <w:spacing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14.2 除合同另有约定外，乙方不得将本项目的全部或部分工作分包给第三方。</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color w:val="auto"/>
          <w:highlight w:val="none"/>
        </w:rPr>
      </w:pPr>
      <w:bookmarkStart w:id="1595" w:name="_Toc32343"/>
      <w:bookmarkStart w:id="1596" w:name="_Toc13416"/>
      <w:bookmarkStart w:id="1597" w:name="_Toc25342"/>
      <w:bookmarkStart w:id="1598" w:name="_Toc492478782"/>
      <w:bookmarkStart w:id="1599" w:name="_Toc370933875"/>
      <w:bookmarkStart w:id="1600" w:name="_Toc25750653"/>
      <w:bookmarkStart w:id="1601" w:name="_Toc13888"/>
      <w:bookmarkStart w:id="1602" w:name="_Toc385427858"/>
      <w:bookmarkStart w:id="1603" w:name="_Toc390098484"/>
      <w:bookmarkStart w:id="1604" w:name="_Toc11530"/>
      <w:bookmarkStart w:id="1605" w:name="_Toc4396"/>
      <w:bookmarkStart w:id="1606" w:name="_Toc8696"/>
      <w:bookmarkStart w:id="1607" w:name="_Toc378514972"/>
      <w:bookmarkStart w:id="1608" w:name="_Toc16315"/>
      <w:bookmarkStart w:id="1609" w:name="_Toc17029"/>
      <w:bookmarkStart w:id="1610" w:name="_Toc24037"/>
      <w:bookmarkStart w:id="1611" w:name="_Toc19987"/>
      <w:bookmarkStart w:id="1612" w:name="_Toc12432"/>
      <w:bookmarkStart w:id="1613" w:name="_Toc661"/>
      <w:bookmarkStart w:id="1614" w:name="_Toc6234"/>
      <w:bookmarkStart w:id="1615" w:name="_Toc21413"/>
      <w:bookmarkStart w:id="1616" w:name="_Toc18508"/>
      <w:bookmarkStart w:id="1617" w:name="_Toc3130"/>
      <w:bookmarkStart w:id="1618" w:name="_Toc24065"/>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5</w:t>
      </w:r>
      <w:r>
        <w:rPr>
          <w:rFonts w:hint="eastAsia" w:ascii="宋体" w:hAnsi="宋体" w:eastAsia="宋体" w:cs="宋体"/>
          <w:b/>
          <w:color w:val="auto"/>
          <w:highlight w:val="none"/>
        </w:rPr>
        <w:t>.不可抗力</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.2若不可抗力发生使合同执行受阻，则合同执行时间根据受影响的时间相应延长，但合同价格不得调整。</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.3不可抗力的确认</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15</w:t>
      </w:r>
      <w:r>
        <w:rPr>
          <w:rFonts w:hint="eastAsia" w:ascii="宋体" w:hAnsi="宋体" w:eastAsia="宋体" w:cs="宋体"/>
          <w:color w:val="auto"/>
          <w:highlight w:val="none"/>
        </w:rPr>
        <w:t>.4不可抗力的通知</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default" w:ascii="宋体" w:hAnsi="宋体" w:eastAsia="宋体" w:cs="宋体"/>
          <w:color w:val="auto"/>
          <w:highlight w:val="none"/>
        </w:rPr>
      </w:pPr>
      <w:r>
        <w:rPr>
          <w:rFonts w:hint="eastAsia" w:ascii="宋体" w:hAnsi="宋体" w:eastAsia="宋体" w:cs="宋体"/>
          <w:color w:val="auto"/>
          <w:highlight w:val="none"/>
        </w:rPr>
        <w:t>不可抗力持续发生的，合同一方当事人应及时向合同另一方当事人提交中间报告，说明不可抗力和履行合同受阻的情况，并于不可抗力事件结束后28天内提交最终报告及有关资料</w:t>
      </w:r>
      <w:r>
        <w:rPr>
          <w:rFonts w:hint="default" w:ascii="宋体" w:hAnsi="宋体" w:cs="宋体"/>
          <w:color w:val="auto"/>
          <w:highlight w:val="none"/>
        </w:rPr>
        <w:t>。</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15</w:t>
      </w:r>
      <w:r>
        <w:rPr>
          <w:rFonts w:hint="eastAsia" w:ascii="宋体" w:hAnsi="宋体" w:eastAsia="宋体" w:cs="宋体"/>
          <w:color w:val="auto"/>
          <w:highlight w:val="none"/>
        </w:rPr>
        <w:t>.5不可抗力后果的承担</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任何因不可抗力所导致延误履行合同或不能履行合同，受阻方将不因此而构成违约。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如果不可抗力已发生并持续一百八十（180）天，则尽管由于此原因可能已允许乙方延长合同期限，双方中任何一方均有权在通知对方三十（30）天后终止合同。</w:t>
      </w:r>
    </w:p>
    <w:p>
      <w:pPr>
        <w:pStyle w:val="8"/>
        <w:snapToGrid w:val="0"/>
        <w:spacing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1"/>
        <w:rPr>
          <w:rFonts w:hint="eastAsia" w:ascii="宋体" w:hAnsi="宋体" w:eastAsia="宋体" w:cs="宋体"/>
          <w:b/>
          <w:bCs/>
          <w:color w:val="auto"/>
          <w:highlight w:val="none"/>
        </w:rPr>
      </w:pPr>
      <w:bookmarkStart w:id="1619" w:name="_Toc29287"/>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6</w:t>
      </w:r>
      <w:r>
        <w:rPr>
          <w:rFonts w:hint="eastAsia" w:ascii="宋体" w:hAnsi="宋体" w:eastAsia="宋体" w:cs="宋体"/>
          <w:b/>
          <w:color w:val="auto"/>
          <w:highlight w:val="none"/>
        </w:rPr>
        <w:t>.</w:t>
      </w:r>
      <w:r>
        <w:rPr>
          <w:rFonts w:hint="eastAsia" w:ascii="宋体" w:hAnsi="宋体" w:eastAsia="宋体" w:cs="宋体"/>
          <w:b/>
          <w:bCs/>
          <w:color w:val="auto"/>
          <w:highlight w:val="none"/>
        </w:rPr>
        <w:t>合同解除和终止</w:t>
      </w:r>
      <w:bookmarkEnd w:id="1558"/>
      <w:bookmarkEnd w:id="1559"/>
      <w:bookmarkEnd w:id="1560"/>
      <w:bookmarkEnd w:id="1561"/>
      <w:bookmarkEnd w:id="1562"/>
      <w:bookmarkEnd w:id="1563"/>
      <w:bookmarkEnd w:id="1619"/>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.1合同自然终止</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甲乙双方各自完成合同规定的责任和义务或发生不可抗力，合同自然终止。</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 违约违规终止合同</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.2.1在合同有效期内，如发现乙方违法分包、转包或挂靠，或前期存在围标串标或提供虚假资料情形的，甲方将单方终止合同，乙方须承担违约责任、赔偿甲方的一切经济损失</w:t>
      </w:r>
      <w:r>
        <w:rPr>
          <w:rFonts w:hint="eastAsia" w:ascii="宋体" w:hAnsi="宋体" w:cs="宋体"/>
          <w:color w:val="auto"/>
          <w:highlight w:val="none"/>
          <w:lang w:eastAsia="zh-CN"/>
        </w:rPr>
        <w:t>。</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.2.2合同成立后，若乙方不按合同履行职责导致对甲方安全运营、名誉、形象等造成影响，甲方有权终止合同。</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.2.3 按照违约责任情形甲方有权解除（终止）合同。</w:t>
      </w:r>
      <w:bookmarkStart w:id="1620" w:name="_Toc370933884"/>
      <w:bookmarkStart w:id="1621" w:name="_Toc492478791"/>
      <w:bookmarkStart w:id="1622" w:name="_Toc13343"/>
      <w:bookmarkStart w:id="1623" w:name="_Toc6421"/>
      <w:bookmarkStart w:id="1624" w:name="_Toc22330"/>
      <w:bookmarkStart w:id="1625" w:name="_Toc23442"/>
      <w:bookmarkStart w:id="1626" w:name="_Toc28875"/>
      <w:bookmarkStart w:id="1627" w:name="_Toc25750662"/>
      <w:bookmarkStart w:id="1628" w:name="_Toc6374"/>
      <w:bookmarkStart w:id="1629" w:name="_Toc19209"/>
      <w:bookmarkStart w:id="1630" w:name="_Toc15635"/>
      <w:bookmarkStart w:id="1631" w:name="_Toc17344"/>
      <w:bookmarkStart w:id="1632" w:name="_Toc25119"/>
      <w:bookmarkStart w:id="1633" w:name="_Toc385427867"/>
      <w:bookmarkStart w:id="1634" w:name="_Toc10304"/>
      <w:bookmarkStart w:id="1635" w:name="_Toc864"/>
      <w:bookmarkStart w:id="1636" w:name="_Toc32638"/>
      <w:bookmarkStart w:id="1637" w:name="_Toc2458"/>
      <w:bookmarkStart w:id="1638" w:name="_Toc32071"/>
      <w:bookmarkStart w:id="1639" w:name="_Toc3019"/>
      <w:bookmarkStart w:id="1640" w:name="_Toc3785"/>
      <w:bookmarkStart w:id="1641" w:name="_Toc378514981"/>
      <w:bookmarkStart w:id="1642" w:name="_Toc390098493"/>
      <w:bookmarkStart w:id="1643" w:name="_Toc26295"/>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644" w:name="_Toc25095"/>
      <w:bookmarkStart w:id="1645" w:name="_Toc7767"/>
      <w:bookmarkStart w:id="1646" w:name="_Toc21194"/>
      <w:bookmarkStart w:id="1647" w:name="_Toc27086"/>
      <w:bookmarkStart w:id="1648" w:name="_Toc10563"/>
      <w:bookmarkStart w:id="1649" w:name="_Toc24899"/>
      <w:bookmarkStart w:id="1650" w:name="_Toc6888"/>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7</w:t>
      </w:r>
      <w:r>
        <w:rPr>
          <w:rFonts w:hint="eastAsia" w:ascii="宋体" w:hAnsi="宋体" w:eastAsia="宋体" w:cs="宋体"/>
          <w:b/>
          <w:color w:val="auto"/>
          <w:highlight w:val="none"/>
        </w:rPr>
        <w:t>.通知</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tabs>
          <w:tab w:val="left" w:pos="840"/>
          <w:tab w:val="left" w:pos="1843"/>
        </w:tabs>
        <w:spacing w:before="0" w:after="0" w:afterAutospacing="0"/>
        <w:ind w:left="0" w:right="0" w:firstLine="420" w:firstLineChars="200"/>
        <w:outlineLvl w:val="1"/>
        <w:rPr>
          <w:rFonts w:hint="eastAsia" w:ascii="宋体" w:hAnsi="宋体" w:eastAsia="宋体" w:cs="宋体"/>
          <w:color w:val="auto"/>
          <w:highlight w:val="none"/>
        </w:rPr>
      </w:pPr>
      <w:bookmarkStart w:id="1651" w:name="_Toc4928"/>
      <w:bookmarkStart w:id="1652" w:name="_Toc16348"/>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bookmarkEnd w:id="1651"/>
      <w:bookmarkEnd w:id="1652"/>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.2通知的内容包括合同项下的批复、意见、指令、说明和证据。</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653" w:name="_Toc459797543"/>
      <w:bookmarkEnd w:id="1653"/>
      <w:bookmarkStart w:id="1654" w:name="_Toc459730502"/>
      <w:bookmarkEnd w:id="1654"/>
      <w:bookmarkStart w:id="1655" w:name="_Toc459730505"/>
      <w:bookmarkEnd w:id="1655"/>
      <w:bookmarkStart w:id="1656" w:name="_Toc459730503"/>
      <w:bookmarkEnd w:id="1656"/>
      <w:bookmarkStart w:id="1657" w:name="_Toc459797540"/>
      <w:bookmarkEnd w:id="1657"/>
      <w:bookmarkStart w:id="1658" w:name="_Toc459797570"/>
      <w:bookmarkEnd w:id="1658"/>
      <w:bookmarkStart w:id="1659" w:name="_Toc459797564"/>
      <w:bookmarkEnd w:id="1659"/>
      <w:bookmarkStart w:id="1660" w:name="_Toc459797547"/>
      <w:bookmarkEnd w:id="1660"/>
      <w:bookmarkStart w:id="1661" w:name="_Toc459730493"/>
      <w:bookmarkEnd w:id="1661"/>
      <w:bookmarkStart w:id="1662" w:name="_Toc459730490"/>
      <w:bookmarkEnd w:id="1662"/>
      <w:bookmarkStart w:id="1663" w:name="_Toc459730487"/>
      <w:bookmarkEnd w:id="1663"/>
      <w:bookmarkStart w:id="1664" w:name="_Toc459730491"/>
      <w:bookmarkEnd w:id="1664"/>
      <w:bookmarkStart w:id="1665" w:name="_Toc459797553"/>
      <w:bookmarkEnd w:id="1665"/>
      <w:bookmarkStart w:id="1666" w:name="_Toc459797559"/>
      <w:bookmarkEnd w:id="1666"/>
      <w:bookmarkStart w:id="1667" w:name="_Toc459730513"/>
      <w:bookmarkEnd w:id="1667"/>
      <w:bookmarkStart w:id="1668" w:name="_Toc459797569"/>
      <w:bookmarkEnd w:id="1668"/>
      <w:bookmarkStart w:id="1669" w:name="_Toc459730499"/>
      <w:bookmarkEnd w:id="1669"/>
      <w:bookmarkStart w:id="1670" w:name="_Toc459797556"/>
      <w:bookmarkEnd w:id="1670"/>
      <w:bookmarkStart w:id="1671" w:name="_Toc459730516"/>
      <w:bookmarkEnd w:id="1671"/>
      <w:bookmarkStart w:id="1672" w:name="_Toc459797551"/>
      <w:bookmarkEnd w:id="1672"/>
      <w:bookmarkStart w:id="1673" w:name="_Toc459797550"/>
      <w:bookmarkEnd w:id="1673"/>
      <w:bookmarkStart w:id="1674" w:name="_Toc459797546"/>
      <w:bookmarkEnd w:id="1674"/>
      <w:bookmarkStart w:id="1675" w:name="_Toc459797561"/>
      <w:bookmarkEnd w:id="1675"/>
      <w:bookmarkStart w:id="1676" w:name="_Toc459797545"/>
      <w:bookmarkEnd w:id="1676"/>
      <w:bookmarkStart w:id="1677" w:name="_Toc459797567"/>
      <w:bookmarkEnd w:id="1677"/>
      <w:bookmarkStart w:id="1678" w:name="_Toc459730506"/>
      <w:bookmarkEnd w:id="1678"/>
      <w:bookmarkStart w:id="1679" w:name="_Toc459730507"/>
      <w:bookmarkEnd w:id="1679"/>
      <w:bookmarkStart w:id="1680" w:name="_Toc459797562"/>
      <w:bookmarkEnd w:id="1680"/>
      <w:bookmarkStart w:id="1681" w:name="_Toc459797557"/>
      <w:bookmarkEnd w:id="1681"/>
      <w:bookmarkStart w:id="1682" w:name="_Toc459730511"/>
      <w:bookmarkEnd w:id="1682"/>
      <w:bookmarkStart w:id="1683" w:name="_Toc459797558"/>
      <w:bookmarkEnd w:id="1683"/>
      <w:bookmarkStart w:id="1684" w:name="_Toc459797560"/>
      <w:bookmarkEnd w:id="1684"/>
      <w:bookmarkStart w:id="1685" w:name="_Toc459730517"/>
      <w:bookmarkEnd w:id="1685"/>
      <w:bookmarkStart w:id="1686" w:name="_Toc459797538"/>
      <w:bookmarkEnd w:id="1686"/>
      <w:bookmarkStart w:id="1687" w:name="_Toc459797544"/>
      <w:bookmarkEnd w:id="1687"/>
      <w:bookmarkStart w:id="1688" w:name="_Toc459797552"/>
      <w:bookmarkEnd w:id="1688"/>
      <w:bookmarkStart w:id="1689" w:name="_Toc459797549"/>
      <w:bookmarkEnd w:id="1689"/>
      <w:bookmarkStart w:id="1690" w:name="_Toc459730496"/>
      <w:bookmarkEnd w:id="1690"/>
      <w:bookmarkStart w:id="1691" w:name="_Toc459797566"/>
      <w:bookmarkEnd w:id="1691"/>
      <w:bookmarkStart w:id="1692" w:name="_Toc459730509"/>
      <w:bookmarkEnd w:id="1692"/>
      <w:bookmarkStart w:id="1693" w:name="_Toc459730508"/>
      <w:bookmarkEnd w:id="1693"/>
      <w:bookmarkStart w:id="1694" w:name="_Toc459730485"/>
      <w:bookmarkEnd w:id="1694"/>
      <w:bookmarkStart w:id="1695" w:name="_Toc459730488"/>
      <w:bookmarkEnd w:id="1695"/>
      <w:bookmarkStart w:id="1696" w:name="_Toc459730512"/>
      <w:bookmarkEnd w:id="1696"/>
      <w:bookmarkStart w:id="1697" w:name="_Toc459797541"/>
      <w:bookmarkEnd w:id="1697"/>
      <w:bookmarkStart w:id="1698" w:name="_Toc459730515"/>
      <w:bookmarkEnd w:id="1698"/>
      <w:bookmarkStart w:id="1699" w:name="_Toc459730514"/>
      <w:bookmarkEnd w:id="1699"/>
      <w:bookmarkStart w:id="1700" w:name="_Toc459730510"/>
      <w:bookmarkEnd w:id="1700"/>
      <w:bookmarkStart w:id="1701" w:name="_Toc459797542"/>
      <w:bookmarkEnd w:id="1701"/>
      <w:bookmarkStart w:id="1702" w:name="_Toc459730500"/>
      <w:bookmarkEnd w:id="1702"/>
      <w:bookmarkStart w:id="1703" w:name="_Toc459797565"/>
      <w:bookmarkEnd w:id="1703"/>
      <w:bookmarkStart w:id="1704" w:name="_Toc459730489"/>
      <w:bookmarkEnd w:id="1704"/>
      <w:bookmarkStart w:id="1705" w:name="_Toc459730494"/>
      <w:bookmarkEnd w:id="1705"/>
      <w:bookmarkStart w:id="1706" w:name="_Toc459797548"/>
      <w:bookmarkEnd w:id="1706"/>
      <w:bookmarkStart w:id="1707" w:name="_Toc459797539"/>
      <w:bookmarkEnd w:id="1707"/>
      <w:bookmarkStart w:id="1708" w:name="_Toc459730501"/>
      <w:bookmarkEnd w:id="1708"/>
      <w:bookmarkStart w:id="1709" w:name="_Toc459797563"/>
      <w:bookmarkEnd w:id="1709"/>
      <w:bookmarkStart w:id="1710" w:name="_Toc459730486"/>
      <w:bookmarkEnd w:id="1710"/>
      <w:bookmarkStart w:id="1711" w:name="_Toc459730498"/>
      <w:bookmarkEnd w:id="1711"/>
      <w:bookmarkStart w:id="1712" w:name="_Toc459797568"/>
      <w:bookmarkEnd w:id="1712"/>
      <w:bookmarkStart w:id="1713" w:name="_Toc459730497"/>
      <w:bookmarkEnd w:id="1713"/>
      <w:bookmarkStart w:id="1714" w:name="_Toc459730495"/>
      <w:bookmarkEnd w:id="1714"/>
      <w:bookmarkStart w:id="1715" w:name="_Toc459797554"/>
      <w:bookmarkEnd w:id="1715"/>
      <w:bookmarkStart w:id="1716" w:name="_Toc459797555"/>
      <w:bookmarkEnd w:id="1716"/>
      <w:bookmarkStart w:id="1717" w:name="_Toc459730492"/>
      <w:bookmarkEnd w:id="1717"/>
      <w:bookmarkStart w:id="1718" w:name="_Toc459730504"/>
      <w:bookmarkEnd w:id="1718"/>
      <w:bookmarkStart w:id="1719" w:name="_Toc8824"/>
      <w:bookmarkStart w:id="1720" w:name="_Toc2036"/>
      <w:bookmarkStart w:id="1721" w:name="_Toc2650"/>
      <w:bookmarkStart w:id="1722" w:name="_Toc11504"/>
      <w:bookmarkStart w:id="1723" w:name="_Toc5946"/>
      <w:bookmarkStart w:id="1724" w:name="_Toc16771"/>
      <w:bookmarkStart w:id="1725" w:name="_Toc9520"/>
      <w:bookmarkStart w:id="1726" w:name="_Toc6462"/>
      <w:bookmarkStart w:id="1727" w:name="_Toc20826"/>
      <w:bookmarkStart w:id="1728" w:name="_Toc925"/>
      <w:bookmarkStart w:id="1729" w:name="_Toc14240"/>
      <w:bookmarkStart w:id="1730" w:name="_Toc20780"/>
      <w:bookmarkStart w:id="1731" w:name="_Toc24789"/>
      <w:bookmarkStart w:id="1732" w:name="_Toc25406"/>
      <w:bookmarkStart w:id="1733" w:name="_Toc2427"/>
      <w:bookmarkStart w:id="1734" w:name="_Toc4370"/>
      <w:bookmarkStart w:id="1735" w:name="_Toc11322"/>
      <w:bookmarkStart w:id="1736" w:name="_Toc370933887"/>
      <w:bookmarkStart w:id="1737" w:name="_Toc11286"/>
      <w:bookmarkStart w:id="1738" w:name="_Toc492478800"/>
      <w:bookmarkStart w:id="1739" w:name="_Toc25859"/>
      <w:bookmarkStart w:id="1740" w:name="_Toc385427876"/>
      <w:bookmarkStart w:id="1741" w:name="_Toc27400"/>
      <w:bookmarkStart w:id="1742" w:name="_Toc26446"/>
      <w:bookmarkStart w:id="1743" w:name="_Toc16845"/>
      <w:bookmarkStart w:id="1744" w:name="_Toc309"/>
      <w:bookmarkStart w:id="1745" w:name="_Toc378514990"/>
      <w:bookmarkStart w:id="1746" w:name="_Toc27029"/>
      <w:bookmarkStart w:id="1747" w:name="_Toc25750670"/>
      <w:bookmarkStart w:id="1748" w:name="_Toc8642"/>
      <w:bookmarkStart w:id="1749" w:name="_Toc390098502"/>
      <w:r>
        <w:rPr>
          <w:rFonts w:hint="eastAsia" w:ascii="宋体" w:hAnsi="宋体" w:cs="宋体"/>
          <w:b/>
          <w:color w:val="auto"/>
          <w:highlight w:val="none"/>
          <w:lang w:val="en-US" w:eastAsia="zh-CN"/>
        </w:rPr>
        <w:t>18</w:t>
      </w:r>
      <w:r>
        <w:rPr>
          <w:rFonts w:hint="eastAsia" w:ascii="宋体" w:hAnsi="宋体" w:eastAsia="宋体" w:cs="宋体"/>
          <w:b/>
          <w:color w:val="auto"/>
          <w:highlight w:val="none"/>
        </w:rPr>
        <w:t>.争端的解决</w:t>
      </w:r>
      <w:bookmarkEnd w:id="1719"/>
      <w:bookmarkEnd w:id="1720"/>
      <w:bookmarkEnd w:id="1721"/>
      <w:bookmarkEnd w:id="1722"/>
      <w:bookmarkEnd w:id="1723"/>
      <w:bookmarkEnd w:id="1724"/>
      <w:bookmarkEnd w:id="1725"/>
    </w:p>
    <w:p>
      <w:pPr>
        <w:tabs>
          <w:tab w:val="left" w:pos="960"/>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750" w:name="_Toc12700"/>
      <w:bookmarkStart w:id="1751" w:name="_Toc12709"/>
      <w:bookmarkStart w:id="1752" w:name="_Toc18544"/>
      <w:bookmarkStart w:id="1753" w:name="_Toc3801"/>
      <w:bookmarkStart w:id="1754" w:name="_Toc7020"/>
      <w:bookmarkStart w:id="1755" w:name="_Toc5150"/>
      <w:bookmarkStart w:id="1756" w:name="_Toc29997"/>
      <w:r>
        <w:rPr>
          <w:rFonts w:hint="eastAsia" w:ascii="宋体" w:hAnsi="宋体" w:cs="宋体"/>
          <w:b/>
          <w:color w:val="auto"/>
          <w:highlight w:val="none"/>
          <w:lang w:val="en-US" w:eastAsia="zh-CN"/>
        </w:rPr>
        <w:t>19</w:t>
      </w:r>
      <w:r>
        <w:rPr>
          <w:rFonts w:hint="eastAsia" w:ascii="宋体" w:hAnsi="宋体" w:eastAsia="宋体" w:cs="宋体"/>
          <w:b/>
          <w:color w:val="auto"/>
          <w:highlight w:val="none"/>
        </w:rPr>
        <w:t>.合同生效和签约地</w:t>
      </w:r>
      <w:bookmarkEnd w:id="1750"/>
      <w:bookmarkEnd w:id="1751"/>
      <w:bookmarkEnd w:id="1752"/>
      <w:bookmarkEnd w:id="1753"/>
      <w:bookmarkEnd w:id="1754"/>
      <w:bookmarkEnd w:id="1755"/>
      <w:bookmarkEnd w:id="1756"/>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本合同生效的时间以双方签署的协议书上的最后日期为准。</w:t>
      </w:r>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本合同签约地为中华人民共和国广西壮族自治区南宁市青秀区。</w:t>
      </w:r>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本合同将在各方授权代表签字后方可生效。</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420"/>
          <w:tab w:val="left" w:pos="1134"/>
        </w:tabs>
        <w:spacing w:before="0" w:after="0" w:afterAutospacing="0"/>
        <w:ind w:left="0" w:right="0" w:firstLine="422" w:firstLineChars="200"/>
        <w:rPr>
          <w:rFonts w:ascii="宋体" w:hAnsi="宋体"/>
          <w:b/>
          <w:highlight w:val="none"/>
        </w:rPr>
      </w:pPr>
      <w:bookmarkStart w:id="1757" w:name="_Toc1011"/>
      <w:bookmarkStart w:id="1758" w:name="_Toc29368"/>
      <w:bookmarkStart w:id="1759" w:name="_Toc20830"/>
      <w:bookmarkStart w:id="1760" w:name="_Toc385427873"/>
      <w:bookmarkStart w:id="1761" w:name="_Toc6480"/>
      <w:bookmarkStart w:id="1762" w:name="_Toc492478796"/>
      <w:bookmarkStart w:id="1763" w:name="_Toc2372"/>
      <w:bookmarkStart w:id="1764" w:name="_Toc572"/>
      <w:bookmarkStart w:id="1765" w:name="_Toc18491"/>
      <w:bookmarkStart w:id="1766" w:name="_Toc24673"/>
      <w:bookmarkStart w:id="1767" w:name="_Toc390098499"/>
      <w:bookmarkStart w:id="1768" w:name="_Toc21485"/>
      <w:bookmarkStart w:id="1769" w:name="_Toc23740"/>
      <w:bookmarkStart w:id="1770" w:name="_Toc10177"/>
      <w:bookmarkStart w:id="1771" w:name="_Toc25750666"/>
      <w:bookmarkStart w:id="1772" w:name="_Toc24951"/>
      <w:bookmarkStart w:id="1773" w:name="_Toc8992"/>
      <w:bookmarkStart w:id="1774" w:name="_Toc22055"/>
      <w:bookmarkStart w:id="1775" w:name="_Toc25577"/>
      <w:bookmarkStart w:id="1776" w:name="_Toc1489"/>
      <w:bookmarkStart w:id="1777" w:name="_Toc2474"/>
      <w:bookmarkStart w:id="1778" w:name="_Toc378514987"/>
      <w:r>
        <w:rPr>
          <w:rFonts w:hint="eastAsia" w:ascii="宋体" w:hAnsi="宋体"/>
          <w:b/>
          <w:highlight w:val="none"/>
        </w:rPr>
        <w:t>2</w:t>
      </w:r>
      <w:r>
        <w:rPr>
          <w:rFonts w:hint="eastAsia" w:ascii="宋体" w:hAnsi="宋体"/>
          <w:b/>
          <w:highlight w:val="none"/>
          <w:lang w:val="en-US" w:eastAsia="zh-CN"/>
        </w:rPr>
        <w:t>0</w:t>
      </w:r>
      <w:r>
        <w:rPr>
          <w:rFonts w:ascii="宋体" w:hAnsi="宋体"/>
          <w:b/>
          <w:highlight w:val="none"/>
        </w:rPr>
        <w:t>.</w:t>
      </w:r>
      <w:r>
        <w:rPr>
          <w:rFonts w:hint="eastAsia" w:ascii="宋体" w:hAnsi="宋体"/>
          <w:b/>
          <w:highlight w:val="none"/>
        </w:rPr>
        <w:t>索赔与赔偿</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.1乙方根据合同要求按时、按质、按量提交阶段性成果文件，对成果的质量负责；</w:t>
      </w:r>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.2乙方须根据甲方及成果上报需要及时提供中间成果文件。</w:t>
      </w:r>
    </w:p>
    <w:p>
      <w:pPr>
        <w:spacing w:before="0" w:after="0" w:afterAutospacing="0"/>
        <w:ind w:left="0" w:right="0" w:firstLine="200"/>
        <w:rPr>
          <w:rFonts w:ascii="宋体" w:hAnsi="宋体"/>
          <w:highlight w:val="none"/>
        </w:rPr>
      </w:pPr>
      <w:r>
        <w:rPr>
          <w:rFonts w:hint="eastAsia" w:ascii="宋体" w:hAnsi="宋体"/>
          <w:highlight w:val="none"/>
        </w:rPr>
        <w:t xml:space="preserve">  2</w:t>
      </w:r>
      <w:r>
        <w:rPr>
          <w:rFonts w:hint="eastAsia" w:ascii="宋体" w:hAnsi="宋体"/>
          <w:highlight w:val="none"/>
          <w:lang w:val="en-US" w:eastAsia="zh-CN"/>
        </w:rPr>
        <w:t>0</w:t>
      </w:r>
      <w:r>
        <w:rPr>
          <w:rFonts w:hint="eastAsia" w:ascii="宋体" w:hAnsi="宋体"/>
          <w:highlight w:val="none"/>
        </w:rPr>
        <w:t>.3乙方须根据有关评审意见和要求修改完善各阶段报告；</w:t>
      </w:r>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.4乙方须负责成果验收的解释澄清工作并协助甲方完成报告验收。</w:t>
      </w:r>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.5因乙方原因未按合同约定时间提交成果报告，每超过一日，应减收合同总价千分之五。</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.6乙方提供的成果报告质量不合格，乙方应无条件负责在规定的时间内完成返工并使其达到合格，因此给甲方造成损失的，乙方应按实际损失向甲方进行赔偿，赔偿金额不超过合同额。</w:t>
      </w:r>
    </w:p>
    <w:p>
      <w:pPr>
        <w:spacing w:before="0" w:after="0" w:afterAutospacing="0"/>
        <w:ind w:left="0" w:right="0" w:firstLine="420" w:firstLineChars="200"/>
        <w:rPr>
          <w:rFonts w:hint="eastAsia"/>
          <w:highlight w:val="none"/>
        </w:rPr>
      </w:pPr>
    </w:p>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779" w:name="_Toc18275"/>
      <w:bookmarkStart w:id="1780" w:name="_Toc23457"/>
      <w:bookmarkStart w:id="1781" w:name="_Toc14434"/>
      <w:bookmarkStart w:id="1782" w:name="_Toc19143"/>
      <w:bookmarkStart w:id="1783" w:name="_Toc6568"/>
      <w:bookmarkStart w:id="1784" w:name="_Toc2945"/>
      <w:bookmarkStart w:id="1785" w:name="_Toc19445"/>
      <w:r>
        <w:rPr>
          <w:rFonts w:hint="eastAsia" w:ascii="宋体" w:hAnsi="宋体" w:eastAsia="宋体" w:cs="宋体"/>
          <w:b/>
          <w:color w:val="auto"/>
          <w:highlight w:val="none"/>
          <w:lang w:val="en-US" w:eastAsia="zh-CN"/>
        </w:rPr>
        <w:t>2</w:t>
      </w:r>
      <w:r>
        <w:rPr>
          <w:rFonts w:hint="eastAsia" w:ascii="宋体" w:hAnsi="宋体" w:cs="宋体"/>
          <w:b/>
          <w:color w:val="auto"/>
          <w:highlight w:val="none"/>
          <w:lang w:val="en-US" w:eastAsia="zh-CN"/>
        </w:rPr>
        <w:t>1</w:t>
      </w:r>
      <w:r>
        <w:rPr>
          <w:rFonts w:hint="eastAsia" w:ascii="宋体" w:hAnsi="宋体" w:eastAsia="宋体" w:cs="宋体"/>
          <w:b/>
          <w:color w:val="auto"/>
          <w:highlight w:val="none"/>
        </w:rPr>
        <w:t>.其他</w:t>
      </w:r>
      <w:bookmarkEnd w:id="1779"/>
      <w:bookmarkEnd w:id="1780"/>
      <w:bookmarkEnd w:id="1781"/>
      <w:bookmarkEnd w:id="1782"/>
      <w:bookmarkEnd w:id="1783"/>
      <w:bookmarkEnd w:id="1784"/>
      <w:bookmarkEnd w:id="1785"/>
    </w:p>
    <w:p>
      <w:pPr>
        <w:pStyle w:val="12"/>
        <w:ind w:left="705" w:leftChars="200" w:hanging="285" w:hangingChars="136"/>
        <w:rPr>
          <w:rFonts w:hint="eastAsia" w:ascii="宋体" w:hAnsi="宋体" w:eastAsia="宋体" w:cs="Times New Roman"/>
          <w:sz w:val="21"/>
          <w:szCs w:val="21"/>
          <w:highlight w:val="none"/>
          <w:lang w:val="en-US" w:eastAsia="zh-CN" w:bidi="ar-SA"/>
        </w:rPr>
      </w:pPr>
      <w:r>
        <w:rPr>
          <w:rFonts w:hint="eastAsia" w:ascii="宋体" w:hAnsi="宋体" w:eastAsia="宋体" w:cs="Times New Roman"/>
          <w:sz w:val="21"/>
          <w:szCs w:val="21"/>
          <w:highlight w:val="none"/>
          <w:lang w:val="en-US" w:eastAsia="zh-CN" w:bidi="ar-SA"/>
        </w:rPr>
        <w:t>本合同未尽事宜，由双方协商解决，必要时可签订补充合同。</w:t>
      </w:r>
    </w:p>
    <w:p>
      <w:pPr>
        <w:ind w:left="705" w:leftChars="200" w:hanging="285" w:hangingChars="136"/>
        <w:rPr>
          <w:rFonts w:hint="eastAsia" w:ascii="宋体" w:hAnsi="宋体" w:eastAsia="宋体" w:cs="宋体"/>
          <w:color w:val="auto"/>
          <w:highlight w:val="none"/>
        </w:rPr>
      </w:pPr>
      <w:r>
        <w:rPr>
          <w:rFonts w:hint="eastAsia" w:ascii="宋体" w:hAnsi="宋体" w:eastAsia="宋体" w:cs="宋体"/>
          <w:color w:val="auto"/>
          <w:highlight w:val="none"/>
        </w:rPr>
        <w:br w:type="page"/>
      </w:r>
    </w:p>
    <w:p>
      <w:pPr>
        <w:numPr>
          <w:ilvl w:val="0"/>
          <w:numId w:val="0"/>
        </w:numPr>
        <w:spacing w:before="0"/>
        <w:ind w:right="0" w:firstLine="200"/>
        <w:jc w:val="center"/>
        <w:outlineLvl w:val="1"/>
        <w:rPr>
          <w:rFonts w:hint="eastAsia" w:ascii="宋体" w:hAnsi="宋体"/>
          <w:b/>
          <w:color w:val="auto"/>
          <w:sz w:val="24"/>
          <w:szCs w:val="24"/>
          <w:highlight w:val="none"/>
          <w:lang w:val="en-US" w:eastAsia="zh-CN"/>
        </w:rPr>
      </w:pPr>
      <w:bookmarkStart w:id="1786" w:name="_Toc10564"/>
      <w:bookmarkStart w:id="1787" w:name="_Toc24428"/>
      <w:r>
        <w:rPr>
          <w:rFonts w:hint="eastAsia" w:ascii="宋体" w:hAnsi="宋体" w:cs="Times New Roman"/>
          <w:b/>
          <w:color w:val="auto"/>
          <w:sz w:val="24"/>
          <w:szCs w:val="24"/>
          <w:highlight w:val="none"/>
          <w:lang w:val="en-US" w:eastAsia="zh-CN" w:bidi="ar-SA"/>
        </w:rPr>
        <w:t>四</w:t>
      </w:r>
      <w:r>
        <w:rPr>
          <w:rFonts w:hint="eastAsia" w:ascii="宋体" w:hAnsi="宋体" w:eastAsia="宋体" w:cs="Times New Roman"/>
          <w:b/>
          <w:color w:val="auto"/>
          <w:sz w:val="24"/>
          <w:szCs w:val="24"/>
          <w:highlight w:val="none"/>
          <w:lang w:val="en-US" w:eastAsia="zh-CN" w:bidi="ar-SA"/>
        </w:rPr>
        <w:t>、</w:t>
      </w:r>
      <w:r>
        <w:rPr>
          <w:rFonts w:hint="eastAsia" w:ascii="宋体" w:hAnsi="宋体"/>
          <w:b/>
          <w:color w:val="auto"/>
          <w:sz w:val="24"/>
          <w:szCs w:val="24"/>
          <w:highlight w:val="none"/>
          <w:lang w:val="en-US" w:eastAsia="zh-CN"/>
        </w:rPr>
        <w:t>价格组成文件</w:t>
      </w:r>
      <w:bookmarkEnd w:id="1786"/>
      <w:bookmarkEnd w:id="1787"/>
    </w:p>
    <w:p>
      <w:pPr>
        <w:pStyle w:val="6"/>
        <w:outlineLvl w:val="1"/>
        <w:rPr>
          <w:rFonts w:hint="eastAsia" w:ascii="宋体" w:hAnsi="宋体" w:cs="宋体"/>
          <w:b w:val="0"/>
          <w:color w:val="auto"/>
          <w:sz w:val="21"/>
          <w:szCs w:val="21"/>
          <w:highlight w:val="none"/>
        </w:rPr>
      </w:pPr>
      <w:bookmarkStart w:id="1788" w:name="_Toc4246"/>
      <w:bookmarkStart w:id="1789" w:name="_Toc18337"/>
      <w:r>
        <w:rPr>
          <w:rFonts w:hint="eastAsia" w:ascii="宋体" w:hAnsi="宋体" w:cs="宋体"/>
          <w:b w:val="0"/>
          <w:color w:val="auto"/>
          <w:sz w:val="21"/>
          <w:szCs w:val="21"/>
          <w:highlight w:val="none"/>
        </w:rPr>
        <w:t>1.税率确认函</w:t>
      </w:r>
      <w:bookmarkEnd w:id="1788"/>
      <w:bookmarkEnd w:id="1789"/>
    </w:p>
    <w:p>
      <w:pPr>
        <w:pStyle w:val="6"/>
        <w:outlineLvl w:val="1"/>
        <w:rPr>
          <w:rFonts w:hint="eastAsia" w:ascii="宋体" w:hAnsi="宋体" w:cs="宋体"/>
          <w:b w:val="0"/>
          <w:color w:val="auto"/>
          <w:sz w:val="21"/>
          <w:szCs w:val="21"/>
          <w:highlight w:val="none"/>
        </w:rPr>
      </w:pPr>
      <w:bookmarkStart w:id="1790" w:name="_Toc16376"/>
      <w:bookmarkStart w:id="1791" w:name="_Toc5801"/>
      <w:r>
        <w:rPr>
          <w:rFonts w:hint="eastAsia" w:ascii="宋体" w:hAnsi="宋体" w:cs="宋体"/>
          <w:b w:val="0"/>
          <w:color w:val="auto"/>
          <w:sz w:val="21"/>
          <w:szCs w:val="21"/>
          <w:highlight w:val="none"/>
        </w:rPr>
        <w:t>2.中选文件分项报价表</w:t>
      </w:r>
      <w:bookmarkEnd w:id="1790"/>
      <w:bookmarkEnd w:id="1791"/>
    </w:p>
    <w:p>
      <w:pPr>
        <w:rPr>
          <w:rFonts w:hint="eastAsia" w:ascii="宋体" w:hAnsi="宋体" w:eastAsia="宋体" w:cs="宋体"/>
          <w:color w:val="auto"/>
          <w:sz w:val="21"/>
          <w:szCs w:val="21"/>
          <w:highlight w:val="none"/>
          <w:lang w:val="en-US" w:eastAsia="zh-CN"/>
        </w:rPr>
      </w:pPr>
      <w:r>
        <w:rPr>
          <w:rFonts w:hint="eastAsia" w:ascii="宋体" w:hAnsi="宋体" w:cs="宋体"/>
          <w:b w:val="0"/>
          <w:color w:val="auto"/>
          <w:sz w:val="21"/>
          <w:szCs w:val="21"/>
          <w:highlight w:val="none"/>
          <w:lang w:val="en-US" w:eastAsia="zh-CN"/>
        </w:rPr>
        <w:t>3.含税分项报价汇总表</w:t>
      </w:r>
    </w:p>
    <w:p>
      <w:pPr>
        <w:pStyle w:val="32"/>
        <w:numPr>
          <w:ilvl w:val="-1"/>
          <w:numId w:val="0"/>
        </w:numPr>
        <w:ind w:left="840" w:leftChars="400" w:firstLine="0" w:firstLineChars="0"/>
        <w:rPr>
          <w:rFonts w:hint="eastAsia"/>
          <w:color w:val="auto"/>
          <w:highlight w:val="none"/>
          <w:lang w:eastAsia="zh-CN"/>
        </w:rPr>
      </w:pPr>
    </w:p>
    <w:p>
      <w:pPr>
        <w:pStyle w:val="12"/>
        <w:ind w:left="705" w:leftChars="200" w:hanging="285" w:hangingChars="136"/>
        <w:rPr>
          <w:rFonts w:hint="eastAsia" w:ascii="宋体" w:hAnsi="宋体" w:eastAsia="宋体" w:cs="宋体"/>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pStyle w:val="12"/>
        <w:ind w:left="705" w:leftChars="200" w:hanging="285" w:hangingChars="136"/>
        <w:rPr>
          <w:rFonts w:hint="eastAsia"/>
          <w:color w:val="auto"/>
          <w:highlight w:val="none"/>
        </w:rPr>
      </w:pPr>
    </w:p>
    <w:p>
      <w:pPr>
        <w:ind w:left="705" w:leftChars="200" w:hanging="285" w:hangingChars="136"/>
        <w:rPr>
          <w:rFonts w:hint="eastAsia"/>
          <w:color w:val="auto"/>
          <w:highlight w:val="none"/>
        </w:rPr>
      </w:pPr>
      <w:r>
        <w:rPr>
          <w:rFonts w:hint="eastAsia"/>
          <w:color w:val="auto"/>
          <w:highlight w:val="none"/>
        </w:rPr>
        <w:br w:type="page"/>
      </w:r>
    </w:p>
    <w:p>
      <w:pPr>
        <w:spacing w:before="0" w:after="0" w:afterAutospacing="0"/>
        <w:ind w:left="0" w:right="0" w:firstLine="0"/>
        <w:jc w:val="center"/>
        <w:outlineLvl w:val="9"/>
        <w:rPr>
          <w:rFonts w:hint="eastAsia" w:ascii="宋体" w:hAnsi="宋体"/>
          <w:b/>
          <w:color w:val="auto"/>
          <w:sz w:val="24"/>
          <w:szCs w:val="24"/>
          <w:highlight w:val="none"/>
          <w:lang w:val="en-US" w:eastAsia="zh-CN"/>
        </w:rPr>
      </w:pPr>
      <w:bookmarkStart w:id="1792" w:name="_Toc3084"/>
      <w:bookmarkStart w:id="1793" w:name="_Toc3101"/>
      <w:bookmarkStart w:id="1794" w:name="_Toc14663"/>
      <w:bookmarkStart w:id="1795" w:name="_Toc15938"/>
      <w:bookmarkStart w:id="1796" w:name="_Toc25750672"/>
      <w:bookmarkStart w:id="1797" w:name="_Toc6546"/>
      <w:bookmarkStart w:id="1798" w:name="_Toc27316"/>
      <w:bookmarkStart w:id="1799" w:name="_Toc19448"/>
      <w:bookmarkStart w:id="1800" w:name="_Toc21659"/>
      <w:bookmarkStart w:id="1801" w:name="_Toc5186"/>
      <w:bookmarkStart w:id="1802" w:name="_Toc16716"/>
      <w:bookmarkStart w:id="1803" w:name="_Toc5644"/>
      <w:bookmarkStart w:id="1804" w:name="_Toc14997"/>
      <w:bookmarkStart w:id="1805" w:name="_Toc21033"/>
      <w:bookmarkStart w:id="1806" w:name="_Toc16443"/>
      <w:bookmarkStart w:id="1807" w:name="_Toc12983548"/>
      <w:bookmarkStart w:id="1808" w:name="_Toc13288"/>
      <w:bookmarkStart w:id="1809" w:name="_Toc2753"/>
      <w:bookmarkStart w:id="1810" w:name="_Toc27258"/>
      <w:bookmarkStart w:id="1811" w:name="_Toc29249"/>
      <w:bookmarkStart w:id="1812" w:name="_Toc21635"/>
      <w:bookmarkStart w:id="1813" w:name="_Toc12470"/>
      <w:bookmarkStart w:id="1814" w:name="_Toc6194"/>
      <w:bookmarkStart w:id="1815" w:name="_Toc21372"/>
      <w:r>
        <w:rPr>
          <w:rFonts w:hint="eastAsia" w:ascii="宋体" w:hAnsi="宋体" w:cs="Times New Roman"/>
          <w:b/>
          <w:color w:val="auto"/>
          <w:sz w:val="24"/>
          <w:szCs w:val="24"/>
          <w:highlight w:val="none"/>
          <w:lang w:val="en-US" w:eastAsia="zh-CN" w:bidi="ar-SA"/>
        </w:rPr>
        <w:t>五</w:t>
      </w:r>
      <w:r>
        <w:rPr>
          <w:rFonts w:hint="eastAsia" w:ascii="宋体" w:hAnsi="宋体" w:eastAsia="宋体" w:cs="Times New Roman"/>
          <w:b/>
          <w:color w:val="auto"/>
          <w:sz w:val="24"/>
          <w:szCs w:val="24"/>
          <w:highlight w:val="none"/>
          <w:lang w:val="en-US" w:eastAsia="zh-CN" w:bidi="ar-SA"/>
        </w:rPr>
        <w:t>、</w:t>
      </w:r>
      <w:r>
        <w:rPr>
          <w:rFonts w:hint="eastAsia" w:ascii="宋体" w:hAnsi="宋体"/>
          <w:b/>
          <w:color w:val="auto"/>
          <w:sz w:val="24"/>
          <w:szCs w:val="24"/>
          <w:highlight w:val="none"/>
          <w:lang w:val="en-US" w:eastAsia="zh-CN"/>
        </w:rPr>
        <w:t>技术规格书</w:t>
      </w:r>
    </w:p>
    <w:p>
      <w:pPr>
        <w:bidi w:val="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br w:type="page"/>
      </w:r>
    </w:p>
    <w:p>
      <w:pPr>
        <w:numPr>
          <w:ilvl w:val="0"/>
          <w:numId w:val="14"/>
        </w:numPr>
        <w:bidi w:val="0"/>
        <w:jc w:val="center"/>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合同附件</w:t>
      </w:r>
    </w:p>
    <w:p>
      <w:pPr>
        <w:ind w:left="0" w:leftChars="0" w:firstLine="0" w:firstLineChars="0"/>
        <w:rPr>
          <w:color w:val="auto"/>
          <w:highlight w:val="none"/>
        </w:rPr>
        <w:sectPr>
          <w:pgSz w:w="11906" w:h="16838"/>
          <w:pgMar w:top="1440" w:right="1417" w:bottom="1440" w:left="1440" w:header="567" w:footer="590" w:gutter="0"/>
          <w:pgBorders>
            <w:top w:val="none" w:sz="0" w:space="0"/>
            <w:left w:val="none" w:sz="0" w:space="0"/>
            <w:bottom w:val="none" w:sz="0" w:space="0"/>
            <w:right w:val="none" w:sz="0" w:space="0"/>
          </w:pgBorders>
          <w:pgNumType w:fmt="decimal"/>
          <w:cols w:space="720" w:num="1"/>
          <w:docGrid w:linePitch="312" w:charSpace="0"/>
        </w:sectPr>
      </w:pPr>
      <w:r>
        <w:rPr>
          <w:rFonts w:hint="eastAsia" w:ascii="黑体" w:hAnsi="黑体" w:eastAsia="黑体" w:cs="黑体"/>
          <w:b/>
          <w:bCs/>
          <w:color w:val="auto"/>
          <w:sz w:val="28"/>
          <w:szCs w:val="28"/>
          <w:highlight w:val="none"/>
        </w:rPr>
        <w:br w:type="page"/>
      </w:r>
    </w:p>
    <w:bookmarkEnd w:id="1792"/>
    <w:bookmarkEnd w:id="1793"/>
    <w:bookmarkEnd w:id="1794"/>
    <w:bookmarkEnd w:id="1795"/>
    <w:bookmarkEnd w:id="1796"/>
    <w:bookmarkEnd w:id="1797"/>
    <w:p>
      <w:pPr>
        <w:ind w:left="0" w:leftChars="0" w:firstLine="0" w:firstLineChars="0"/>
        <w:jc w:val="center"/>
        <w:rPr>
          <w:rStyle w:val="35"/>
          <w:rFonts w:hint="eastAsia" w:ascii="宋体" w:hAnsi="宋体" w:eastAsia="宋体" w:cs="Times New Roman"/>
          <w:color w:val="auto"/>
          <w:sz w:val="24"/>
          <w:szCs w:val="24"/>
          <w:highlight w:val="none"/>
        </w:rPr>
      </w:pPr>
      <w:r>
        <w:rPr>
          <w:rFonts w:hint="eastAsia" w:ascii="宋体" w:hAnsi="宋体"/>
          <w:b/>
          <w:color w:val="auto"/>
          <w:sz w:val="24"/>
          <w:szCs w:val="24"/>
          <w:highlight w:val="none"/>
          <w:lang w:val="en-US" w:eastAsia="zh-CN"/>
        </w:rPr>
        <w:t>七</w:t>
      </w:r>
      <w:r>
        <w:rPr>
          <w:rFonts w:hint="eastAsia" w:ascii="宋体" w:hAnsi="宋体"/>
          <w:b/>
          <w:color w:val="auto"/>
          <w:sz w:val="24"/>
          <w:szCs w:val="24"/>
          <w:highlight w:val="none"/>
        </w:rPr>
        <w:t>、</w:t>
      </w:r>
      <w:r>
        <w:rPr>
          <w:rFonts w:hint="eastAsia" w:ascii="宋体" w:hAnsi="宋体" w:eastAsia="宋体" w:cs="Times New Roman"/>
          <w:b/>
          <w:color w:val="auto"/>
          <w:sz w:val="24"/>
          <w:szCs w:val="24"/>
          <w:highlight w:val="none"/>
        </w:rPr>
        <w:t>比选文件（含比选补遗文件） （另册）</w:t>
      </w:r>
    </w:p>
    <w:p>
      <w:pPr>
        <w:rPr>
          <w:rStyle w:val="46"/>
          <w:rFonts w:hint="eastAsia" w:cs="Times New Roman" w:asciiTheme="minorEastAsia" w:hAnsiTheme="minorEastAsia" w:eastAsiaTheme="minorEastAsia"/>
          <w:color w:val="auto"/>
          <w:sz w:val="21"/>
          <w:szCs w:val="21"/>
          <w:highlight w:val="none"/>
        </w:rPr>
      </w:pPr>
      <w:r>
        <w:rPr>
          <w:rStyle w:val="46"/>
          <w:rFonts w:hint="eastAsia" w:cs="Times New Roman" w:asciiTheme="minorEastAsia" w:hAnsiTheme="minorEastAsia" w:eastAsiaTheme="minorEastAsia"/>
          <w:color w:val="auto"/>
          <w:sz w:val="21"/>
          <w:szCs w:val="21"/>
          <w:highlight w:val="none"/>
        </w:rPr>
        <w:br w:type="page"/>
      </w:r>
    </w:p>
    <w:p>
      <w:pPr>
        <w:pStyle w:val="32"/>
        <w:ind w:left="0" w:leftChars="0" w:firstLine="0" w:firstLineChars="0"/>
        <w:jc w:val="center"/>
        <w:rPr>
          <w:rFonts w:hint="eastAsia" w:ascii="宋体" w:hAnsi="宋体" w:eastAsia="宋体" w:cs="Times New Roman"/>
          <w:b/>
          <w:color w:val="auto"/>
          <w:sz w:val="24"/>
          <w:szCs w:val="24"/>
          <w:highlight w:val="none"/>
        </w:rPr>
      </w:pPr>
      <w:r>
        <w:rPr>
          <w:rFonts w:hint="eastAsia" w:ascii="宋体" w:hAnsi="宋体" w:cs="Times New Roman"/>
          <w:b/>
          <w:color w:val="auto"/>
          <w:sz w:val="24"/>
          <w:szCs w:val="24"/>
          <w:highlight w:val="none"/>
          <w:lang w:val="en-US" w:eastAsia="zh-CN"/>
        </w:rPr>
        <w:t>八</w:t>
      </w:r>
      <w:r>
        <w:rPr>
          <w:rFonts w:hint="eastAsia" w:ascii="宋体" w:hAnsi="宋体" w:cs="Times New Roman"/>
          <w:b/>
          <w:color w:val="auto"/>
          <w:sz w:val="24"/>
          <w:szCs w:val="24"/>
          <w:highlight w:val="none"/>
        </w:rPr>
        <w:t>、</w:t>
      </w:r>
      <w:r>
        <w:rPr>
          <w:rFonts w:hint="eastAsia" w:ascii="宋体" w:hAnsi="宋体" w:eastAsia="宋体" w:cs="Times New Roman"/>
          <w:b/>
          <w:color w:val="auto"/>
          <w:sz w:val="24"/>
          <w:szCs w:val="24"/>
          <w:highlight w:val="none"/>
        </w:rPr>
        <w:t>比选申请文件（含比选申请文件的补充文件） （另册）</w:t>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rPr>
      </w:pPr>
    </w:p>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Pr>
        <w:pStyle w:val="2"/>
        <w:pageBreakBefore/>
        <w:ind w:right="-57" w:firstLine="0"/>
        <w:jc w:val="center"/>
        <w:outlineLvl w:val="0"/>
        <w:rPr>
          <w:rStyle w:val="46"/>
          <w:rFonts w:ascii="宋体" w:hAnsi="宋体" w:eastAsia="宋体"/>
          <w:color w:val="auto"/>
          <w:highlight w:val="none"/>
        </w:rPr>
      </w:pPr>
      <w:bookmarkStart w:id="1816" w:name="_Toc4374"/>
      <w:bookmarkStart w:id="1817" w:name="_Toc2601"/>
      <w:bookmarkStart w:id="1818" w:name="_Toc19508"/>
      <w:bookmarkStart w:id="1819" w:name="_Toc29546"/>
      <w:bookmarkStart w:id="1820" w:name="_Toc28192"/>
      <w:bookmarkStart w:id="1821" w:name="_Toc15966"/>
      <w:bookmarkStart w:id="1822" w:name="_Toc9222"/>
      <w:bookmarkStart w:id="1823" w:name="_Toc31485"/>
      <w:bookmarkStart w:id="1824" w:name="_Toc25306"/>
      <w:bookmarkStart w:id="1825" w:name="_Toc23108"/>
      <w:bookmarkStart w:id="1826" w:name="_Toc27263"/>
      <w:bookmarkStart w:id="1827" w:name="_Toc28285"/>
      <w:bookmarkStart w:id="1828" w:name="_Toc17396"/>
      <w:bookmarkStart w:id="1829" w:name="_Toc10582"/>
      <w:bookmarkStart w:id="1830" w:name="_Toc14790"/>
      <w:bookmarkStart w:id="1831" w:name="_Toc17261"/>
      <w:bookmarkStart w:id="1832" w:name="_Toc32011"/>
      <w:bookmarkStart w:id="1833" w:name="_Toc31574"/>
      <w:bookmarkStart w:id="1834" w:name="_Toc11930"/>
      <w:bookmarkStart w:id="1835" w:name="_Toc28677"/>
      <w:bookmarkStart w:id="1836" w:name="_Toc21689"/>
      <w:bookmarkStart w:id="1837" w:name="_Toc13167"/>
      <w:bookmarkStart w:id="1838" w:name="_Toc6151"/>
      <w:bookmarkStart w:id="1839" w:name="_Toc11320"/>
      <w:bookmarkStart w:id="1840" w:name="_Toc30920"/>
      <w:bookmarkStart w:id="1841" w:name="_Toc18201"/>
      <w:bookmarkStart w:id="1842" w:name="_Toc31873"/>
      <w:r>
        <w:rPr>
          <w:rStyle w:val="46"/>
          <w:rFonts w:hint="eastAsia" w:ascii="宋体" w:hAnsi="宋体" w:eastAsia="宋体"/>
          <w:color w:val="auto"/>
          <w:highlight w:val="none"/>
        </w:rPr>
        <w:t>第四章比选申请文件格式</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4"/>
        <w:spacing w:after="100"/>
        <w:ind w:right="-57" w:firstLine="0"/>
        <w:jc w:val="center"/>
        <w:rPr>
          <w:color w:val="auto"/>
          <w:sz w:val="24"/>
          <w:szCs w:val="24"/>
          <w:highlight w:val="none"/>
        </w:rPr>
      </w:pPr>
      <w:bookmarkStart w:id="1843" w:name="_Toc30797"/>
      <w:bookmarkStart w:id="1844" w:name="_Toc18818"/>
      <w:bookmarkStart w:id="1845" w:name="_Toc10205"/>
      <w:bookmarkStart w:id="1846" w:name="_Toc26410"/>
      <w:bookmarkStart w:id="1847" w:name="_Toc20200"/>
      <w:bookmarkStart w:id="1848" w:name="_Toc26986"/>
      <w:bookmarkStart w:id="1849" w:name="_Toc18257"/>
      <w:bookmarkStart w:id="1850" w:name="_Toc20847"/>
      <w:bookmarkStart w:id="1851" w:name="_Toc12983549"/>
      <w:bookmarkStart w:id="1852" w:name="_Toc12984805"/>
      <w:bookmarkStart w:id="1853" w:name="_Toc24824"/>
      <w:bookmarkStart w:id="1854" w:name="_Toc32185"/>
      <w:bookmarkStart w:id="1855" w:name="_Toc31535"/>
      <w:bookmarkStart w:id="1856" w:name="_Toc31624"/>
      <w:bookmarkStart w:id="1857" w:name="_Toc3396"/>
      <w:bookmarkStart w:id="1858" w:name="_Toc361"/>
      <w:bookmarkStart w:id="1859" w:name="_Toc4873"/>
      <w:bookmarkStart w:id="1860" w:name="_Toc22709"/>
      <w:bookmarkStart w:id="1861" w:name="_Toc492478802"/>
      <w:bookmarkStart w:id="1862" w:name="_Toc19412"/>
      <w:bookmarkStart w:id="1863" w:name="_Toc6941"/>
      <w:bookmarkStart w:id="1864" w:name="_Toc24453"/>
      <w:bookmarkStart w:id="1865" w:name="_Toc16671"/>
      <w:bookmarkStart w:id="1866" w:name="_Toc25325"/>
      <w:bookmarkStart w:id="1867" w:name="_Toc30705"/>
      <w:bookmarkStart w:id="1868" w:name="_Toc21274"/>
      <w:bookmarkStart w:id="1869" w:name="_Toc414290520"/>
      <w:bookmarkStart w:id="1870" w:name="_Toc23261"/>
      <w:bookmarkStart w:id="1871" w:name="_Toc4027"/>
      <w:r>
        <w:rPr>
          <w:color w:val="auto"/>
          <w:sz w:val="24"/>
          <w:szCs w:val="24"/>
          <w:highlight w:val="none"/>
        </w:rPr>
        <w:t>A 资格审查</w:t>
      </w:r>
      <w:r>
        <w:rPr>
          <w:rFonts w:hint="eastAsia"/>
          <w:color w:val="auto"/>
          <w:sz w:val="24"/>
          <w:szCs w:val="24"/>
          <w:highlight w:val="none"/>
        </w:rPr>
        <w:t>文件</w:t>
      </w:r>
      <w:bookmarkEnd w:id="1843"/>
      <w:bookmarkEnd w:id="1844"/>
      <w:bookmarkEnd w:id="1845"/>
      <w:bookmarkEnd w:id="1846"/>
      <w:bookmarkEnd w:id="1847"/>
      <w:bookmarkEnd w:id="1848"/>
      <w:bookmarkEnd w:id="1849"/>
      <w:bookmarkEnd w:id="1850"/>
    </w:p>
    <w:p>
      <w:pPr>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资格审查文件格式</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（2）比选申请人有效的营业执照副本复印件；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（3）承诺书（格式见A3）；</w:t>
      </w:r>
    </w:p>
    <w:p>
      <w:pPr>
        <w:shd w:val="clear" w:color="auto" w:fill="auto"/>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类似项目业绩表</w:t>
      </w:r>
      <w:r>
        <w:rPr>
          <w:rFonts w:hint="eastAsia" w:ascii="宋体" w:hAnsi="宋体" w:eastAsia="宋体" w:cs="宋体"/>
          <w:color w:val="auto"/>
          <w:highlight w:val="none"/>
        </w:rPr>
        <w:t>（格式见A</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eastAsia="zh-CN"/>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）比选申请人认为应提交的其他比选申请资料（如有）。</w:t>
      </w:r>
    </w:p>
    <w:p>
      <w:pPr>
        <w:spacing w:before="0" w:after="0" w:afterAutospacing="0"/>
        <w:ind w:left="0" w:right="0" w:firstLine="420" w:firstLineChars="200"/>
        <w:rPr>
          <w:rFonts w:hint="eastAsia" w:ascii="宋体" w:hAnsi="宋体" w:eastAsia="宋体" w:cs="宋体"/>
          <w:color w:val="auto"/>
          <w:highlight w:val="none"/>
        </w:rPr>
      </w:pP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注：以上提供的复印件必须加盖比选申请人公章。</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spacing w:before="0" w:after="0" w:afterAutospacing="0"/>
        <w:ind w:left="0" w:right="0" w:firstLine="420" w:firstLineChars="200"/>
        <w:rPr>
          <w:rFonts w:hint="eastAsia" w:ascii="宋体" w:hAnsi="宋体" w:eastAsia="宋体" w:cs="宋体"/>
          <w:color w:val="auto"/>
          <w:highlight w:val="none"/>
        </w:rPr>
        <w:sectPr>
          <w:footerReference r:id="rId8" w:type="default"/>
          <w:pgSz w:w="11905" w:h="16838"/>
          <w:pgMar w:top="1417" w:right="1417" w:bottom="1417" w:left="1417" w:header="454" w:footer="567" w:gutter="0"/>
          <w:pgNumType w:fmt="decimal"/>
          <w:cols w:space="720" w:num="1"/>
          <w:docGrid w:linePitch="312" w:charSpace="0"/>
        </w:sectPr>
      </w:pPr>
    </w:p>
    <w:p>
      <w:pPr>
        <w:numPr>
          <w:ilvl w:val="1"/>
          <w:numId w:val="15"/>
        </w:numPr>
        <w:snapToGrid w:val="0"/>
        <w:spacing w:before="0" w:line="240" w:lineRule="auto"/>
        <w:ind w:right="0" w:firstLine="0"/>
        <w:jc w:val="left"/>
        <w:outlineLvl w:val="0"/>
        <w:rPr>
          <w:rFonts w:ascii="宋体" w:hAnsi="宋体"/>
          <w:b/>
          <w:color w:val="auto"/>
          <w:highlight w:val="none"/>
        </w:rPr>
      </w:pPr>
      <w:bookmarkStart w:id="1872" w:name="_Toc956"/>
      <w:bookmarkStart w:id="1873" w:name="_Toc20029"/>
      <w:bookmarkStart w:id="1874" w:name="_Toc4125"/>
      <w:bookmarkStart w:id="1875" w:name="_Toc24436"/>
      <w:bookmarkStart w:id="1876" w:name="_Toc10238"/>
      <w:bookmarkStart w:id="1877" w:name="_Toc32455"/>
      <w:bookmarkStart w:id="1878" w:name="_Toc20671"/>
      <w:bookmarkStart w:id="1879" w:name="_Toc13389"/>
      <w:bookmarkStart w:id="1880" w:name="_Toc7201"/>
      <w:bookmarkStart w:id="1881" w:name="_Toc10433"/>
      <w:bookmarkStart w:id="1882" w:name="_Toc12984807"/>
      <w:bookmarkStart w:id="1883" w:name="_Toc9658"/>
      <w:bookmarkStart w:id="1884" w:name="_Toc25750675"/>
      <w:bookmarkStart w:id="1885" w:name="_Toc492478804"/>
      <w:bookmarkStart w:id="1886" w:name="_Toc22533"/>
      <w:bookmarkStart w:id="1887" w:name="_Toc10789"/>
      <w:bookmarkStart w:id="1888" w:name="_Toc7057"/>
      <w:bookmarkStart w:id="1889" w:name="_Toc8868"/>
      <w:bookmarkStart w:id="1890" w:name="_Toc414290522"/>
      <w:bookmarkStart w:id="1891" w:name="_Toc3499"/>
      <w:bookmarkStart w:id="1892" w:name="_Toc16089"/>
      <w:bookmarkStart w:id="1893" w:name="_Toc375564351"/>
      <w:bookmarkStart w:id="1894" w:name="_Toc20283"/>
      <w:bookmarkStart w:id="1895" w:name="_Toc15696"/>
      <w:r>
        <w:rPr>
          <w:rFonts w:hint="eastAsia" w:ascii="宋体" w:hAnsi="宋体"/>
          <w:b/>
          <w:color w:val="auto"/>
          <w:highlight w:val="none"/>
        </w:rPr>
        <w:t xml:space="preserve"> </w:t>
      </w:r>
      <w:bookmarkStart w:id="1896" w:name="_Toc20721"/>
      <w:bookmarkStart w:id="1897" w:name="_Toc19028"/>
      <w:bookmarkStart w:id="1898" w:name="_Toc11387"/>
      <w:bookmarkStart w:id="1899" w:name="_Toc25836"/>
      <w:bookmarkStart w:id="1900" w:name="_Toc12101"/>
      <w:bookmarkStart w:id="1901" w:name="_Toc3990"/>
      <w:r>
        <w:rPr>
          <w:rFonts w:ascii="宋体" w:hAnsi="宋体"/>
          <w:b/>
          <w:color w:val="auto"/>
          <w:highlight w:val="none"/>
        </w:rPr>
        <w:t>法定代表人授权书格式</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rPr>
        <w:t>202401100001</w:t>
      </w:r>
      <w:r>
        <w:rPr>
          <w:rFonts w:ascii="宋体" w:hAnsi="宋体"/>
          <w:color w:val="auto"/>
          <w:highlight w:val="none"/>
        </w:rPr>
        <w:t>的</w:t>
      </w:r>
      <w:r>
        <w:rPr>
          <w:rFonts w:hint="eastAsia" w:ascii="宋体" w:hAnsi="宋体"/>
          <w:color w:val="auto"/>
          <w:highlight w:val="none"/>
          <w:lang w:eastAsia="zh-CN"/>
        </w:rPr>
        <w:t>运营公司安全生产标准化建设一级达标评价项目（2024年-2026年）（</w:t>
      </w:r>
      <w:r>
        <w:rPr>
          <w:rFonts w:hint="eastAsia" w:ascii="宋体" w:hAnsi="宋体"/>
          <w:color w:val="auto"/>
          <w:highlight w:val="none"/>
          <w:lang w:val="en-US" w:eastAsia="zh-CN"/>
        </w:rPr>
        <w:t>第二次</w:t>
      </w:r>
      <w:r>
        <w:rPr>
          <w:rFonts w:hint="eastAsia" w:ascii="宋体" w:hAnsi="宋体"/>
          <w:color w:val="auto"/>
          <w:highlight w:val="none"/>
          <w:lang w:eastAsia="zh-CN"/>
        </w:rPr>
        <w:t>）</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hint="eastAsia" w:ascii="宋体" w:hAnsi="宋体"/>
          <w:b/>
          <w:color w:val="auto"/>
          <w:highlight w:val="none"/>
        </w:rPr>
      </w:pPr>
      <w:r>
        <w:rPr>
          <w:rFonts w:hint="eastAsia" w:ascii="宋体" w:hAnsi="宋体"/>
          <w:b/>
          <w:color w:val="auto"/>
          <w:highlight w:val="none"/>
        </w:rPr>
        <w:t>附：授权代理人身份证复印件</w:t>
      </w:r>
    </w:p>
    <w:p>
      <w:pPr>
        <w:spacing w:before="0"/>
        <w:ind w:right="0" w:firstLine="0"/>
        <w:rPr>
          <w:rFonts w:hint="eastAsia" w:ascii="宋体" w:hAnsi="宋体"/>
          <w:b/>
          <w:color w:val="auto"/>
          <w:highlight w:val="none"/>
        </w:rPr>
      </w:pPr>
      <w:r>
        <w:rPr>
          <w:rFonts w:hint="eastAsia" w:ascii="宋体" w:hAnsi="宋体"/>
          <w:b/>
          <w:color w:val="auto"/>
          <w:highlight w:val="none"/>
        </w:rPr>
        <w:br w:type="page"/>
      </w:r>
    </w:p>
    <w:p>
      <w:pPr>
        <w:numPr>
          <w:ilvl w:val="1"/>
          <w:numId w:val="15"/>
        </w:numPr>
        <w:snapToGrid w:val="0"/>
        <w:spacing w:before="0" w:line="240" w:lineRule="auto"/>
        <w:ind w:right="0" w:firstLine="0"/>
        <w:jc w:val="left"/>
        <w:outlineLvl w:val="0"/>
        <w:rPr>
          <w:rFonts w:ascii="宋体" w:hAnsi="宋体"/>
          <w:b/>
          <w:color w:val="auto"/>
          <w:highlight w:val="none"/>
        </w:rPr>
      </w:pPr>
      <w:bookmarkStart w:id="1902" w:name="_Toc7273"/>
      <w:bookmarkStart w:id="1903" w:name="_Toc15980"/>
      <w:bookmarkStart w:id="1904" w:name="_Toc13798"/>
      <w:bookmarkStart w:id="1905" w:name="_Toc25750676"/>
      <w:bookmarkStart w:id="1906" w:name="_Toc31808"/>
      <w:bookmarkStart w:id="1907" w:name="_Toc12984808"/>
      <w:bookmarkStart w:id="1908" w:name="_Toc9583"/>
      <w:bookmarkStart w:id="1909" w:name="_Toc414290523"/>
      <w:bookmarkStart w:id="1910" w:name="_Toc9757"/>
      <w:bookmarkStart w:id="1911" w:name="_Toc375564352"/>
      <w:bookmarkStart w:id="1912" w:name="_Toc13634"/>
      <w:bookmarkStart w:id="1913" w:name="_Toc6700"/>
      <w:bookmarkStart w:id="1914" w:name="_Toc27657"/>
      <w:bookmarkStart w:id="1915" w:name="_Toc8654"/>
      <w:bookmarkStart w:id="1916" w:name="_Toc15572"/>
      <w:bookmarkStart w:id="1917" w:name="_Toc17964"/>
      <w:bookmarkStart w:id="1918" w:name="_Toc19744"/>
      <w:bookmarkStart w:id="1919" w:name="_Toc13606"/>
      <w:bookmarkStart w:id="1920" w:name="_Toc24322"/>
      <w:bookmarkStart w:id="1921" w:name="_Toc27722"/>
      <w:bookmarkStart w:id="1922" w:name="_Toc492478805"/>
      <w:bookmarkStart w:id="1923" w:name="_Toc7753"/>
      <w:bookmarkStart w:id="1924" w:name="_Toc26713"/>
      <w:bookmarkStart w:id="1925" w:name="_Toc20436"/>
      <w:r>
        <w:rPr>
          <w:rFonts w:hint="eastAsia" w:ascii="宋体" w:hAnsi="宋体"/>
          <w:b/>
          <w:color w:val="auto"/>
          <w:highlight w:val="none"/>
        </w:rPr>
        <w:t xml:space="preserve"> </w:t>
      </w:r>
      <w:bookmarkStart w:id="1926" w:name="_Toc7493"/>
      <w:bookmarkStart w:id="1927" w:name="_Toc26168"/>
      <w:bookmarkStart w:id="1928" w:name="_Toc19906"/>
      <w:bookmarkStart w:id="1929" w:name="_Toc21599"/>
      <w:bookmarkStart w:id="1930" w:name="_Toc995"/>
      <w:bookmarkStart w:id="1931" w:name="_Toc15655"/>
      <w:r>
        <w:rPr>
          <w:rFonts w:ascii="宋体" w:hAnsi="宋体"/>
          <w:b/>
          <w:color w:val="auto"/>
          <w:highlight w:val="none"/>
        </w:rPr>
        <w:t>法定代表人资格证明书格式</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hint="eastAsia" w:ascii="宋体" w:hAnsi="宋体"/>
          <w:b/>
          <w:color w:val="auto"/>
          <w:highlight w:val="none"/>
        </w:rPr>
      </w:pPr>
      <w:bookmarkStart w:id="1932"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rPr>
          <w:rFonts w:hint="eastAsia" w:ascii="宋体" w:hAnsi="宋体"/>
          <w:b/>
          <w:color w:val="auto"/>
          <w:highlight w:val="none"/>
        </w:rPr>
      </w:pPr>
      <w:r>
        <w:rPr>
          <w:rFonts w:hint="eastAsia" w:ascii="宋体" w:hAnsi="宋体"/>
          <w:b/>
          <w:color w:val="auto"/>
          <w:highlight w:val="none"/>
        </w:rPr>
        <w:br w:type="page"/>
      </w:r>
    </w:p>
    <w:p>
      <w:pPr>
        <w:pageBreakBefore/>
        <w:snapToGrid w:val="0"/>
        <w:ind w:right="0" w:firstLine="0"/>
        <w:jc w:val="left"/>
        <w:outlineLvl w:val="0"/>
        <w:rPr>
          <w:rFonts w:ascii="宋体" w:hAnsi="宋体"/>
          <w:b/>
          <w:color w:val="auto"/>
          <w:highlight w:val="none"/>
        </w:rPr>
      </w:pPr>
      <w:bookmarkStart w:id="1933" w:name="_Toc15394"/>
      <w:bookmarkStart w:id="1934" w:name="_Toc17745"/>
      <w:bookmarkStart w:id="1935" w:name="_Toc1932"/>
      <w:bookmarkStart w:id="1936" w:name="_Toc24848"/>
      <w:bookmarkStart w:id="1937" w:name="_Toc26097"/>
      <w:bookmarkStart w:id="1938" w:name="_Toc10105"/>
      <w:bookmarkStart w:id="1939" w:name="_Toc17719"/>
      <w:bookmarkStart w:id="1940" w:name="_Toc11425"/>
      <w:bookmarkStart w:id="1941" w:name="_Toc21307"/>
      <w:bookmarkStart w:id="1942" w:name="_Toc25780"/>
      <w:bookmarkStart w:id="1943" w:name="_Toc4894"/>
      <w:bookmarkStart w:id="1944" w:name="_Toc25750677"/>
      <w:bookmarkStart w:id="1945" w:name="_Toc15609"/>
      <w:bookmarkStart w:id="1946" w:name="_Toc492478806"/>
      <w:bookmarkStart w:id="1947" w:name="_Toc30953"/>
      <w:bookmarkStart w:id="1948" w:name="_Toc25816"/>
      <w:bookmarkStart w:id="1949" w:name="_Toc7712"/>
      <w:bookmarkStart w:id="1950" w:name="_Toc32062"/>
      <w:bookmarkStart w:id="1951" w:name="_Toc26907"/>
      <w:bookmarkStart w:id="1952" w:name="_Toc3426"/>
      <w:bookmarkStart w:id="1953" w:name="_Toc29246"/>
      <w:bookmarkStart w:id="1954" w:name="_Toc375564353"/>
      <w:bookmarkStart w:id="1955" w:name="_Toc414290524"/>
      <w:bookmarkStart w:id="1956" w:name="_Toc16467"/>
      <w:bookmarkStart w:id="1957" w:name="_Toc2062"/>
      <w:bookmarkStart w:id="1958" w:name="_Toc31448"/>
      <w:bookmarkStart w:id="1959" w:name="_Toc32201"/>
      <w:bookmarkStart w:id="1960" w:name="_Toc19721"/>
      <w:bookmarkStart w:id="1961" w:name="_Toc6033"/>
      <w:r>
        <w:rPr>
          <w:rFonts w:hint="eastAsia" w:ascii="宋体" w:hAnsi="宋体"/>
          <w:b/>
          <w:color w:val="auto"/>
          <w:highlight w:val="none"/>
        </w:rPr>
        <w:t xml:space="preserve">A3 </w:t>
      </w:r>
      <w:r>
        <w:rPr>
          <w:rFonts w:ascii="宋体" w:hAnsi="宋体"/>
          <w:b/>
          <w:color w:val="auto"/>
          <w:highlight w:val="none"/>
        </w:rPr>
        <w:t>承诺书格式</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致：南宁轨道交通运营有限公司</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1、在认真研读</w:t>
      </w:r>
      <w:r>
        <w:rPr>
          <w:rFonts w:hint="eastAsia" w:ascii="宋体" w:hAnsi="宋体" w:eastAsia="宋体" w:cs="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r>
        <w:rPr>
          <w:rFonts w:hint="eastAsia" w:ascii="宋体" w:hAnsi="宋体" w:eastAsia="宋体" w:cs="宋体"/>
          <w:color w:val="auto"/>
          <w:highlight w:val="none"/>
        </w:rPr>
        <w:t>比选文件后，我方经慎重考虑，郑重承诺参加</w:t>
      </w:r>
      <w:r>
        <w:rPr>
          <w:rFonts w:hint="eastAsia" w:ascii="宋体" w:hAnsi="宋体" w:eastAsia="宋体" w:cs="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r>
        <w:rPr>
          <w:rFonts w:hint="eastAsia" w:ascii="宋体" w:hAnsi="宋体" w:eastAsia="宋体" w:cs="宋体"/>
          <w:color w:val="auto"/>
          <w:highlight w:val="none"/>
        </w:rPr>
        <w:t>的比选申请活动。</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2、我方按照贵方比选文件要求的内容与格式，已编制完成比选申请文件，现报上。</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4、我方郑重承诺：</w:t>
      </w:r>
      <w:r>
        <w:rPr>
          <w:rFonts w:hint="eastAsia" w:ascii="宋体" w:hAnsi="宋体" w:eastAsia="宋体" w:cs="宋体"/>
          <w:b/>
          <w:bCs/>
          <w:color w:val="auto"/>
          <w:highlight w:val="none"/>
        </w:rPr>
        <w:t>我方保证没有处于被</w:t>
      </w:r>
      <w:r>
        <w:rPr>
          <w:rFonts w:hint="eastAsia" w:ascii="宋体" w:hAnsi="宋体" w:eastAsia="宋体" w:cs="宋体"/>
          <w:color w:val="auto"/>
          <w:sz w:val="21"/>
          <w:szCs w:val="21"/>
          <w:highlight w:val="none"/>
        </w:rPr>
        <w:t>责令停业，或资格被住建部、</w:t>
      </w:r>
      <w:r>
        <w:rPr>
          <w:rFonts w:hint="eastAsia" w:ascii="宋体" w:hAnsi="宋体"/>
          <w:color w:val="auto"/>
          <w:sz w:val="21"/>
          <w:szCs w:val="21"/>
          <w:highlight w:val="none"/>
          <w:lang w:val="en-US" w:eastAsia="zh-CN"/>
        </w:rPr>
        <w:t>应急管理部</w:t>
      </w:r>
      <w:r>
        <w:rPr>
          <w:rFonts w:hint="eastAsia" w:ascii="宋体" w:hAnsi="宋体" w:eastAsia="宋体" w:cs="宋体"/>
          <w:color w:val="auto"/>
          <w:sz w:val="21"/>
          <w:szCs w:val="21"/>
          <w:highlight w:val="none"/>
        </w:rPr>
        <w:t>、广西区或南宁市建设行政主管部门取消，或财产被接管、破产状态；在</w:t>
      </w:r>
      <w:r>
        <w:rPr>
          <w:rFonts w:hint="eastAsia" w:ascii="宋体" w:hAnsi="宋体" w:cs="宋体"/>
          <w:color w:val="auto"/>
          <w:sz w:val="21"/>
          <w:szCs w:val="21"/>
          <w:highlight w:val="none"/>
          <w:lang w:val="en-US" w:eastAsia="zh-CN"/>
        </w:rPr>
        <w:t>比选申请</w:t>
      </w:r>
      <w:r>
        <w:rPr>
          <w:rFonts w:hint="eastAsia" w:ascii="宋体" w:hAnsi="宋体" w:eastAsia="宋体" w:cs="宋体"/>
          <w:color w:val="auto"/>
          <w:sz w:val="21"/>
          <w:szCs w:val="21"/>
          <w:highlight w:val="none"/>
        </w:rPr>
        <w:t>截止</w:t>
      </w:r>
      <w:r>
        <w:rPr>
          <w:rFonts w:hint="eastAsia" w:ascii="宋体" w:hAnsi="宋体" w:cs="宋体"/>
          <w:color w:val="auto"/>
          <w:sz w:val="21"/>
          <w:szCs w:val="21"/>
          <w:highlight w:val="none"/>
          <w:lang w:val="en-US" w:eastAsia="zh-CN"/>
        </w:rPr>
        <w:t>时间</w:t>
      </w:r>
      <w:r>
        <w:rPr>
          <w:rFonts w:hint="eastAsia" w:ascii="宋体" w:hAnsi="宋体" w:eastAsia="宋体" w:cs="宋体"/>
          <w:color w:val="auto"/>
          <w:sz w:val="21"/>
          <w:szCs w:val="21"/>
          <w:highlight w:val="none"/>
        </w:rPr>
        <w:t>前</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年内没有骗取中标</w:t>
      </w:r>
      <w:r>
        <w:rPr>
          <w:rFonts w:hint="eastAsia" w:ascii="宋体" w:hAnsi="宋体" w:cs="宋体"/>
          <w:color w:val="auto"/>
          <w:sz w:val="21"/>
          <w:szCs w:val="21"/>
          <w:highlight w:val="none"/>
          <w:lang w:val="en-US" w:eastAsia="zh-CN"/>
        </w:rPr>
        <w:t>/选</w:t>
      </w:r>
      <w:r>
        <w:rPr>
          <w:rFonts w:hint="eastAsia" w:ascii="宋体" w:hAnsi="宋体" w:eastAsia="宋体" w:cs="宋体"/>
          <w:color w:val="auto"/>
          <w:sz w:val="21"/>
          <w:szCs w:val="21"/>
          <w:highlight w:val="none"/>
        </w:rPr>
        <w:t>、严重违约或被拉入黑名单的记录；近</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年内未受到交通行业主管部门违规评价处理通报。</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b w:val="0"/>
          <w:bCs/>
          <w:color w:val="auto"/>
          <w:highlight w:val="none"/>
        </w:rPr>
        <w:t>5、</w:t>
      </w:r>
      <w:r>
        <w:rPr>
          <w:rFonts w:hint="eastAsia" w:ascii="宋体" w:hAnsi="宋体" w:eastAsia="宋体" w:cs="宋体"/>
          <w:color w:val="auto"/>
          <w:highlight w:val="none"/>
        </w:rPr>
        <w:t>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由此造成的任何后果和损失均由我公司承担。本段承诺既是我公司比选申请文件的有效组成内容，也是我公司真实意思的表示，对我公司在与该项目有关的任何行为中始终具有优先的法律约束力。</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6、我方了解：无论是否中选，我方将自行承担与招比选申请活动所需的一切费用。</w:t>
      </w:r>
    </w:p>
    <w:p>
      <w:pPr>
        <w:spacing w:before="0" w:after="0" w:afterAutospacing="0"/>
        <w:ind w:left="0" w:right="0"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7、我方保证比选人在中华人民共和国使用该比选申请服务或其任何一部分时，免受第三方提出侵犯其任何专利权、著作权、注册商标专有使用权或计算机软件登记或反不正当竞争的起诉及索赔。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我方声明，我们所填报的资料是完全真实和准确的，并愿为此承担任何相关的法律责任。</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比选申请人地址：</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比选申请人</w:t>
      </w:r>
      <w:r>
        <w:rPr>
          <w:rFonts w:hint="eastAsia" w:ascii="宋体" w:hAnsi="宋体" w:eastAsia="宋体" w:cs="宋体"/>
          <w:color w:val="auto"/>
          <w:highlight w:val="none"/>
          <w:u w:val="single"/>
        </w:rPr>
        <w:t xml:space="preserve">    (盖单位公章)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邮政编码：</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(签字或盖章)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传真：日期：</w:t>
      </w:r>
      <w:r>
        <w:rPr>
          <w:rFonts w:hint="eastAsia" w:ascii="宋体" w:hAnsi="宋体" w:eastAsia="宋体" w:cs="宋体"/>
          <w:color w:val="auto"/>
          <w:highlight w:val="none"/>
          <w:u w:val="single"/>
        </w:rPr>
        <w:t xml:space="preserve"> XXXX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ageBreakBefore/>
        <w:snapToGrid w:val="0"/>
        <w:ind w:right="0" w:firstLine="0"/>
        <w:jc w:val="left"/>
        <w:outlineLvl w:val="0"/>
        <w:rPr>
          <w:rFonts w:hint="eastAsia" w:ascii="宋体" w:hAnsi="宋体"/>
          <w:b/>
          <w:color w:val="auto"/>
          <w:highlight w:val="none"/>
        </w:rPr>
      </w:pPr>
      <w:bookmarkStart w:id="1962" w:name="_Toc12552"/>
      <w:bookmarkStart w:id="1963" w:name="_Toc21228"/>
      <w:r>
        <w:rPr>
          <w:rFonts w:hint="eastAsia" w:ascii="宋体" w:hAnsi="宋体"/>
          <w:b/>
          <w:color w:val="auto"/>
          <w:highlight w:val="none"/>
        </w:rPr>
        <w:t>A</w:t>
      </w:r>
      <w:r>
        <w:rPr>
          <w:rFonts w:hint="eastAsia" w:ascii="宋体" w:hAnsi="宋体"/>
          <w:b/>
          <w:color w:val="auto"/>
          <w:highlight w:val="none"/>
          <w:lang w:val="en-US" w:eastAsia="zh-CN"/>
        </w:rPr>
        <w:t>4</w:t>
      </w:r>
      <w:r>
        <w:rPr>
          <w:rFonts w:hint="eastAsia" w:ascii="宋体" w:hAnsi="宋体"/>
          <w:b/>
          <w:color w:val="auto"/>
          <w:highlight w:val="none"/>
        </w:rPr>
        <w:t xml:space="preserve"> 类似项目业绩表</w:t>
      </w:r>
      <w:bookmarkEnd w:id="1962"/>
      <w:bookmarkEnd w:id="1963"/>
    </w:p>
    <w:p>
      <w:pPr>
        <w:pStyle w:val="32"/>
        <w:rPr>
          <w:color w:val="auto"/>
          <w:highlight w:val="none"/>
        </w:rPr>
      </w:pPr>
    </w:p>
    <w:p>
      <w:pPr>
        <w:keepNext w:val="0"/>
        <w:keepLines w:val="0"/>
        <w:widowControl/>
        <w:suppressLineNumbers w:val="0"/>
        <w:spacing w:before="0" w:beforeAutospacing="0" w:after="0" w:afterAutospacing="1" w:line="360" w:lineRule="auto"/>
        <w:ind w:left="709" w:right="-57" w:firstLine="0"/>
        <w:jc w:val="center"/>
        <w:rPr>
          <w:rFonts w:hint="eastAsia" w:ascii="宋体" w:hAnsi="宋体" w:eastAsia="宋体" w:cs="Times New Roman"/>
          <w:b/>
          <w:bCs w:val="0"/>
          <w:color w:val="auto"/>
          <w:spacing w:val="20"/>
          <w:sz w:val="21"/>
          <w:szCs w:val="21"/>
          <w:highlight w:val="none"/>
        </w:rPr>
      </w:pPr>
      <w:r>
        <w:rPr>
          <w:rFonts w:hint="eastAsia" w:ascii="宋体" w:hAnsi="宋体" w:eastAsia="宋体" w:cs="宋体"/>
          <w:b/>
          <w:bCs w:val="0"/>
          <w:color w:val="auto"/>
          <w:spacing w:val="20"/>
          <w:kern w:val="0"/>
          <w:sz w:val="21"/>
          <w:szCs w:val="21"/>
          <w:highlight w:val="none"/>
          <w:lang w:val="en-US" w:eastAsia="zh-CN" w:bidi="ar"/>
        </w:rPr>
        <w:t>类似项目业绩表</w:t>
      </w:r>
    </w:p>
    <w:tbl>
      <w:tblPr>
        <w:tblStyle w:val="33"/>
        <w:tblW w:w="8940"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40" w:hRule="atLeast"/>
          <w:jc w:val="center"/>
        </w:trPr>
        <w:tc>
          <w:tcPr>
            <w:tcW w:w="599" w:type="dxa"/>
            <w:tcBorders>
              <w:top w:val="double" w:color="auto" w:sz="2"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序号</w:t>
            </w:r>
          </w:p>
        </w:tc>
        <w:tc>
          <w:tcPr>
            <w:tcW w:w="10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项目名称</w:t>
            </w:r>
          </w:p>
        </w:tc>
        <w:tc>
          <w:tcPr>
            <w:tcW w:w="1789"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合同内容（简述）</w:t>
            </w:r>
          </w:p>
        </w:tc>
        <w:tc>
          <w:tcPr>
            <w:tcW w:w="9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合同</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金额</w:t>
            </w:r>
          </w:p>
        </w:tc>
        <w:tc>
          <w:tcPr>
            <w:tcW w:w="993"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签订</w:t>
            </w:r>
            <w:r>
              <w:rPr>
                <w:rFonts w:hint="eastAsia" w:ascii="宋体" w:hAnsi="宋体" w:eastAsia="宋体" w:cs="Times New Roman"/>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时间</w:t>
            </w:r>
          </w:p>
        </w:tc>
        <w:tc>
          <w:tcPr>
            <w:tcW w:w="1388"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供货、工期或服务时间</w:t>
            </w:r>
          </w:p>
        </w:tc>
        <w:tc>
          <w:tcPr>
            <w:tcW w:w="1044"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业主单位</w:t>
            </w:r>
          </w:p>
        </w:tc>
        <w:tc>
          <w:tcPr>
            <w:tcW w:w="1043" w:type="dxa"/>
            <w:tcBorders>
              <w:top w:val="double" w:color="auto" w:sz="2"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联系电话</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tcBorders>
              <w:top w:val="single" w:color="000000" w:sz="6" w:space="0"/>
              <w:left w:val="double" w:color="000000" w:sz="2"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789"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993"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388" w:type="dxa"/>
            <w:tcBorders>
              <w:top w:val="single" w:color="000000" w:sz="6" w:space="0"/>
              <w:left w:val="single" w:color="000000" w:sz="6" w:space="0"/>
              <w:bottom w:val="double" w:color="000000" w:sz="2"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4"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c>
          <w:tcPr>
            <w:tcW w:w="1043" w:type="dxa"/>
            <w:tcBorders>
              <w:top w:val="single" w:color="000000" w:sz="6" w:space="0"/>
              <w:left w:val="single" w:color="000000" w:sz="6" w:space="0"/>
              <w:bottom w:val="double" w:color="000000" w:sz="2"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highlight w:val="none"/>
              </w:rPr>
            </w:pPr>
          </w:p>
        </w:tc>
      </w:tr>
    </w:tbl>
    <w:p>
      <w:pPr>
        <w:keepNext w:val="0"/>
        <w:keepLines w:val="0"/>
        <w:widowControl/>
        <w:suppressLineNumbers w:val="0"/>
        <w:spacing w:before="0" w:beforeAutospacing="0" w:after="0" w:afterAutospacing="1" w:line="360" w:lineRule="auto"/>
        <w:ind w:left="567" w:right="-57" w:hanging="567"/>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注：</w:t>
      </w:r>
      <w:r>
        <w:rPr>
          <w:rFonts w:hint="eastAsia" w:ascii="宋体" w:hAnsi="宋体"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类似项目业绩。</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项目按照时间顺序排列，时间以合同签订时间为准。</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kern w:val="0"/>
          <w:sz w:val="21"/>
          <w:szCs w:val="21"/>
          <w:highlight w:val="none"/>
          <w:lang w:val="en-US" w:eastAsia="zh-CN" w:bidi="ar"/>
        </w:rPr>
        <w:t>3.</w:t>
      </w:r>
      <w:r>
        <w:rPr>
          <w:rFonts w:hint="eastAsia" w:ascii="宋体" w:hAnsi="宋体" w:cs="宋体"/>
          <w:color w:val="auto"/>
          <w:highlight w:val="none"/>
          <w:lang w:bidi="ar"/>
        </w:rPr>
        <w:t>业绩证明文件：项目合同文件（复印件加盖比选申请人公章），证明文件中须体现出合同双方、合同签订时间、合同金额（单价或合价，能统计出相应合同总价的均认可。）、反映业绩特征的内容等，否则视为无效证明文件</w:t>
      </w:r>
      <w:r>
        <w:rPr>
          <w:rFonts w:hint="eastAsia" w:ascii="宋体" w:hAnsi="宋体" w:cs="宋体"/>
          <w:color w:val="auto"/>
          <w:highlight w:val="none"/>
          <w:lang w:eastAsia="zh-CN" w:bidi="ar"/>
        </w:rPr>
        <w:t>。</w:t>
      </w:r>
    </w:p>
    <w:p>
      <w:pPr>
        <w:keepNext w:val="0"/>
        <w:keepLines w:val="0"/>
        <w:widowControl/>
        <w:suppressLineNumbers w:val="0"/>
        <w:spacing w:before="0" w:beforeAutospacing="0" w:after="0" w:afterAutospacing="1" w:line="360" w:lineRule="auto"/>
        <w:ind w:left="479" w:right="-57" w:hanging="17"/>
        <w:jc w:val="both"/>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 </w:t>
      </w:r>
    </w:p>
    <w:p>
      <w:pPr>
        <w:keepNext w:val="0"/>
        <w:keepLines w:val="0"/>
        <w:widowControl/>
        <w:suppressLineNumbers w:val="0"/>
        <w:snapToGrid w:val="0"/>
        <w:spacing w:before="0" w:beforeAutospacing="0" w:after="0" w:afterAutospacing="0" w:line="400" w:lineRule="exact"/>
        <w:ind w:left="0" w:right="0" w:firstLine="426"/>
        <w:jc w:val="both"/>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比选申请人：</w:t>
      </w:r>
      <w:r>
        <w:rPr>
          <w:rFonts w:hint="eastAsia" w:ascii="宋体" w:hAnsi="宋体" w:eastAsia="宋体" w:cs="Times New Roman"/>
          <w:color w:val="auto"/>
          <w:kern w:val="0"/>
          <w:sz w:val="21"/>
          <w:szCs w:val="21"/>
          <w:highlight w:val="none"/>
          <w:u w:val="single"/>
          <w:lang w:val="en-US" w:eastAsia="zh-CN" w:bidi="ar"/>
        </w:rPr>
        <w:t xml:space="preserve"> </w:t>
      </w:r>
      <w:r>
        <w:rPr>
          <w:rFonts w:hint="eastAsia" w:ascii="宋体" w:hAnsi="宋体" w:eastAsia="宋体" w:cs="宋体"/>
          <w:color w:val="auto"/>
          <w:kern w:val="0"/>
          <w:sz w:val="21"/>
          <w:szCs w:val="21"/>
          <w:highlight w:val="none"/>
          <w:u w:val="single"/>
          <w:lang w:val="en-US" w:eastAsia="zh-CN" w:bidi="ar"/>
        </w:rPr>
        <w:t>（填写）</w:t>
      </w:r>
      <w:r>
        <w:rPr>
          <w:rFonts w:hint="eastAsia" w:ascii="宋体" w:hAnsi="宋体" w:eastAsia="宋体" w:cs="Times New Roman"/>
          <w:color w:val="auto"/>
          <w:kern w:val="0"/>
          <w:sz w:val="21"/>
          <w:szCs w:val="21"/>
          <w:highlight w:val="none"/>
          <w:u w:val="single"/>
          <w:lang w:val="en-US" w:eastAsia="zh-CN" w:bidi="ar"/>
        </w:rPr>
        <w:t xml:space="preserve"> (</w:t>
      </w:r>
      <w:r>
        <w:rPr>
          <w:rFonts w:hint="eastAsia" w:ascii="宋体" w:hAnsi="宋体" w:eastAsia="宋体" w:cs="宋体"/>
          <w:color w:val="auto"/>
          <w:kern w:val="0"/>
          <w:sz w:val="21"/>
          <w:szCs w:val="21"/>
          <w:highlight w:val="none"/>
          <w:u w:val="single"/>
          <w:lang w:val="en-US" w:eastAsia="zh-CN" w:bidi="ar"/>
        </w:rPr>
        <w:t>盖单位公章</w:t>
      </w:r>
      <w:r>
        <w:rPr>
          <w:rFonts w:hint="eastAsia" w:ascii="宋体" w:hAnsi="宋体" w:eastAsia="宋体" w:cs="Times New Roman"/>
          <w:color w:val="auto"/>
          <w:kern w:val="0"/>
          <w:sz w:val="21"/>
          <w:szCs w:val="21"/>
          <w:highlight w:val="none"/>
          <w:u w:val="single"/>
          <w:lang w:val="en-US" w:eastAsia="zh-CN" w:bidi="ar"/>
        </w:rPr>
        <w:t>)</w:t>
      </w:r>
    </w:p>
    <w:p>
      <w:pPr>
        <w:keepNext w:val="0"/>
        <w:keepLines w:val="0"/>
        <w:widowControl/>
        <w:suppressLineNumbers w:val="0"/>
        <w:snapToGrid w:val="0"/>
        <w:spacing w:before="0" w:beforeAutospacing="0" w:after="0" w:afterAutospacing="0" w:line="400" w:lineRule="exact"/>
        <w:ind w:left="0" w:right="0" w:firstLine="426"/>
        <w:jc w:val="both"/>
        <w:rPr>
          <w:rFonts w:hint="eastAsia" w:ascii="宋体" w:hAnsi="宋体" w:eastAsia="宋体" w:cs="Times New Roman"/>
          <w:color w:val="auto"/>
          <w:sz w:val="21"/>
          <w:szCs w:val="21"/>
          <w:highlight w:val="none"/>
          <w:u w:val="single"/>
        </w:rPr>
      </w:pPr>
      <w:r>
        <w:rPr>
          <w:rFonts w:hint="eastAsia" w:ascii="宋体" w:hAnsi="宋体" w:eastAsia="宋体" w:cs="宋体"/>
          <w:color w:val="auto"/>
          <w:kern w:val="0"/>
          <w:sz w:val="21"/>
          <w:szCs w:val="21"/>
          <w:highlight w:val="none"/>
          <w:lang w:val="en-US" w:eastAsia="zh-CN" w:bidi="ar"/>
        </w:rPr>
        <w:t>法定代表人（或委托代理人）：</w:t>
      </w:r>
      <w:r>
        <w:rPr>
          <w:rFonts w:hint="eastAsia" w:ascii="宋体" w:hAnsi="宋体" w:eastAsia="宋体" w:cs="Times New Roman"/>
          <w:color w:val="auto"/>
          <w:kern w:val="0"/>
          <w:sz w:val="21"/>
          <w:szCs w:val="21"/>
          <w:highlight w:val="none"/>
          <w:u w:val="single"/>
          <w:lang w:val="en-US" w:eastAsia="zh-CN" w:bidi="ar"/>
        </w:rPr>
        <w:t>(签字</w:t>
      </w:r>
      <w:r>
        <w:rPr>
          <w:rFonts w:hint="eastAsia" w:ascii="宋体" w:hAnsi="宋体" w:eastAsia="宋体" w:cs="宋体"/>
          <w:color w:val="auto"/>
          <w:kern w:val="0"/>
          <w:sz w:val="21"/>
          <w:szCs w:val="21"/>
          <w:highlight w:val="none"/>
          <w:u w:val="single"/>
          <w:lang w:val="en-US" w:eastAsia="zh-CN" w:bidi="ar"/>
        </w:rPr>
        <w:t>或盖章</w:t>
      </w:r>
      <w:r>
        <w:rPr>
          <w:rFonts w:hint="eastAsia" w:ascii="宋体" w:hAnsi="宋体" w:eastAsia="宋体" w:cs="Times New Roman"/>
          <w:color w:val="auto"/>
          <w:kern w:val="0"/>
          <w:sz w:val="21"/>
          <w:szCs w:val="21"/>
          <w:highlight w:val="none"/>
          <w:u w:val="single"/>
          <w:lang w:val="en-US" w:eastAsia="zh-CN" w:bidi="ar"/>
        </w:rPr>
        <w:t>)</w:t>
      </w:r>
    </w:p>
    <w:p>
      <w:pPr>
        <w:snapToGrid w:val="0"/>
        <w:spacing w:before="0" w:after="0" w:afterAutospacing="0" w:line="400" w:lineRule="exact"/>
        <w:ind w:left="0" w:right="0" w:firstLine="426"/>
        <w:rPr>
          <w:rFonts w:hint="eastAsia" w:ascii="宋体" w:hAnsi="宋体" w:eastAsia="宋体" w:cs="宋体"/>
          <w:color w:val="auto"/>
          <w:sz w:val="21"/>
          <w:highlight w:val="none"/>
        </w:rPr>
        <w:sectPr>
          <w:headerReference r:id="rId10" w:type="first"/>
          <w:headerReference r:id="rId9" w:type="default"/>
          <w:pgSz w:w="11905" w:h="16838"/>
          <w:pgMar w:top="1418" w:right="1418" w:bottom="1304" w:left="1418" w:header="454" w:footer="567" w:gutter="0"/>
          <w:pgNumType w:fmt="decimal"/>
          <w:cols w:space="720" w:num="1"/>
          <w:docGrid w:linePitch="312" w:charSpace="0"/>
        </w:sectPr>
      </w:pPr>
      <w:r>
        <w:rPr>
          <w:rFonts w:hint="eastAsia" w:ascii="宋体" w:hAnsi="宋体" w:eastAsia="宋体" w:cs="宋体"/>
          <w:color w:val="auto"/>
          <w:kern w:val="0"/>
          <w:sz w:val="21"/>
          <w:szCs w:val="21"/>
          <w:highlight w:val="none"/>
          <w:lang w:val="en-US" w:eastAsia="zh-CN" w:bidi="ar"/>
        </w:rPr>
        <w:t>日期：年</w:t>
      </w:r>
      <w:r>
        <w:rPr>
          <w:rFonts w:hint="eastAsia" w:ascii="宋体" w:hAnsi="宋体" w:eastAsia="宋体" w:cs="Times New Roman"/>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月</w:t>
      </w:r>
      <w:r>
        <w:rPr>
          <w:rFonts w:hint="eastAsia" w:ascii="宋体" w:hAnsi="宋体" w:eastAsia="宋体" w:cs="Times New Roman"/>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日</w:t>
      </w:r>
    </w:p>
    <w:p>
      <w:pPr>
        <w:pStyle w:val="4"/>
        <w:pageBreakBefore/>
        <w:spacing w:after="100"/>
        <w:ind w:left="0" w:leftChars="0" w:right="-57" w:firstLine="0" w:firstLineChars="0"/>
        <w:jc w:val="center"/>
        <w:rPr>
          <w:rFonts w:hAnsi="宋体"/>
          <w:b w:val="0"/>
          <w:color w:val="auto"/>
          <w:sz w:val="24"/>
          <w:szCs w:val="24"/>
          <w:highlight w:val="none"/>
        </w:rPr>
      </w:pPr>
      <w:bookmarkStart w:id="1964" w:name="_Toc414290562"/>
      <w:bookmarkStart w:id="1965" w:name="_Toc492478827"/>
      <w:bookmarkStart w:id="1966" w:name="_Toc19107"/>
      <w:bookmarkStart w:id="1967" w:name="_Toc32381"/>
      <w:bookmarkStart w:id="1968" w:name="_Toc25220"/>
      <w:bookmarkStart w:id="1969" w:name="_Toc17664"/>
      <w:bookmarkStart w:id="1970" w:name="_Toc30812"/>
      <w:bookmarkStart w:id="1971" w:name="_Toc6034"/>
      <w:bookmarkStart w:id="1972" w:name="_Toc15451"/>
      <w:bookmarkStart w:id="1973" w:name="_Toc3307"/>
      <w:bookmarkStart w:id="1974" w:name="_Toc2327"/>
      <w:bookmarkStart w:id="1975" w:name="_Toc2542"/>
      <w:bookmarkStart w:id="1976" w:name="_Toc18387"/>
      <w:bookmarkStart w:id="1977" w:name="_Toc14091"/>
      <w:bookmarkStart w:id="1978" w:name="_Toc27472"/>
      <w:bookmarkStart w:id="1979" w:name="_Toc13870"/>
      <w:bookmarkStart w:id="1980" w:name="_Toc19413"/>
      <w:bookmarkStart w:id="1981" w:name="_Toc22423"/>
      <w:bookmarkStart w:id="1982" w:name="_Toc31512"/>
      <w:bookmarkStart w:id="1983" w:name="_Toc31676"/>
      <w:bookmarkStart w:id="1984" w:name="_Toc29577"/>
      <w:bookmarkStart w:id="1985" w:name="_Toc14005"/>
      <w:bookmarkStart w:id="1986" w:name="_Toc9876"/>
      <w:bookmarkStart w:id="1987" w:name="_Toc19353"/>
      <w:bookmarkStart w:id="1988" w:name="_Toc23585"/>
      <w:bookmarkStart w:id="1989" w:name="_Toc8563"/>
      <w:bookmarkStart w:id="1990" w:name="_Toc25635"/>
      <w:r>
        <w:rPr>
          <w:rFonts w:hint="eastAsia"/>
          <w:color w:val="auto"/>
          <w:sz w:val="24"/>
          <w:szCs w:val="24"/>
          <w:highlight w:val="none"/>
        </w:rPr>
        <w:t xml:space="preserve">B </w:t>
      </w:r>
      <w:r>
        <w:rPr>
          <w:rFonts w:hAnsi="宋体"/>
          <w:color w:val="auto"/>
          <w:sz w:val="24"/>
          <w:szCs w:val="24"/>
          <w:highlight w:val="none"/>
        </w:rPr>
        <w:t>技术</w:t>
      </w:r>
      <w:bookmarkEnd w:id="1964"/>
      <w:bookmarkEnd w:id="1965"/>
      <w:bookmarkEnd w:id="1966"/>
      <w:bookmarkStart w:id="1991" w:name="_Toc74938308"/>
      <w:bookmarkStart w:id="1992" w:name="_Toc18770050"/>
      <w:bookmarkStart w:id="1993" w:name="_Toc99697927"/>
      <w:bookmarkStart w:id="1994" w:name="_Toc224010320"/>
      <w:bookmarkStart w:id="1995" w:name="_Toc17887241"/>
      <w:r>
        <w:rPr>
          <w:rFonts w:hint="eastAsia" w:hAnsi="宋体"/>
          <w:color w:val="auto"/>
          <w:sz w:val="24"/>
          <w:szCs w:val="24"/>
          <w:highlight w:val="none"/>
        </w:rPr>
        <w:t>文件</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spacing w:before="0" w:after="0" w:afterAutospacing="0"/>
        <w:ind w:left="0" w:righ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highlight w:val="none"/>
        </w:rPr>
        <w:t>技术文件格式</w:t>
      </w:r>
    </w:p>
    <w:p>
      <w:pPr>
        <w:spacing w:before="0" w:after="0" w:afterAutospacing="0"/>
        <w:ind w:left="0" w:right="0" w:firstLine="315" w:firstLineChars="150"/>
        <w:rPr>
          <w:rFonts w:hint="eastAsia" w:ascii="宋体" w:hAnsi="宋体" w:eastAsia="宋体" w:cs="宋体"/>
          <w:color w:val="auto"/>
          <w:highlight w:val="none"/>
        </w:rPr>
      </w:pPr>
      <w:bookmarkStart w:id="1996" w:name="_Toc17874"/>
      <w:r>
        <w:rPr>
          <w:rFonts w:hint="eastAsia" w:ascii="宋体" w:hAnsi="宋体" w:eastAsia="宋体" w:cs="宋体"/>
          <w:color w:val="auto"/>
          <w:highlight w:val="none"/>
        </w:rPr>
        <w:t>（1）技术响应表（格式见B1）；</w:t>
      </w:r>
      <w:bookmarkEnd w:id="1996"/>
    </w:p>
    <w:p>
      <w:pPr>
        <w:spacing w:before="0" w:after="0" w:afterAutospacing="0"/>
        <w:ind w:left="0" w:right="0" w:firstLine="315" w:firstLineChars="150"/>
        <w:rPr>
          <w:rFonts w:hint="eastAsia" w:ascii="宋体" w:hAnsi="宋体" w:eastAsia="宋体" w:cs="宋体"/>
          <w:color w:val="auto"/>
          <w:highlight w:val="none"/>
        </w:rPr>
      </w:pPr>
      <w:bookmarkStart w:id="1997" w:name="_Toc3359"/>
      <w:r>
        <w:rPr>
          <w:rFonts w:hint="eastAsia" w:ascii="宋体" w:hAnsi="宋体" w:eastAsia="宋体" w:cs="宋体"/>
          <w:color w:val="auto"/>
          <w:highlight w:val="none"/>
        </w:rPr>
        <w:t>（2）按期完成承诺书（格式见B2）；</w:t>
      </w:r>
      <w:bookmarkEnd w:id="1997"/>
    </w:p>
    <w:p>
      <w:pPr>
        <w:spacing w:before="0" w:after="0" w:afterAutospacing="0"/>
        <w:ind w:left="0" w:right="0" w:firstLine="315" w:firstLineChars="150"/>
        <w:rPr>
          <w:rFonts w:hint="eastAsia" w:ascii="宋体" w:hAnsi="宋体" w:eastAsia="宋体" w:cs="宋体"/>
          <w:color w:val="auto"/>
          <w:highlight w:val="none"/>
        </w:rPr>
      </w:pPr>
      <w:bookmarkStart w:id="1998" w:name="_Toc24410"/>
      <w:r>
        <w:rPr>
          <w:rFonts w:hint="eastAsia" w:ascii="宋体" w:hAnsi="宋体" w:eastAsia="宋体" w:cs="宋体"/>
          <w:color w:val="auto"/>
          <w:highlight w:val="none"/>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）商务响应表（格式见B</w:t>
      </w:r>
      <w:r>
        <w:rPr>
          <w:rFonts w:hint="eastAsia" w:ascii="宋体" w:hAnsi="宋体" w:cs="宋体"/>
          <w:color w:val="auto"/>
          <w:highlight w:val="none"/>
          <w:lang w:val="en-US" w:eastAsia="zh-CN"/>
        </w:rPr>
        <w:t>3</w:t>
      </w:r>
      <w:r>
        <w:rPr>
          <w:rFonts w:hint="eastAsia" w:ascii="宋体" w:hAnsi="宋体" w:eastAsia="宋体" w:cs="宋体"/>
          <w:color w:val="auto"/>
          <w:highlight w:val="none"/>
        </w:rPr>
        <w:t>）</w:t>
      </w:r>
      <w:bookmarkEnd w:id="1998"/>
      <w:r>
        <w:rPr>
          <w:rFonts w:hint="eastAsia" w:ascii="宋体" w:hAnsi="宋体" w:eastAsia="宋体" w:cs="宋体"/>
          <w:color w:val="auto"/>
          <w:highlight w:val="none"/>
        </w:rPr>
        <w:t>；</w:t>
      </w:r>
    </w:p>
    <w:p>
      <w:pPr>
        <w:spacing w:before="0" w:after="0" w:afterAutospacing="0"/>
        <w:ind w:left="0" w:right="0" w:firstLine="315" w:firstLineChars="15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比选申请人认为应提交的其他比选申请资料（如有）。</w:t>
      </w:r>
      <w:bookmarkEnd w:id="1991"/>
      <w:bookmarkEnd w:id="1992"/>
      <w:bookmarkEnd w:id="1993"/>
      <w:bookmarkEnd w:id="1994"/>
      <w:bookmarkEnd w:id="1995"/>
    </w:p>
    <w:p>
      <w:pPr>
        <w:pStyle w:val="28"/>
        <w:rPr>
          <w:rFonts w:hint="eastAsia" w:ascii="宋体" w:hAnsi="宋体" w:eastAsia="宋体" w:cs="宋体"/>
          <w:color w:val="auto"/>
          <w:sz w:val="21"/>
          <w:highlight w:val="none"/>
        </w:rPr>
      </w:pPr>
    </w:p>
    <w:p>
      <w:pPr>
        <w:rPr>
          <w:rFonts w:hint="eastAsia" w:ascii="宋体" w:hAnsi="宋体" w:eastAsia="宋体" w:cs="宋体"/>
          <w:color w:val="auto"/>
          <w:sz w:val="21"/>
          <w:highlight w:val="none"/>
        </w:rPr>
      </w:pPr>
      <w:r>
        <w:rPr>
          <w:rFonts w:hint="eastAsia" w:ascii="宋体" w:hAnsi="宋体" w:eastAsia="宋体" w:cs="宋体"/>
          <w:color w:val="auto"/>
          <w:sz w:val="21"/>
          <w:highlight w:val="none"/>
        </w:rPr>
        <w:br w:type="page"/>
      </w:r>
    </w:p>
    <w:p>
      <w:pPr>
        <w:pStyle w:val="5"/>
        <w:tabs>
          <w:tab w:val="left" w:pos="567"/>
          <w:tab w:val="left" w:pos="720"/>
        </w:tabs>
        <w:snapToGrid w:val="0"/>
        <w:spacing w:after="100" w:line="360" w:lineRule="auto"/>
        <w:ind w:right="-57" w:firstLine="0"/>
        <w:jc w:val="left"/>
        <w:rPr>
          <w:rFonts w:hint="eastAsia" w:ascii="宋体" w:hAnsi="宋体" w:eastAsia="宋体"/>
          <w:color w:val="auto"/>
          <w:sz w:val="21"/>
          <w:szCs w:val="21"/>
          <w:highlight w:val="none"/>
        </w:rPr>
        <w:sectPr>
          <w:headerReference r:id="rId11" w:type="default"/>
          <w:pgSz w:w="11905" w:h="16838"/>
          <w:pgMar w:top="1418" w:right="1418" w:bottom="1304" w:left="1418" w:header="454" w:footer="567" w:gutter="0"/>
          <w:pgNumType w:fmt="decimal"/>
          <w:cols w:space="720" w:num="1"/>
          <w:docGrid w:linePitch="312" w:charSpace="0"/>
        </w:sectPr>
      </w:pPr>
      <w:bookmarkStart w:id="1999" w:name="_Toc22447"/>
      <w:bookmarkStart w:id="2000" w:name="_Toc5436"/>
      <w:bookmarkStart w:id="2001" w:name="_Toc13678"/>
      <w:bookmarkStart w:id="2002" w:name="_Toc24533"/>
      <w:bookmarkStart w:id="2003" w:name="_Toc29189"/>
      <w:bookmarkStart w:id="2004" w:name="_Toc25750684"/>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005" w:name="_Toc14492"/>
      <w:bookmarkStart w:id="2006" w:name="_Toc16626"/>
      <w:r>
        <w:rPr>
          <w:rFonts w:hint="eastAsia" w:ascii="宋体" w:hAnsi="宋体" w:eastAsia="宋体"/>
          <w:color w:val="auto"/>
          <w:sz w:val="21"/>
          <w:szCs w:val="21"/>
          <w:highlight w:val="none"/>
        </w:rPr>
        <w:t xml:space="preserve">B1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999"/>
      <w:bookmarkEnd w:id="2000"/>
      <w:bookmarkEnd w:id="2001"/>
      <w:bookmarkEnd w:id="2002"/>
      <w:bookmarkEnd w:id="2003"/>
      <w:bookmarkEnd w:id="2004"/>
      <w:bookmarkEnd w:id="2005"/>
      <w:bookmarkEnd w:id="2006"/>
    </w:p>
    <w:p>
      <w:pPr>
        <w:spacing w:before="0"/>
        <w:ind w:right="-57" w:firstLine="0"/>
        <w:jc w:val="center"/>
        <w:rPr>
          <w:rFonts w:ascii="宋体" w:hAnsi="宋体"/>
          <w:b/>
          <w:color w:val="auto"/>
          <w:sz w:val="28"/>
          <w:szCs w:val="28"/>
          <w:highlight w:val="none"/>
        </w:rPr>
      </w:pPr>
      <w:bookmarkStart w:id="2007" w:name="_Toc22433"/>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bookmarkEnd w:id="2007"/>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p>
      <w:pPr>
        <w:snapToGrid w:val="0"/>
        <w:spacing w:after="50" w:line="280" w:lineRule="exact"/>
        <w:ind w:left="0" w:right="-817" w:firstLine="0"/>
        <w:rPr>
          <w:rFonts w:ascii="宋体" w:hAnsi="宋体"/>
          <w:color w:val="auto"/>
          <w:highlight w:val="none"/>
        </w:rPr>
      </w:pPr>
    </w:p>
    <w:tbl>
      <w:tblPr>
        <w:tblStyle w:val="33"/>
        <w:tblW w:w="1521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460"/>
        <w:gridCol w:w="3555"/>
        <w:gridCol w:w="7455"/>
        <w:gridCol w:w="1230"/>
        <w:gridCol w:w="7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713"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460"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服务项目</w:t>
            </w:r>
          </w:p>
        </w:tc>
        <w:tc>
          <w:tcPr>
            <w:tcW w:w="3555"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b/>
                <w:color w:val="auto"/>
                <w:kern w:val="2"/>
                <w:sz w:val="20"/>
                <w:szCs w:val="20"/>
                <w:highlight w:val="none"/>
              </w:rPr>
              <w:t>服务内容</w:t>
            </w:r>
          </w:p>
        </w:tc>
        <w:tc>
          <w:tcPr>
            <w:tcW w:w="7455"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ind w:left="0" w:right="0" w:firstLine="0"/>
              <w:jc w:val="center"/>
              <w:rPr>
                <w:rFonts w:hint="default" w:ascii="宋体" w:hAnsi="宋体" w:cs="宋体"/>
                <w:b/>
                <w:bCs/>
                <w:color w:val="auto"/>
                <w:sz w:val="20"/>
                <w:szCs w:val="20"/>
                <w:highlight w:val="none"/>
              </w:rPr>
            </w:pPr>
            <w:r>
              <w:rPr>
                <w:rFonts w:hint="eastAsia" w:ascii="宋体" w:hAnsi="宋体"/>
                <w:b/>
                <w:color w:val="auto"/>
                <w:kern w:val="2"/>
                <w:sz w:val="20"/>
                <w:szCs w:val="20"/>
                <w:highlight w:val="none"/>
              </w:rPr>
              <w:t>服务要求</w:t>
            </w:r>
          </w:p>
        </w:tc>
        <w:tc>
          <w:tcPr>
            <w:tcW w:w="1230" w:type="dxa"/>
            <w:tcBorders>
              <w:top w:val="double" w:color="auto" w:sz="4" w:space="0"/>
              <w:left w:val="sing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偏离情况</w:t>
            </w:r>
          </w:p>
        </w:tc>
        <w:tc>
          <w:tcPr>
            <w:tcW w:w="798"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1</w:t>
            </w:r>
          </w:p>
        </w:tc>
        <w:tc>
          <w:tcPr>
            <w:tcW w:w="1460"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rPr>
                <w:rFonts w:hint="default" w:ascii="宋体" w:hAnsi="宋体" w:cs="宋体"/>
                <w:color w:val="auto"/>
                <w:highlight w:val="none"/>
              </w:rPr>
            </w:pPr>
            <w:r>
              <w:rPr>
                <w:rFonts w:hint="eastAsia"/>
                <w:color w:val="auto"/>
                <w:highlight w:val="none"/>
              </w:rPr>
              <w:t>一级安全生产标准化现场评价</w:t>
            </w:r>
          </w:p>
        </w:tc>
        <w:tc>
          <w:tcPr>
            <w:tcW w:w="355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spacing w:before="0" w:beforeAutospacing="0"/>
              <w:rPr>
                <w:rFonts w:hint="default"/>
                <w:color w:val="auto"/>
                <w:highlight w:val="none"/>
              </w:rPr>
            </w:pPr>
            <w:r>
              <w:rPr>
                <w:rFonts w:hint="eastAsia"/>
                <w:color w:val="auto"/>
                <w:highlight w:val="none"/>
              </w:rPr>
              <w:t>2024年开展一次现场评价工作，评价</w:t>
            </w:r>
            <w:r>
              <w:rPr>
                <w:rFonts w:hint="default"/>
                <w:color w:val="auto"/>
                <w:highlight w:val="none"/>
              </w:rPr>
              <w:t>当年期间</w:t>
            </w:r>
            <w:r>
              <w:rPr>
                <w:rFonts w:hint="eastAsia"/>
                <w:color w:val="auto"/>
                <w:highlight w:val="none"/>
              </w:rPr>
              <w:t>为</w:t>
            </w:r>
            <w:r>
              <w:rPr>
                <w:rFonts w:hint="eastAsia" w:ascii="宋体" w:hAnsi="宋体"/>
                <w:color w:val="auto"/>
                <w:highlight w:val="none"/>
                <w:lang w:val="en-US" w:eastAsia="zh-CN"/>
              </w:rPr>
              <w:t>比选人</w:t>
            </w:r>
            <w:r>
              <w:rPr>
                <w:rFonts w:hint="eastAsia"/>
                <w:color w:val="auto"/>
                <w:highlight w:val="none"/>
              </w:rPr>
              <w:t>开展为期一天的线上安全生产标准化培训，评价后颁发一级安全生产标准化证书。</w:t>
            </w:r>
          </w:p>
        </w:tc>
        <w:tc>
          <w:tcPr>
            <w:tcW w:w="7455" w:type="dxa"/>
            <w:tcBorders>
              <w:top w:val="single" w:color="auto" w:sz="6" w:space="0"/>
              <w:bottom w:val="single" w:color="auto" w:sz="6" w:space="0"/>
              <w:right w:val="single" w:color="auto" w:sz="4" w:space="0"/>
            </w:tcBorders>
            <w:shd w:val="clear" w:color="auto" w:fill="FFFFFF"/>
            <w:vAlign w:val="center"/>
          </w:tcPr>
          <w:p>
            <w:pPr>
              <w:pStyle w:val="28"/>
              <w:keepNext w:val="0"/>
              <w:keepLines w:val="0"/>
              <w:suppressLineNumbers w:val="0"/>
              <w:rPr>
                <w:rFonts w:hint="default" w:ascii="宋体" w:hAnsi="宋体" w:cs="宋体"/>
                <w:color w:val="auto"/>
                <w:highlight w:val="none"/>
              </w:rPr>
            </w:pPr>
            <w:r>
              <w:rPr>
                <w:rFonts w:hint="eastAsia" w:ascii="宋体" w:hAnsi="宋体" w:cs="宋体"/>
                <w:color w:val="auto"/>
                <w:highlight w:val="none"/>
                <w:lang w:val="en-US" w:eastAsia="zh-CN"/>
              </w:rPr>
              <w:t>按期完成2024年</w:t>
            </w:r>
            <w:r>
              <w:rPr>
                <w:rFonts w:hint="eastAsia"/>
                <w:color w:val="auto"/>
                <w:highlight w:val="none"/>
              </w:rPr>
              <w:t>现场评价工作</w:t>
            </w:r>
            <w:r>
              <w:rPr>
                <w:rFonts w:hint="eastAsia" w:ascii="宋体" w:hAnsi="宋体" w:cs="宋体"/>
                <w:color w:val="auto"/>
                <w:highlight w:val="none"/>
              </w:rPr>
              <w:t>，</w:t>
            </w:r>
            <w:r>
              <w:rPr>
                <w:rFonts w:hint="eastAsia"/>
                <w:color w:val="auto"/>
                <w:highlight w:val="none"/>
              </w:rPr>
              <w:t>评价</w:t>
            </w:r>
            <w:r>
              <w:rPr>
                <w:rFonts w:hint="default"/>
                <w:color w:val="auto"/>
                <w:highlight w:val="none"/>
              </w:rPr>
              <w:t>当年期间</w:t>
            </w:r>
            <w:r>
              <w:rPr>
                <w:rFonts w:hint="eastAsia"/>
                <w:color w:val="auto"/>
                <w:highlight w:val="none"/>
              </w:rPr>
              <w:t>为</w:t>
            </w:r>
            <w:r>
              <w:rPr>
                <w:rFonts w:hint="eastAsia" w:ascii="宋体" w:hAnsi="宋体"/>
                <w:color w:val="auto"/>
                <w:highlight w:val="none"/>
                <w:lang w:val="en-US" w:eastAsia="zh-CN"/>
              </w:rPr>
              <w:t>比选人</w:t>
            </w:r>
            <w:r>
              <w:rPr>
                <w:rFonts w:hint="eastAsia"/>
                <w:color w:val="auto"/>
                <w:highlight w:val="none"/>
              </w:rPr>
              <w:t>开展为期一天的线上安全生产标准化培训</w:t>
            </w:r>
            <w:r>
              <w:rPr>
                <w:rFonts w:hint="eastAsia" w:ascii="宋体" w:hAnsi="宋体" w:cs="宋体"/>
                <w:color w:val="auto"/>
                <w:highlight w:val="none"/>
              </w:rPr>
              <w:t>，</w:t>
            </w:r>
            <w:r>
              <w:rPr>
                <w:rFonts w:hint="eastAsia"/>
                <w:color w:val="auto"/>
                <w:highlight w:val="none"/>
              </w:rPr>
              <w:t>评价后</w:t>
            </w:r>
            <w:r>
              <w:rPr>
                <w:rFonts w:hint="eastAsia"/>
                <w:color w:val="auto"/>
                <w:highlight w:val="none"/>
                <w:lang w:val="en-US" w:eastAsia="zh-CN"/>
              </w:rPr>
              <w:t>在约定期限内</w:t>
            </w:r>
            <w:r>
              <w:rPr>
                <w:rFonts w:hint="eastAsia"/>
                <w:color w:val="auto"/>
                <w:highlight w:val="none"/>
              </w:rPr>
              <w:t>颁发一级安全生产标准化证书</w:t>
            </w:r>
            <w:r>
              <w:rPr>
                <w:rFonts w:hint="eastAsia" w:ascii="宋体" w:hAnsi="宋体" w:cs="宋体"/>
                <w:color w:val="auto"/>
                <w:highlight w:val="none"/>
              </w:rPr>
              <w:t>。</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sz w:val="20"/>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2"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2</w:t>
            </w:r>
          </w:p>
        </w:tc>
        <w:tc>
          <w:tcPr>
            <w:tcW w:w="1460"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rPr>
                <w:rFonts w:hint="default" w:ascii="宋体" w:hAnsi="宋体" w:cs="宋体"/>
                <w:color w:val="auto"/>
                <w:highlight w:val="none"/>
              </w:rPr>
            </w:pPr>
            <w:r>
              <w:rPr>
                <w:rFonts w:hint="eastAsia"/>
                <w:color w:val="auto"/>
                <w:szCs w:val="20"/>
                <w:highlight w:val="none"/>
              </w:rPr>
              <w:t>一级安全生产标准化自评</w:t>
            </w:r>
          </w:p>
        </w:tc>
        <w:tc>
          <w:tcPr>
            <w:tcW w:w="3555" w:type="dxa"/>
            <w:tcBorders>
              <w:top w:val="single" w:color="auto" w:sz="6" w:space="0"/>
              <w:bottom w:val="single" w:color="auto" w:sz="6" w:space="0"/>
              <w:right w:val="single" w:color="auto" w:sz="4" w:space="0"/>
            </w:tcBorders>
            <w:shd w:val="clear" w:color="auto" w:fill="auto"/>
            <w:vAlign w:val="center"/>
          </w:tcPr>
          <w:p>
            <w:pPr>
              <w:pStyle w:val="28"/>
              <w:keepNext w:val="0"/>
              <w:keepLines w:val="0"/>
              <w:suppressLineNumbers w:val="0"/>
              <w:spacing w:before="0" w:beforeAutospacing="0"/>
              <w:rPr>
                <w:rFonts w:hint="default"/>
                <w:color w:val="auto"/>
                <w:szCs w:val="20"/>
                <w:highlight w:val="none"/>
              </w:rPr>
            </w:pPr>
            <w:r>
              <w:rPr>
                <w:rFonts w:hint="eastAsia"/>
                <w:color w:val="auto"/>
                <w:szCs w:val="20"/>
                <w:highlight w:val="none"/>
              </w:rPr>
              <w:t>2025年和2026年每年进行一次年度自评审核工作，</w:t>
            </w:r>
            <w:r>
              <w:rPr>
                <w:rFonts w:hint="default"/>
                <w:color w:val="auto"/>
                <w:szCs w:val="20"/>
                <w:highlight w:val="none"/>
              </w:rPr>
              <w:t>期间每年各</w:t>
            </w:r>
            <w:r>
              <w:rPr>
                <w:rFonts w:hint="eastAsia"/>
                <w:color w:val="auto"/>
                <w:szCs w:val="20"/>
                <w:highlight w:val="none"/>
              </w:rPr>
              <w:t>为</w:t>
            </w:r>
            <w:r>
              <w:rPr>
                <w:rFonts w:hint="eastAsia" w:ascii="宋体" w:hAnsi="宋体"/>
                <w:color w:val="auto"/>
                <w:highlight w:val="none"/>
                <w:lang w:val="en-US" w:eastAsia="zh-CN"/>
              </w:rPr>
              <w:t>比选人</w:t>
            </w:r>
            <w:r>
              <w:rPr>
                <w:rFonts w:hint="eastAsia"/>
                <w:color w:val="auto"/>
                <w:szCs w:val="20"/>
                <w:highlight w:val="none"/>
              </w:rPr>
              <w:t>开展为期一天的线上安全生产标准化培训，评价后发放年度审核合格标签。</w:t>
            </w:r>
          </w:p>
        </w:tc>
        <w:tc>
          <w:tcPr>
            <w:tcW w:w="7455" w:type="dxa"/>
            <w:tcBorders>
              <w:top w:val="single" w:color="auto" w:sz="6" w:space="0"/>
              <w:bottom w:val="single" w:color="auto" w:sz="6" w:space="0"/>
              <w:right w:val="single" w:color="auto" w:sz="4" w:space="0"/>
            </w:tcBorders>
            <w:shd w:val="clear" w:color="auto" w:fill="FFFFFF"/>
            <w:vAlign w:val="center"/>
          </w:tcPr>
          <w:p>
            <w:pPr>
              <w:pStyle w:val="28"/>
              <w:keepNext w:val="0"/>
              <w:keepLines w:val="0"/>
              <w:suppressLineNumbers w:val="0"/>
              <w:rPr>
                <w:rFonts w:hint="default" w:ascii="宋体" w:hAnsi="宋体" w:cs="宋体"/>
                <w:color w:val="auto"/>
                <w:kern w:val="2"/>
                <w:highlight w:val="none"/>
              </w:rPr>
            </w:pPr>
            <w:r>
              <w:rPr>
                <w:rFonts w:hint="eastAsia" w:ascii="宋体" w:hAnsi="宋体" w:cs="宋体"/>
                <w:color w:val="auto"/>
                <w:highlight w:val="none"/>
                <w:lang w:val="en-US" w:eastAsia="zh-CN"/>
              </w:rPr>
              <w:t>按期完成</w:t>
            </w:r>
            <w:r>
              <w:rPr>
                <w:rFonts w:hint="eastAsia"/>
                <w:color w:val="auto"/>
                <w:szCs w:val="20"/>
                <w:highlight w:val="none"/>
              </w:rPr>
              <w:t>2025年和2026年年度自评审核工作</w:t>
            </w:r>
            <w:r>
              <w:rPr>
                <w:rFonts w:hint="eastAsia"/>
                <w:color w:val="auto"/>
                <w:szCs w:val="20"/>
                <w:highlight w:val="none"/>
                <w:lang w:eastAsia="zh-CN"/>
              </w:rPr>
              <w:t>，</w:t>
            </w:r>
            <w:r>
              <w:rPr>
                <w:rFonts w:hint="default"/>
                <w:color w:val="auto"/>
                <w:szCs w:val="20"/>
                <w:highlight w:val="none"/>
              </w:rPr>
              <w:t>期间每年各</w:t>
            </w:r>
            <w:r>
              <w:rPr>
                <w:rFonts w:hint="eastAsia"/>
                <w:color w:val="auto"/>
                <w:szCs w:val="20"/>
                <w:highlight w:val="none"/>
              </w:rPr>
              <w:t>为</w:t>
            </w:r>
            <w:r>
              <w:rPr>
                <w:rFonts w:hint="eastAsia" w:ascii="宋体" w:hAnsi="宋体"/>
                <w:color w:val="auto"/>
                <w:highlight w:val="none"/>
                <w:lang w:val="en-US" w:eastAsia="zh-CN"/>
              </w:rPr>
              <w:t>比选人</w:t>
            </w:r>
            <w:r>
              <w:rPr>
                <w:rFonts w:hint="eastAsia"/>
                <w:color w:val="auto"/>
                <w:szCs w:val="20"/>
                <w:highlight w:val="none"/>
              </w:rPr>
              <w:t>开展为期一天的线上安全生产标准化培训，评价后</w:t>
            </w:r>
            <w:r>
              <w:rPr>
                <w:rFonts w:hint="eastAsia"/>
                <w:color w:val="auto"/>
                <w:highlight w:val="none"/>
                <w:lang w:val="en-US" w:eastAsia="zh-CN"/>
              </w:rPr>
              <w:t>在约定期限内</w:t>
            </w:r>
            <w:r>
              <w:rPr>
                <w:rFonts w:hint="eastAsia"/>
                <w:color w:val="auto"/>
                <w:szCs w:val="20"/>
                <w:highlight w:val="none"/>
              </w:rPr>
              <w:t>发放年度审核合格标签</w:t>
            </w:r>
            <w:r>
              <w:rPr>
                <w:rFonts w:hint="eastAsia" w:ascii="宋体" w:hAnsi="宋体" w:cs="宋体"/>
                <w:color w:val="auto"/>
                <w:kern w:val="2"/>
                <w:highlight w:val="none"/>
              </w:rPr>
              <w:t>。</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bl>
    <w:p>
      <w:pPr>
        <w:pStyle w:val="2"/>
        <w:ind w:left="0" w:leftChars="0" w:firstLine="0" w:firstLineChars="0"/>
        <w:rPr>
          <w:color w:val="auto"/>
          <w:highlight w:val="none"/>
        </w:rPr>
      </w:pPr>
    </w:p>
    <w:p>
      <w:pPr>
        <w:snapToGrid w:val="0"/>
        <w:spacing w:after="50" w:line="280" w:lineRule="exact"/>
        <w:ind w:left="955" w:leftChars="455" w:right="-817" w:firstLine="5764" w:firstLineChars="2745"/>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  年  月  日</w:t>
      </w:r>
    </w:p>
    <w:p>
      <w:pPr>
        <w:rPr>
          <w:rFonts w:ascii="宋体" w:hAnsi="宋体"/>
          <w:b/>
          <w:color w:val="auto"/>
          <w:highlight w:val="none"/>
        </w:rPr>
      </w:pPr>
      <w:r>
        <w:rPr>
          <w:rFonts w:ascii="宋体" w:hAnsi="宋体"/>
          <w:b/>
          <w:color w:val="auto"/>
          <w:highlight w:val="none"/>
        </w:rPr>
        <w:br w:type="page"/>
      </w:r>
    </w:p>
    <w:p>
      <w:pPr>
        <w:spacing w:before="0" w:after="0" w:afterAutospacing="0"/>
        <w:ind w:left="0" w:right="0" w:firstLine="0"/>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rPr>
        <w:t>本</w:t>
      </w:r>
      <w:r>
        <w:rPr>
          <w:rFonts w:ascii="宋体" w:hAnsi="宋体"/>
          <w:color w:val="auto"/>
          <w:highlight w:val="none"/>
        </w:rPr>
        <w:t>表。</w:t>
      </w:r>
    </w:p>
    <w:p>
      <w:pPr>
        <w:pStyle w:val="41"/>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w:t>
      </w:r>
      <w:r>
        <w:rPr>
          <w:rFonts w:hint="eastAsia" w:ascii="宋体" w:hAnsi="宋体"/>
          <w:b/>
          <w:bCs/>
          <w:color w:val="auto"/>
          <w:highlight w:val="none"/>
        </w:rPr>
        <w:t>完全响应</w:t>
      </w:r>
      <w:r>
        <w:rPr>
          <w:rFonts w:hint="eastAsia" w:ascii="宋体" w:hAnsi="宋体"/>
          <w:color w:val="auto"/>
          <w:highlight w:val="none"/>
        </w:rPr>
        <w:t>”。对有偏离的条目在本表“偏离情况”列中选注“</w:t>
      </w:r>
      <w:r>
        <w:rPr>
          <w:rFonts w:hint="eastAsia" w:ascii="宋体" w:hAnsi="宋体"/>
          <w:b/>
          <w:bCs/>
          <w:color w:val="auto"/>
          <w:highlight w:val="none"/>
        </w:rPr>
        <w:t>正偏离</w:t>
      </w:r>
      <w:r>
        <w:rPr>
          <w:rFonts w:hint="eastAsia" w:ascii="宋体" w:hAnsi="宋体"/>
          <w:color w:val="auto"/>
          <w:highlight w:val="none"/>
        </w:rPr>
        <w:t>”或“</w:t>
      </w:r>
      <w:r>
        <w:rPr>
          <w:rFonts w:hint="eastAsia" w:ascii="宋体" w:hAnsi="宋体"/>
          <w:b/>
          <w:bCs/>
          <w:color w:val="auto"/>
          <w:highlight w:val="none"/>
        </w:rPr>
        <w:t>负偏离</w:t>
      </w:r>
      <w:r>
        <w:rPr>
          <w:rFonts w:hint="eastAsia" w:ascii="宋体" w:hAnsi="宋体"/>
          <w:color w:val="auto"/>
          <w:highlight w:val="none"/>
        </w:rPr>
        <w:t>”，并对“正偏离”或“负偏离”加以说明。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sectPr>
          <w:pgSz w:w="16838" w:h="11905" w:orient="landscape"/>
          <w:pgMar w:top="1417" w:right="1417" w:bottom="1417" w:left="1304" w:header="454" w:footer="567" w:gutter="0"/>
          <w:pgNumType w:fmt="decimal"/>
          <w:cols w:space="0" w:num="1"/>
          <w:rtlGutter w:val="0"/>
          <w:docGrid w:linePitch="312" w:charSpace="0"/>
        </w:sectPr>
      </w:pPr>
      <w:r>
        <w:rPr>
          <w:rFonts w:hint="eastAsia" w:ascii="宋体" w:hAnsi="宋体"/>
          <w:b/>
          <w:color w:val="auto"/>
          <w:highlight w:val="none"/>
        </w:rPr>
        <w:t>6.如有任意一项负偏离，比选申请人将不能通过</w:t>
      </w:r>
      <w:r>
        <w:rPr>
          <w:rFonts w:hint="eastAsia" w:ascii="宋体" w:hAnsi="宋体"/>
          <w:b/>
          <w:color w:val="auto"/>
          <w:highlight w:val="none"/>
          <w:lang w:val="en-US" w:eastAsia="zh-CN"/>
        </w:rPr>
        <w:t>初步</w:t>
      </w:r>
      <w:r>
        <w:rPr>
          <w:rFonts w:hint="eastAsia" w:ascii="宋体" w:hAnsi="宋体"/>
          <w:b/>
          <w:color w:val="auto"/>
          <w:highlight w:val="none"/>
        </w:rPr>
        <w:t>评审。</w:t>
      </w:r>
    </w:p>
    <w:p>
      <w:pPr>
        <w:pStyle w:val="5"/>
        <w:tabs>
          <w:tab w:val="left" w:pos="567"/>
          <w:tab w:val="left" w:pos="720"/>
        </w:tabs>
        <w:snapToGrid w:val="0"/>
        <w:spacing w:after="100" w:line="360" w:lineRule="auto"/>
        <w:ind w:left="0" w:right="-57" w:firstLine="0"/>
        <w:jc w:val="left"/>
        <w:rPr>
          <w:rFonts w:ascii="宋体" w:hAnsi="宋体" w:eastAsia="宋体"/>
          <w:color w:val="auto"/>
          <w:sz w:val="21"/>
          <w:szCs w:val="21"/>
          <w:highlight w:val="none"/>
        </w:rPr>
      </w:pPr>
      <w:bookmarkStart w:id="2008" w:name="_Toc25750685"/>
      <w:bookmarkStart w:id="2009" w:name="_Toc991"/>
      <w:bookmarkStart w:id="2010" w:name="_Toc20057"/>
      <w:bookmarkStart w:id="2011" w:name="_Toc23791"/>
      <w:bookmarkStart w:id="2012" w:name="_Toc19146"/>
      <w:bookmarkStart w:id="2013" w:name="_Toc16393"/>
      <w:bookmarkStart w:id="2014" w:name="_Toc21011"/>
      <w:bookmarkStart w:id="2015" w:name="_Toc3420"/>
      <w:r>
        <w:rPr>
          <w:rFonts w:hint="eastAsia" w:ascii="宋体" w:hAnsi="宋体" w:eastAsia="宋体"/>
          <w:color w:val="auto"/>
          <w:sz w:val="21"/>
          <w:szCs w:val="21"/>
          <w:highlight w:val="none"/>
        </w:rPr>
        <w:t>B2</w:t>
      </w:r>
      <w:bookmarkEnd w:id="2008"/>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2009"/>
      <w:bookmarkEnd w:id="2010"/>
      <w:bookmarkEnd w:id="2011"/>
      <w:bookmarkEnd w:id="2012"/>
      <w:bookmarkEnd w:id="2013"/>
      <w:bookmarkEnd w:id="2014"/>
      <w:bookmarkEnd w:id="2015"/>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ascii="宋体" w:hAnsi="宋体"/>
          <w:color w:val="auto"/>
          <w:highlight w:val="none"/>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eastAsia="宋体" w:cs="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r>
        <w:rPr>
          <w:rFonts w:hAnsi="宋体"/>
          <w:color w:val="auto"/>
          <w:kern w:val="2"/>
          <w:highlight w:val="none"/>
        </w:rPr>
        <w:t>（项目编号</w:t>
      </w:r>
      <w:r>
        <w:rPr>
          <w:rFonts w:hint="eastAsia" w:ascii="宋体" w:hAnsi="宋体"/>
          <w:color w:val="auto"/>
          <w:highlight w:val="none"/>
        </w:rPr>
        <w:t>202401100001</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服务</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   年  月  日</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016" w:name="_Toc23892"/>
      <w:bookmarkStart w:id="2017" w:name="_Toc25750687"/>
      <w:bookmarkStart w:id="2018" w:name="_Toc23991"/>
      <w:bookmarkStart w:id="2019" w:name="_Toc20968"/>
      <w:bookmarkStart w:id="2020" w:name="_Toc85"/>
      <w:bookmarkStart w:id="2021" w:name="_Toc12767"/>
      <w:bookmarkStart w:id="2022" w:name="_Toc17109"/>
      <w:bookmarkStart w:id="2023" w:name="_Toc22132"/>
      <w:r>
        <w:rPr>
          <w:rFonts w:hint="eastAsia" w:ascii="宋体" w:hAnsi="宋体" w:eastAsia="宋体"/>
          <w:color w:val="auto"/>
          <w:sz w:val="21"/>
          <w:szCs w:val="21"/>
          <w:highlight w:val="none"/>
        </w:rPr>
        <w:t>B</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 xml:space="preserve"> 商务响应表</w:t>
      </w:r>
      <w:r>
        <w:rPr>
          <w:rFonts w:ascii="宋体" w:hAnsi="宋体" w:eastAsia="宋体"/>
          <w:color w:val="auto"/>
          <w:sz w:val="21"/>
          <w:szCs w:val="21"/>
          <w:highlight w:val="none"/>
        </w:rPr>
        <w:t>格式</w:t>
      </w:r>
      <w:bookmarkEnd w:id="2016"/>
      <w:bookmarkEnd w:id="2017"/>
      <w:bookmarkEnd w:id="2018"/>
      <w:bookmarkEnd w:id="2019"/>
      <w:bookmarkEnd w:id="2020"/>
      <w:bookmarkEnd w:id="2021"/>
      <w:bookmarkEnd w:id="2022"/>
      <w:bookmarkEnd w:id="2023"/>
    </w:p>
    <w:p>
      <w:pPr>
        <w:ind w:right="-57" w:firstLine="0"/>
        <w:jc w:val="center"/>
        <w:rPr>
          <w:rFonts w:ascii="宋体" w:hAnsi="宋体"/>
          <w:b/>
          <w:color w:val="auto"/>
          <w:highlight w:val="none"/>
        </w:rPr>
      </w:pPr>
      <w:bookmarkStart w:id="2024" w:name="_Toc2924"/>
      <w:r>
        <w:rPr>
          <w:rFonts w:hint="eastAsia" w:ascii="宋体" w:hAnsi="宋体"/>
          <w:b/>
          <w:color w:val="auto"/>
          <w:highlight w:val="none"/>
        </w:rPr>
        <w:t>商务响应表</w:t>
      </w:r>
      <w:bookmarkEnd w:id="2024"/>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highlight w:val="none"/>
        </w:rPr>
        <w:t>项目名称：</w:t>
      </w:r>
      <w:r>
        <w:rPr>
          <w:rFonts w:hint="eastAsia" w:ascii="宋体" w:hAnsi="宋体" w:eastAsia="宋体" w:cs="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p>
    <w:p>
      <w:pPr>
        <w:spacing w:before="0" w:after="0" w:afterAutospacing="0"/>
        <w:ind w:right="-57" w:firstLine="0"/>
        <w:jc w:val="left"/>
        <w:rPr>
          <w:rFonts w:ascii="宋体" w:hAnsi="宋体"/>
          <w:color w:val="auto"/>
          <w:highlight w:val="none"/>
          <w:u w:val="single"/>
        </w:rPr>
      </w:pPr>
    </w:p>
    <w:tbl>
      <w:tblPr>
        <w:tblStyle w:val="33"/>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第二章</w:t>
            </w:r>
            <w:r>
              <w:rPr>
                <w:rFonts w:hint="default"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第三章</w:t>
            </w:r>
            <w:r>
              <w:rPr>
                <w:rFonts w:hint="default"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bl>
    <w:p>
      <w:pPr>
        <w:snapToGrid w:val="0"/>
        <w:spacing w:after="50"/>
        <w:ind w:right="-57" w:firstLine="0"/>
        <w:rPr>
          <w:rFonts w:ascii="宋体" w:hAnsi="宋体"/>
          <w:color w:val="auto"/>
          <w:spacing w:val="20"/>
          <w:sz w:val="21"/>
          <w:szCs w:val="21"/>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1"/>
          <w:szCs w:val="21"/>
          <w:highlight w:val="none"/>
        </w:rPr>
      </w:pPr>
    </w:p>
    <w:p>
      <w:pPr>
        <w:snapToGrid w:val="0"/>
        <w:spacing w:after="50" w:line="280" w:lineRule="exact"/>
        <w:ind w:left="953" w:right="-817" w:firstLine="1443"/>
        <w:rPr>
          <w:rFonts w:ascii="宋体" w:hAnsi="宋体"/>
          <w:color w:val="auto"/>
          <w:sz w:val="21"/>
          <w:szCs w:val="21"/>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line="240" w:lineRule="auto"/>
        <w:ind w:left="0" w:right="0" w:firstLine="0"/>
        <w:jc w:val="left"/>
        <w:rPr>
          <w:rFonts w:ascii="宋体" w:hAnsi="宋体"/>
          <w:color w:val="auto"/>
          <w:highlight w:val="none"/>
        </w:rPr>
      </w:pPr>
      <w:r>
        <w:rPr>
          <w:rFonts w:ascii="宋体" w:hAnsi="宋体"/>
          <w:color w:val="auto"/>
          <w:highlight w:val="none"/>
        </w:rPr>
        <w:br w:type="page"/>
      </w:r>
    </w:p>
    <w:p>
      <w:pPr>
        <w:pStyle w:val="4"/>
        <w:pageBreakBefore/>
        <w:spacing w:after="100"/>
        <w:ind w:left="0" w:right="-57" w:firstLine="0"/>
        <w:jc w:val="center"/>
        <w:rPr>
          <w:rFonts w:ascii="宋体" w:hAnsi="宋体"/>
          <w:color w:val="auto"/>
          <w:sz w:val="24"/>
          <w:szCs w:val="24"/>
          <w:highlight w:val="none"/>
        </w:rPr>
      </w:pPr>
      <w:bookmarkStart w:id="2025" w:name="_Toc492478807"/>
      <w:bookmarkStart w:id="2026" w:name="_Toc8914"/>
      <w:bookmarkStart w:id="2027" w:name="_Toc8874"/>
      <w:bookmarkStart w:id="2028" w:name="_Toc23770"/>
      <w:bookmarkStart w:id="2029" w:name="_Toc11582"/>
      <w:bookmarkStart w:id="2030" w:name="_Toc17687"/>
      <w:bookmarkStart w:id="2031" w:name="_Toc12677"/>
      <w:bookmarkStart w:id="2032" w:name="_Toc12983551"/>
      <w:bookmarkStart w:id="2033" w:name="_Toc28662"/>
      <w:bookmarkStart w:id="2034" w:name="_Toc8451"/>
      <w:bookmarkStart w:id="2035" w:name="_Toc24971"/>
      <w:bookmarkStart w:id="2036" w:name="_Toc14988"/>
      <w:bookmarkStart w:id="2037" w:name="_Toc414290525"/>
      <w:bookmarkStart w:id="2038" w:name="_Toc13328"/>
      <w:bookmarkStart w:id="2039" w:name="_Toc14586"/>
      <w:bookmarkStart w:id="2040" w:name="_Toc27820"/>
      <w:bookmarkStart w:id="2041" w:name="_Toc10812"/>
      <w:bookmarkStart w:id="2042" w:name="_Toc16676"/>
      <w:bookmarkStart w:id="2043" w:name="_Toc12984811"/>
      <w:bookmarkStart w:id="2044" w:name="_Toc29358"/>
      <w:bookmarkStart w:id="2045" w:name="_Toc18876"/>
      <w:bookmarkStart w:id="2046" w:name="_Toc17422"/>
      <w:bookmarkStart w:id="2047" w:name="_Toc7376"/>
      <w:bookmarkStart w:id="2048" w:name="_Toc14006"/>
      <w:bookmarkStart w:id="2049" w:name="_Toc25669"/>
      <w:bookmarkStart w:id="2050" w:name="_Toc23973"/>
      <w:bookmarkStart w:id="2051" w:name="_Toc6378"/>
      <w:bookmarkStart w:id="2052" w:name="_Toc3795"/>
      <w:bookmarkStart w:id="2053" w:name="_Toc23095"/>
      <w:r>
        <w:rPr>
          <w:rFonts w:hint="eastAsia" w:ascii="宋体" w:hAnsi="宋体"/>
          <w:color w:val="auto"/>
          <w:sz w:val="24"/>
          <w:szCs w:val="24"/>
          <w:highlight w:val="none"/>
        </w:rPr>
        <w:t>C</w:t>
      </w:r>
      <w:r>
        <w:rPr>
          <w:rFonts w:ascii="宋体" w:hAnsi="宋体"/>
          <w:color w:val="auto"/>
          <w:sz w:val="24"/>
          <w:szCs w:val="24"/>
          <w:highlight w:val="none"/>
        </w:rPr>
        <w:t xml:space="preserve"> </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Fonts w:hint="eastAsia" w:ascii="宋体" w:hAnsi="宋体"/>
          <w:color w:val="auto"/>
          <w:sz w:val="24"/>
          <w:szCs w:val="24"/>
          <w:highlight w:val="none"/>
        </w:rPr>
        <w:t>价格文件</w:t>
      </w:r>
      <w:bookmarkEnd w:id="2046"/>
      <w:bookmarkEnd w:id="2047"/>
      <w:bookmarkEnd w:id="2048"/>
      <w:bookmarkEnd w:id="2049"/>
      <w:bookmarkEnd w:id="2050"/>
      <w:bookmarkEnd w:id="2051"/>
      <w:bookmarkEnd w:id="2052"/>
      <w:bookmarkEnd w:id="2053"/>
    </w:p>
    <w:p>
      <w:pPr>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价格文件格式</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（1）比选申请报价一览表（格式见C1）；</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（2）比选申请函（格式见C2）；</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（3）比选申请报价表（格式见C3）；</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（4）比选申请人认为应提交的其他比选申请资料</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如有</w:t>
      </w:r>
      <w:r>
        <w:rPr>
          <w:rFonts w:hint="eastAsia" w:ascii="宋体" w:hAnsi="宋体" w:cs="宋体"/>
          <w:color w:val="auto"/>
          <w:highlight w:val="none"/>
          <w:lang w:eastAsia="zh-CN"/>
        </w:rPr>
        <w:t>）</w:t>
      </w:r>
      <w:r>
        <w:rPr>
          <w:rFonts w:hint="eastAsia" w:ascii="宋体" w:hAnsi="宋体" w:eastAsia="宋体" w:cs="宋体"/>
          <w:color w:val="auto"/>
          <w:highlight w:val="none"/>
        </w:rPr>
        <w:t>。</w:t>
      </w:r>
    </w:p>
    <w:p>
      <w:pPr>
        <w:pStyle w:val="5"/>
        <w:keepNext w:val="0"/>
        <w:keepLines w:val="0"/>
        <w:pageBreakBefore w:val="0"/>
        <w:widowControl/>
        <w:tabs>
          <w:tab w:val="left" w:pos="567"/>
          <w:tab w:val="left" w:pos="720"/>
        </w:tabs>
        <w:kinsoku/>
        <w:wordWrap/>
        <w:overflowPunct/>
        <w:topLinePunct w:val="0"/>
        <w:autoSpaceDE/>
        <w:autoSpaceDN/>
        <w:bidi w:val="0"/>
        <w:adjustRightInd/>
        <w:snapToGrid w:val="0"/>
        <w:spacing w:after="0" w:line="360" w:lineRule="auto"/>
        <w:ind w:left="0" w:right="-57" w:firstLine="643" w:firstLineChars="200"/>
        <w:jc w:val="left"/>
        <w:textAlignment w:val="auto"/>
        <w:rPr>
          <w:rFonts w:ascii="宋体" w:hAnsi="宋体" w:eastAsia="宋体"/>
          <w:color w:val="auto"/>
          <w:sz w:val="21"/>
          <w:szCs w:val="21"/>
          <w:highlight w:val="none"/>
        </w:rPr>
      </w:pPr>
      <w:r>
        <w:rPr>
          <w:rFonts w:hint="eastAsia" w:ascii="宋体" w:hAnsi="宋体" w:eastAsia="宋体" w:cs="宋体"/>
          <w:color w:val="auto"/>
          <w:highlight w:val="none"/>
        </w:rPr>
        <w:br w:type="page"/>
      </w:r>
      <w:bookmarkStart w:id="2054" w:name="_Toc28398"/>
      <w:bookmarkStart w:id="2055" w:name="_Toc7004"/>
      <w:bookmarkStart w:id="2056" w:name="_Toc29231"/>
      <w:bookmarkStart w:id="2057" w:name="_Toc2184"/>
      <w:bookmarkStart w:id="2058" w:name="_Toc29688"/>
      <w:bookmarkStart w:id="2059" w:name="_Toc12951"/>
      <w:bookmarkStart w:id="2060" w:name="_Toc25419"/>
      <w:bookmarkStart w:id="2061" w:name="_Toc23615"/>
      <w:bookmarkStart w:id="2062" w:name="_Toc24487"/>
      <w:bookmarkStart w:id="2063" w:name="_Toc25750680"/>
      <w:bookmarkStart w:id="2064" w:name="_Toc1158"/>
      <w:bookmarkStart w:id="2065" w:name="_Toc12983552"/>
      <w:bookmarkStart w:id="2066" w:name="_Toc8975"/>
      <w:bookmarkStart w:id="2067" w:name="_Toc18340"/>
      <w:bookmarkStart w:id="2068" w:name="_Toc375564355"/>
      <w:bookmarkStart w:id="2069" w:name="_Toc6992"/>
      <w:bookmarkStart w:id="2070" w:name="_Toc4623"/>
      <w:bookmarkStart w:id="2071" w:name="_Toc18516"/>
      <w:bookmarkStart w:id="2072" w:name="_Toc13980"/>
      <w:bookmarkStart w:id="2073" w:name="_Toc27610"/>
      <w:bookmarkStart w:id="2074" w:name="_Toc21489"/>
      <w:bookmarkStart w:id="2075" w:name="_Toc16489"/>
      <w:bookmarkStart w:id="2076" w:name="_Toc24326"/>
      <w:bookmarkStart w:id="2077" w:name="_Toc24873"/>
      <w:bookmarkStart w:id="2078" w:name="_Toc15042"/>
      <w:bookmarkStart w:id="2079" w:name="_Toc492478808"/>
      <w:bookmarkStart w:id="2080" w:name="_Toc9861"/>
      <w:bookmarkStart w:id="2081" w:name="_Toc414290526"/>
      <w:bookmarkStart w:id="2082" w:name="_Toc9560"/>
      <w:bookmarkStart w:id="2083" w:name="_Toc10991"/>
      <w:bookmarkStart w:id="2084" w:name="_Toc12984812"/>
      <w:r>
        <w:rPr>
          <w:rFonts w:hint="eastAsia" w:ascii="宋体" w:hAnsi="宋体" w:eastAsia="宋体"/>
          <w:color w:val="auto"/>
          <w:sz w:val="21"/>
          <w:szCs w:val="21"/>
          <w:highlight w:val="none"/>
        </w:rPr>
        <w:t>C</w:t>
      </w:r>
      <w:r>
        <w:rPr>
          <w:rFonts w:ascii="宋体" w:hAnsi="宋体" w:eastAsia="宋体"/>
          <w:color w:val="auto"/>
          <w:sz w:val="21"/>
          <w:szCs w:val="21"/>
          <w:highlight w:val="none"/>
        </w:rPr>
        <w:t>1</w:t>
      </w:r>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比选申请报价一览表</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snapToGrid w:val="0"/>
        <w:spacing w:after="50"/>
        <w:ind w:right="-57" w:firstLine="0"/>
        <w:jc w:val="center"/>
        <w:rPr>
          <w:rFonts w:ascii="宋体" w:hAnsi="宋体"/>
          <w:b/>
          <w:color w:val="auto"/>
          <w:sz w:val="24"/>
          <w:szCs w:val="24"/>
          <w:highlight w:val="none"/>
        </w:rPr>
      </w:pPr>
      <w:bookmarkStart w:id="2085" w:name="_Toc20931"/>
      <w:r>
        <w:rPr>
          <w:rFonts w:hint="eastAsia" w:ascii="宋体" w:hAnsi="宋体"/>
          <w:b/>
          <w:color w:val="auto"/>
          <w:sz w:val="24"/>
          <w:szCs w:val="24"/>
          <w:highlight w:val="none"/>
        </w:rPr>
        <w:t>比选申请报价一览表</w:t>
      </w:r>
      <w:bookmarkEnd w:id="2085"/>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kern w:val="2"/>
          <w:highlight w:val="none"/>
        </w:rPr>
        <w:t>项目名称：</w:t>
      </w:r>
      <w:r>
        <w:rPr>
          <w:rFonts w:hint="eastAsia" w:ascii="宋体" w:hAnsi="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highlight w:val="none"/>
        </w:rPr>
        <w:t>202401100001</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p>
      <w:pPr>
        <w:spacing w:before="0" w:after="0" w:afterAutospacing="0"/>
        <w:ind w:left="0" w:right="0" w:firstLine="0"/>
        <w:rPr>
          <w:rFonts w:ascii="宋体" w:hAnsi="宋体"/>
          <w:color w:val="auto"/>
          <w:highlight w:val="none"/>
        </w:rPr>
      </w:pPr>
    </w:p>
    <w:tbl>
      <w:tblPr>
        <w:tblStyle w:val="33"/>
        <w:tblW w:w="95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8"/>
        <w:gridCol w:w="6170"/>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498" w:type="dxa"/>
            <w:gridSpan w:val="2"/>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center"/>
              <w:rPr>
                <w:rFonts w:hint="eastAsia" w:ascii="宋体" w:hAnsi="宋体" w:eastAsia="宋体"/>
                <w:b/>
                <w:bCs/>
                <w:color w:val="auto"/>
                <w:kern w:val="2"/>
                <w:highlight w:val="none"/>
                <w:lang w:val="en-US" w:eastAsia="zh-CN"/>
              </w:rPr>
            </w:pPr>
            <w:r>
              <w:rPr>
                <w:rFonts w:hint="eastAsia" w:ascii="宋体" w:hAnsi="宋体"/>
                <w:b/>
                <w:bCs/>
                <w:color w:val="auto"/>
                <w:kern w:val="2"/>
                <w:highlight w:val="none"/>
              </w:rPr>
              <w:t>比选申请报价</w:t>
            </w:r>
          </w:p>
        </w:tc>
        <w:tc>
          <w:tcPr>
            <w:tcW w:w="1051" w:type="dxa"/>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center"/>
              <w:rPr>
                <w:rFonts w:hint="eastAsia" w:ascii="宋体" w:hAnsi="宋体" w:eastAsia="宋体"/>
                <w:b/>
                <w:color w:val="auto"/>
                <w:kern w:val="2"/>
                <w:highlight w:val="none"/>
                <w:lang w:eastAsia="zh-CN"/>
              </w:rPr>
            </w:pPr>
            <w:r>
              <w:rPr>
                <w:rFonts w:hint="eastAsia" w:ascii="宋体" w:hAnsi="宋体"/>
                <w:b/>
                <w:color w:val="auto"/>
                <w:kern w:val="2"/>
                <w:highlight w:val="none"/>
                <w:lang w:val="en-US" w:eastAsia="zh-CN"/>
              </w:rPr>
              <w:t>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7" w:hRule="atLeast"/>
        </w:trPr>
        <w:tc>
          <w:tcPr>
            <w:tcW w:w="2328" w:type="dxa"/>
            <w:tcBorders>
              <w:bottom w:val="single" w:color="auto" w:sz="4" w:space="0"/>
            </w:tcBorders>
            <w:vAlign w:val="center"/>
          </w:tcPr>
          <w:p>
            <w:pPr>
              <w:keepNext w:val="0"/>
              <w:keepLines w:val="0"/>
              <w:widowControl w:val="0"/>
              <w:suppressLineNumbers w:val="0"/>
              <w:snapToGrid w:val="0"/>
              <w:spacing w:before="0" w:beforeAutospacing="0" w:after="0" w:afterAutospacing="0"/>
              <w:ind w:left="0" w:right="-57" w:rightChars="-27" w:firstLine="0"/>
              <w:jc w:val="center"/>
              <w:rPr>
                <w:rFonts w:hint="eastAsia" w:ascii="宋体" w:hAnsi="宋体"/>
                <w:b/>
                <w:bCs/>
                <w:color w:val="auto"/>
                <w:kern w:val="2"/>
                <w:highlight w:val="none"/>
              </w:rPr>
            </w:pPr>
            <w:r>
              <w:rPr>
                <w:rFonts w:hint="eastAsia" w:ascii="宋体" w:hAnsi="宋体"/>
                <w:b/>
                <w:bCs/>
                <w:color w:val="auto"/>
                <w:kern w:val="2"/>
                <w:highlight w:val="none"/>
              </w:rPr>
              <w:t>比选申请总报价</w:t>
            </w:r>
          </w:p>
          <w:p>
            <w:pPr>
              <w:keepNext w:val="0"/>
              <w:keepLines w:val="0"/>
              <w:widowControl w:val="0"/>
              <w:suppressLineNumbers w:val="0"/>
              <w:snapToGrid w:val="0"/>
              <w:spacing w:before="0" w:beforeAutospacing="0" w:after="0" w:afterAutospacing="0"/>
              <w:ind w:left="0" w:leftChars="0" w:right="-57" w:rightChars="-27" w:firstLine="632" w:firstLineChars="300"/>
              <w:jc w:val="both"/>
              <w:rPr>
                <w:rFonts w:hint="default" w:ascii="宋体" w:hAnsi="宋体"/>
                <w:b/>
                <w:bCs/>
                <w:color w:val="auto"/>
                <w:kern w:val="2"/>
                <w:highlight w:val="none"/>
              </w:rPr>
            </w:pPr>
            <w:r>
              <w:rPr>
                <w:rFonts w:hint="eastAsia" w:ascii="宋体" w:hAnsi="宋体"/>
                <w:b/>
                <w:bCs/>
                <w:color w:val="auto"/>
                <w:kern w:val="2"/>
                <w:highlight w:val="none"/>
              </w:rPr>
              <w:t>(不含税）</w:t>
            </w:r>
          </w:p>
        </w:tc>
        <w:tc>
          <w:tcPr>
            <w:tcW w:w="6170" w:type="dxa"/>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left"/>
              <w:rPr>
                <w:rFonts w:hint="default" w:ascii="宋体" w:hAnsi="宋体"/>
                <w:b/>
                <w:color w:val="auto"/>
                <w:kern w:val="2"/>
                <w:highlight w:val="none"/>
                <w:u w:val="single"/>
              </w:rPr>
            </w:pPr>
            <w:r>
              <w:rPr>
                <w:rFonts w:hint="eastAsia" w:ascii="宋体" w:hAnsi="宋体"/>
                <w:b/>
                <w:color w:val="auto"/>
                <w:kern w:val="2"/>
                <w:highlight w:val="none"/>
              </w:rPr>
              <w:t>小写：</w:t>
            </w:r>
          </w:p>
          <w:p>
            <w:pPr>
              <w:keepNext w:val="0"/>
              <w:keepLines w:val="0"/>
              <w:widowControl w:val="0"/>
              <w:suppressLineNumbers w:val="0"/>
              <w:snapToGrid w:val="0"/>
              <w:spacing w:before="0" w:beforeAutospacing="0" w:after="0" w:afterAutospacing="0"/>
              <w:ind w:left="0" w:right="-57" w:rightChars="-27" w:firstLine="0"/>
              <w:jc w:val="left"/>
              <w:rPr>
                <w:rFonts w:hint="eastAsia" w:ascii="宋体" w:hAnsi="宋体"/>
                <w:b/>
                <w:color w:val="auto"/>
                <w:kern w:val="2"/>
                <w:highlight w:val="none"/>
              </w:rPr>
            </w:pPr>
            <w:r>
              <w:rPr>
                <w:rFonts w:hint="eastAsia" w:ascii="宋体" w:hAnsi="宋体"/>
                <w:b/>
                <w:color w:val="auto"/>
                <w:kern w:val="2"/>
                <w:highlight w:val="none"/>
              </w:rPr>
              <w:t>大写：</w:t>
            </w:r>
          </w:p>
        </w:tc>
        <w:tc>
          <w:tcPr>
            <w:tcW w:w="1051" w:type="dxa"/>
            <w:tcBorders>
              <w:bottom w:val="single" w:color="auto" w:sz="4" w:space="0"/>
            </w:tcBorders>
            <w:vAlign w:val="center"/>
          </w:tcPr>
          <w:p>
            <w:pPr>
              <w:keepNext w:val="0"/>
              <w:keepLines w:val="0"/>
              <w:widowControl w:val="0"/>
              <w:suppressLineNumbers w:val="0"/>
              <w:snapToGrid w:val="0"/>
              <w:spacing w:before="0" w:beforeAutospacing="0" w:after="0" w:afterAutospacing="0"/>
              <w:ind w:left="0" w:right="-57" w:rightChars="-27" w:firstLine="0"/>
              <w:rPr>
                <w:rFonts w:hint="default"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2328" w:type="dxa"/>
            <w:vAlign w:val="center"/>
          </w:tcPr>
          <w:p>
            <w:pPr>
              <w:keepNext w:val="0"/>
              <w:keepLines w:val="0"/>
              <w:widowControl w:val="0"/>
              <w:suppressLineNumbers w:val="0"/>
              <w:snapToGrid w:val="0"/>
              <w:spacing w:before="0" w:beforeAutospacing="0" w:after="0" w:afterAutospacing="0"/>
              <w:ind w:right="-57" w:rightChars="-27"/>
              <w:jc w:val="center"/>
              <w:rPr>
                <w:rFonts w:hint="default" w:ascii="宋体" w:hAnsi="宋体"/>
                <w:b/>
                <w:color w:val="auto"/>
                <w:sz w:val="24"/>
                <w:highlight w:val="none"/>
                <w:lang w:val="en-US" w:eastAsia="zh-CN"/>
              </w:rPr>
            </w:pPr>
            <w:r>
              <w:rPr>
                <w:rFonts w:hint="eastAsia" w:ascii="宋体" w:hAnsi="宋体"/>
                <w:b/>
                <w:bCs/>
                <w:color w:val="auto"/>
                <w:kern w:val="2"/>
                <w:sz w:val="21"/>
                <w:highlight w:val="none"/>
              </w:rPr>
              <w:t>服务期</w:t>
            </w:r>
          </w:p>
        </w:tc>
        <w:tc>
          <w:tcPr>
            <w:tcW w:w="7221" w:type="dxa"/>
            <w:gridSpan w:val="2"/>
            <w:vAlign w:val="center"/>
          </w:tcPr>
          <w:p>
            <w:pPr>
              <w:keepNext w:val="0"/>
              <w:keepLines w:val="0"/>
              <w:widowControl w:val="0"/>
              <w:suppressLineNumbers w:val="0"/>
              <w:snapToGrid w:val="0"/>
              <w:spacing w:before="0" w:beforeAutospacing="0" w:after="0" w:afterAutospacing="0"/>
              <w:ind w:right="-57" w:rightChars="-27"/>
              <w:rPr>
                <w:rFonts w:hint="default" w:hAnsi="宋体"/>
                <w:color w:val="auto"/>
                <w:sz w:val="21"/>
                <w:szCs w:val="21"/>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eastAsia="zh-CN"/>
        </w:rPr>
        <w:t>：</w:t>
      </w:r>
      <w:r>
        <w:rPr>
          <w:rFonts w:hint="eastAsia" w:ascii="宋体" w:hAnsi="宋体"/>
          <w:color w:val="auto"/>
          <w:highlight w:val="none"/>
          <w:lang w:val="en-US" w:eastAsia="zh-CN"/>
        </w:rPr>
        <w:t>比选申请人的报价已包括了实施和完成本项目评价和培训工作所需的培训费、人员差旅费、调研费、资料费、文印费以及专家评审费等完成本合同内容所需的一切费用</w:t>
      </w:r>
      <w:r>
        <w:rPr>
          <w:rFonts w:hint="eastAsia" w:ascii="宋体" w:hAnsi="宋体"/>
          <w:color w:val="auto"/>
          <w:highlight w:val="none"/>
        </w:rPr>
        <w:t>。</w:t>
      </w:r>
    </w:p>
    <w:p>
      <w:pPr>
        <w:snapToGrid w:val="0"/>
        <w:spacing w:after="50" w:line="280" w:lineRule="exact"/>
        <w:ind w:left="955" w:right="-817" w:firstLine="2625" w:firstLineChars="1250"/>
        <w:rPr>
          <w:rFonts w:hint="eastAsia" w:ascii="宋体" w:hAnsi="宋体"/>
          <w:color w:val="auto"/>
          <w:highlight w:val="none"/>
        </w:rPr>
      </w:pPr>
    </w:p>
    <w:p>
      <w:pPr>
        <w:snapToGrid w:val="0"/>
        <w:spacing w:after="50" w:line="280" w:lineRule="exact"/>
        <w:ind w:left="955" w:right="-817" w:firstLine="2625" w:firstLineChars="1250"/>
        <w:rPr>
          <w:rFonts w:hint="eastAsia"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hint="eastAsia" w:ascii="宋体" w:hAnsi="宋体"/>
          <w:color w:val="auto"/>
          <w:highlight w:val="none"/>
        </w:rPr>
      </w:pPr>
      <w:r>
        <w:rPr>
          <w:rFonts w:hint="eastAsia" w:ascii="宋体" w:hAnsi="宋体"/>
          <w:color w:val="auto"/>
          <w:highlight w:val="none"/>
        </w:rPr>
        <w:t>日  期：     年</w:t>
      </w:r>
      <w:r>
        <w:rPr>
          <w:rFonts w:hint="eastAsia" w:ascii="宋体" w:hAnsi="宋体"/>
          <w:color w:val="auto"/>
          <w:highlight w:val="none"/>
          <w:lang w:val="en-US" w:eastAsia="zh-CN"/>
        </w:rPr>
        <w:tab/>
      </w:r>
      <w:r>
        <w:rPr>
          <w:rFonts w:hint="eastAsia" w:ascii="宋体" w:hAnsi="宋体"/>
          <w:color w:val="auto"/>
          <w:highlight w:val="none"/>
        </w:rPr>
        <w:t xml:space="preserve">  月  日</w:t>
      </w:r>
    </w:p>
    <w:p>
      <w:pPr>
        <w:keepNext w:val="0"/>
        <w:keepLines w:val="0"/>
        <w:pageBreakBefore w:val="0"/>
        <w:widowControl/>
        <w:kinsoku/>
        <w:wordWrap/>
        <w:overflowPunct/>
        <w:topLinePunct w:val="0"/>
        <w:autoSpaceDE/>
        <w:autoSpaceDN/>
        <w:bidi w:val="0"/>
        <w:adjustRightInd/>
        <w:snapToGrid w:val="0"/>
        <w:spacing w:after="0" w:line="360" w:lineRule="auto"/>
        <w:ind w:left="0" w:right="0" w:firstLine="420" w:firstLineChars="200"/>
        <w:jc w:val="left"/>
        <w:textAlignment w:val="auto"/>
        <w:rPr>
          <w:rFonts w:hint="eastAsia" w:ascii="宋体" w:hAnsi="宋体" w:eastAsia="宋体" w:cs="Times New Roman"/>
          <w:b/>
          <w:color w:val="auto"/>
          <w:sz w:val="21"/>
          <w:szCs w:val="21"/>
          <w:highlight w:val="none"/>
          <w:lang w:val="en-US" w:eastAsia="zh-CN" w:bidi="ar-SA"/>
        </w:rPr>
      </w:pPr>
      <w:r>
        <w:rPr>
          <w:rFonts w:ascii="宋体" w:hAnsi="宋体" w:eastAsia="宋体"/>
          <w:color w:val="auto"/>
          <w:highlight w:val="none"/>
        </w:rPr>
        <w:br w:type="page"/>
      </w:r>
      <w:bookmarkStart w:id="2086" w:name="_Toc61680485"/>
      <w:bookmarkStart w:id="2087" w:name="_Toc58124833"/>
      <w:bookmarkStart w:id="2088" w:name="_Toc110413986"/>
      <w:bookmarkStart w:id="2089" w:name="_Toc68859063"/>
      <w:bookmarkStart w:id="2090" w:name="_Toc20737"/>
      <w:bookmarkStart w:id="2091" w:name="_Toc2257"/>
      <w:bookmarkStart w:id="2092" w:name="_Toc11065"/>
      <w:bookmarkStart w:id="2093" w:name="_Toc16803"/>
      <w:bookmarkStart w:id="2094" w:name="_Toc12983553"/>
      <w:bookmarkStart w:id="2095" w:name="_Toc25750681"/>
      <w:bookmarkStart w:id="2096" w:name="_Toc6833"/>
      <w:bookmarkStart w:id="2097" w:name="_Toc16187"/>
      <w:bookmarkStart w:id="2098" w:name="_Toc14859"/>
      <w:bookmarkStart w:id="2099" w:name="_Toc8400"/>
      <w:bookmarkStart w:id="2100" w:name="_Toc2585"/>
      <w:bookmarkStart w:id="2101" w:name="_Toc25869"/>
      <w:bookmarkStart w:id="2102" w:name="_Toc29702"/>
      <w:bookmarkStart w:id="2103" w:name="_Toc26855"/>
      <w:bookmarkStart w:id="2104" w:name="_Toc15419"/>
      <w:bookmarkStart w:id="2105" w:name="_Toc10260"/>
      <w:bookmarkStart w:id="2106" w:name="_Toc241920153"/>
      <w:bookmarkStart w:id="2107" w:name="_Toc4976"/>
      <w:bookmarkStart w:id="2108" w:name="_Toc26335"/>
      <w:bookmarkStart w:id="2109" w:name="_Toc492478809"/>
      <w:bookmarkStart w:id="2110" w:name="_Toc8713"/>
      <w:bookmarkStart w:id="2111" w:name="_Toc6270"/>
      <w:bookmarkStart w:id="2112" w:name="_Toc21109"/>
      <w:bookmarkStart w:id="2113" w:name="_Toc12142"/>
      <w:bookmarkStart w:id="2114" w:name="_Toc32224"/>
      <w:bookmarkStart w:id="2115" w:name="_Toc14503"/>
      <w:bookmarkStart w:id="2116" w:name="_Toc414290527"/>
      <w:bookmarkStart w:id="2117" w:name="_Toc17112"/>
      <w:bookmarkStart w:id="2118" w:name="_Toc12984813"/>
      <w:bookmarkStart w:id="2119" w:name="_Toc20864"/>
      <w:bookmarkStart w:id="2120" w:name="_Toc375564356"/>
      <w:r>
        <w:rPr>
          <w:rFonts w:hint="eastAsia" w:ascii="宋体" w:hAnsi="宋体" w:eastAsia="宋体" w:cs="Times New Roman"/>
          <w:b/>
          <w:color w:val="auto"/>
          <w:sz w:val="21"/>
          <w:szCs w:val="21"/>
          <w:highlight w:val="none"/>
          <w:lang w:val="en-US" w:eastAsia="zh-CN" w:bidi="ar-SA"/>
        </w:rPr>
        <w:t>C2 比选申请</w:t>
      </w:r>
      <w:bookmarkEnd w:id="2086"/>
      <w:bookmarkEnd w:id="2087"/>
      <w:bookmarkEnd w:id="2088"/>
      <w:bookmarkEnd w:id="2089"/>
      <w:r>
        <w:rPr>
          <w:rFonts w:hint="eastAsia" w:ascii="宋体" w:hAnsi="宋体" w:eastAsia="宋体" w:cs="Times New Roman"/>
          <w:b/>
          <w:color w:val="auto"/>
          <w:sz w:val="21"/>
          <w:szCs w:val="21"/>
          <w:highlight w:val="none"/>
          <w:lang w:val="en-US" w:eastAsia="zh-CN" w:bidi="ar-SA"/>
        </w:rPr>
        <w:t>函格式</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lang w:eastAsia="zh-CN"/>
        </w:rPr>
        <w:t>运营公司安全生产标准化建设一级达标评价项目（2024年-2026年）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第二次</w:t>
      </w:r>
      <w:r>
        <w:rPr>
          <w:rFonts w:hint="eastAsia" w:ascii="宋体" w:hAnsi="宋体" w:cs="宋体"/>
          <w:color w:val="auto"/>
          <w:highlight w:val="none"/>
          <w:lang w:eastAsia="zh-CN"/>
        </w:rPr>
        <w:t>）</w:t>
      </w:r>
      <w:r>
        <w:rPr>
          <w:rFonts w:ascii="宋体" w:hAnsi="宋体"/>
          <w:color w:val="auto"/>
          <w:highlight w:val="none"/>
        </w:rPr>
        <w:t>比选申请邀请(项目编号：</w:t>
      </w:r>
      <w:r>
        <w:rPr>
          <w:rFonts w:hint="eastAsia" w:ascii="宋体" w:hAnsi="宋体"/>
          <w:color w:val="auto"/>
          <w:highlight w:val="none"/>
        </w:rPr>
        <w:t>202401100001</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w:t>
      </w:r>
      <w:r>
        <w:rPr>
          <w:rFonts w:hint="eastAsia" w:ascii="宋体" w:hAnsi="宋体"/>
          <w:color w:val="auto"/>
          <w:highlight w:val="none"/>
          <w:u w:val="single"/>
          <w:lang w:val="en-US" w:eastAsia="zh-CN"/>
        </w:rPr>
        <w:t>2</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121"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12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13" w:type="first"/>
          <w:headerReference r:id="rId12" w:type="default"/>
          <w:pgSz w:w="11905" w:h="16838"/>
          <w:pgMar w:top="1417" w:right="1417" w:bottom="1304" w:left="1417" w:header="454" w:footer="567" w:gutter="0"/>
          <w:pgNumType w:fmt="decimal"/>
          <w:cols w:space="0" w:num="1"/>
          <w:rtlGutter w:val="0"/>
          <w:docGrid w:linePitch="312" w:charSpace="0"/>
        </w:sectPr>
      </w:pPr>
    </w:p>
    <w:p>
      <w:pPr>
        <w:pStyle w:val="5"/>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422" w:firstLineChars="200"/>
        <w:jc w:val="left"/>
        <w:textAlignment w:val="auto"/>
        <w:rPr>
          <w:rFonts w:ascii="宋体" w:hAnsi="宋体" w:eastAsia="宋体"/>
          <w:color w:val="auto"/>
          <w:sz w:val="21"/>
          <w:szCs w:val="21"/>
          <w:highlight w:val="none"/>
        </w:rPr>
      </w:pPr>
      <w:bookmarkStart w:id="2122" w:name="_Toc15276"/>
      <w:bookmarkStart w:id="2123" w:name="_Toc1330"/>
      <w:bookmarkStart w:id="2124" w:name="_Toc1019"/>
      <w:bookmarkStart w:id="2125" w:name="_Toc31760"/>
      <w:bookmarkStart w:id="2126" w:name="_Toc3968"/>
      <w:bookmarkStart w:id="2127" w:name="_Toc18669"/>
      <w:bookmarkStart w:id="2128" w:name="_Toc8101"/>
      <w:bookmarkStart w:id="2129" w:name="_Toc6910"/>
      <w:bookmarkStart w:id="2130" w:name="_Toc23071"/>
      <w:bookmarkStart w:id="2131" w:name="_Toc414290528"/>
      <w:bookmarkStart w:id="2132" w:name="_Toc17092"/>
      <w:bookmarkStart w:id="2133" w:name="_Toc30121"/>
      <w:bookmarkStart w:id="2134" w:name="_Toc13790"/>
      <w:bookmarkStart w:id="2135" w:name="_Toc26731"/>
      <w:bookmarkStart w:id="2136" w:name="_Toc14080"/>
      <w:bookmarkStart w:id="2137" w:name="_Toc20116"/>
      <w:bookmarkStart w:id="2138" w:name="_Toc14488"/>
      <w:bookmarkStart w:id="2139" w:name="_Toc27821"/>
      <w:bookmarkStart w:id="2140" w:name="_Toc25750682"/>
      <w:bookmarkStart w:id="2141" w:name="_Toc12984814"/>
      <w:bookmarkStart w:id="2142" w:name="_Toc6508"/>
      <w:bookmarkStart w:id="2143" w:name="_Toc24000"/>
      <w:bookmarkStart w:id="2144" w:name="_Toc28944"/>
      <w:bookmarkStart w:id="2145" w:name="_Toc12983554"/>
      <w:bookmarkStart w:id="2146" w:name="_Toc15469"/>
      <w:bookmarkStart w:id="2147" w:name="_Toc27284"/>
      <w:bookmarkStart w:id="2148" w:name="_Toc4583"/>
      <w:bookmarkStart w:id="2149" w:name="_Toc4526"/>
      <w:bookmarkStart w:id="2150" w:name="_Toc13611"/>
      <w:bookmarkStart w:id="2151" w:name="_Toc492478810"/>
      <w:bookmarkStart w:id="2152" w:name="_Toc14478"/>
      <w:r>
        <w:rPr>
          <w:rFonts w:hint="eastAsia" w:ascii="宋体" w:hAnsi="宋体" w:eastAsia="宋体"/>
          <w:color w:val="auto"/>
          <w:sz w:val="21"/>
          <w:szCs w:val="21"/>
          <w:highlight w:val="none"/>
        </w:rPr>
        <w:t>C</w:t>
      </w:r>
      <w:r>
        <w:rPr>
          <w:rFonts w:ascii="宋体" w:hAnsi="宋体" w:eastAsia="宋体"/>
          <w:color w:val="auto"/>
          <w:sz w:val="21"/>
          <w:szCs w:val="21"/>
          <w:highlight w:val="none"/>
        </w:rPr>
        <w:t>3</w:t>
      </w:r>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比选申请报价表格式</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snapToGrid w:val="0"/>
        <w:spacing w:before="0" w:after="0" w:afterAutospacing="0"/>
        <w:ind w:right="-57" w:firstLine="0"/>
        <w:jc w:val="center"/>
        <w:rPr>
          <w:rFonts w:hint="eastAsia"/>
          <w:color w:val="auto"/>
          <w:highlight w:val="none"/>
          <w:lang w:eastAsia="zh-CN"/>
        </w:rPr>
      </w:pPr>
      <w:bookmarkStart w:id="2153" w:name="_Toc20866"/>
      <w:bookmarkStart w:id="2154" w:name="_Hlk86247635"/>
      <w:r>
        <w:rPr>
          <w:rFonts w:hint="eastAsia" w:ascii="宋体" w:hAnsi="宋体"/>
          <w:b/>
          <w:color w:val="auto"/>
          <w:highlight w:val="none"/>
        </w:rPr>
        <w:t>比选申请报价表</w:t>
      </w:r>
      <w:bookmarkEnd w:id="2153"/>
    </w:p>
    <w:p>
      <w:pPr>
        <w:snapToGrid w:val="0"/>
        <w:spacing w:before="0" w:after="0" w:afterAutospacing="0"/>
        <w:ind w:left="0" w:leftChars="0" w:right="-57" w:firstLine="0" w:firstLineChars="0"/>
        <w:jc w:val="both"/>
        <w:rPr>
          <w:rFonts w:hint="eastAsia"/>
          <w:color w:val="auto"/>
          <w:highlight w:val="none"/>
          <w:lang w:val="en-US" w:eastAsia="zh-CN"/>
        </w:rPr>
      </w:pPr>
    </w:p>
    <w:tbl>
      <w:tblPr>
        <w:tblStyle w:val="34"/>
        <w:tblpPr w:leftFromText="180" w:rightFromText="180" w:vertAnchor="text" w:horzAnchor="page" w:tblpXSpec="center" w:tblpY="-71"/>
        <w:tblOverlap w:val="never"/>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89"/>
        <w:gridCol w:w="2841"/>
        <w:gridCol w:w="469"/>
        <w:gridCol w:w="913"/>
        <w:gridCol w:w="1367"/>
        <w:gridCol w:w="1266"/>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序号</w:t>
            </w:r>
          </w:p>
        </w:tc>
        <w:tc>
          <w:tcPr>
            <w:tcW w:w="1489"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lang w:val="en-US" w:eastAsia="zh-CN"/>
              </w:rPr>
              <w:t>名称</w:t>
            </w:r>
          </w:p>
        </w:tc>
        <w:tc>
          <w:tcPr>
            <w:tcW w:w="2841"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需求内容及要求</w:t>
            </w:r>
          </w:p>
        </w:tc>
        <w:tc>
          <w:tcPr>
            <w:tcW w:w="469"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单</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位</w:t>
            </w:r>
          </w:p>
        </w:tc>
        <w:tc>
          <w:tcPr>
            <w:tcW w:w="913" w:type="dxa"/>
            <w:vAlign w:val="center"/>
          </w:tcPr>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数</w:t>
            </w:r>
          </w:p>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量</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①</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单价（元）②</w:t>
            </w:r>
          </w:p>
        </w:tc>
        <w:tc>
          <w:tcPr>
            <w:tcW w:w="1266" w:type="dxa"/>
            <w:vAlign w:val="center"/>
          </w:tcPr>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合价（元）</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③=②*①</w:t>
            </w:r>
          </w:p>
        </w:tc>
        <w:tc>
          <w:tcPr>
            <w:tcW w:w="680"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b/>
                <w:color w:val="auto"/>
                <w:kern w:val="2"/>
                <w:sz w:val="16"/>
                <w:szCs w:val="16"/>
                <w:highlight w:val="none"/>
                <w:lang w:val="en-US" w:eastAsia="zh-CN"/>
              </w:rPr>
            </w:pPr>
            <w:r>
              <w:rPr>
                <w:rFonts w:hint="eastAsia" w:ascii="宋体" w:hAnsi="宋体" w:cs="宋体"/>
                <w:b/>
                <w:bCs/>
                <w:color w:val="auto"/>
                <w:sz w:val="18"/>
                <w:szCs w:val="18"/>
                <w:highlight w:val="none"/>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微软雅黑" w:hAnsi="微软雅黑" w:eastAsia="微软雅黑" w:cs="宋体"/>
                <w:color w:val="auto"/>
                <w:kern w:val="2"/>
                <w:sz w:val="16"/>
                <w:szCs w:val="16"/>
                <w:highlight w:val="none"/>
              </w:rPr>
            </w:pPr>
            <w:r>
              <w:rPr>
                <w:rFonts w:hint="default" w:ascii="宋体" w:hAnsi="宋体" w:cs="宋体"/>
                <w:color w:val="auto"/>
                <w:kern w:val="2"/>
                <w:sz w:val="18"/>
                <w:szCs w:val="18"/>
                <w:highlight w:val="none"/>
              </w:rPr>
              <w:t>1</w:t>
            </w:r>
          </w:p>
        </w:tc>
        <w:tc>
          <w:tcPr>
            <w:tcW w:w="1489" w:type="dxa"/>
            <w:vAlign w:val="center"/>
          </w:tcPr>
          <w:p>
            <w:pPr>
              <w:keepNext w:val="0"/>
              <w:keepLines w:val="0"/>
              <w:widowControl/>
              <w:suppressLineNumbers w:val="0"/>
              <w:spacing w:beforeAutospacing="0"/>
              <w:ind w:left="0" w:right="0" w:firstLine="0"/>
              <w:jc w:val="left"/>
              <w:textAlignment w:val="center"/>
              <w:rPr>
                <w:rFonts w:hint="eastAsia" w:ascii="Calibri" w:hAnsi="Calibri" w:eastAsia="宋体" w:cs="Times New Roman"/>
                <w:color w:val="auto"/>
                <w:kern w:val="2"/>
                <w:sz w:val="18"/>
                <w:szCs w:val="18"/>
                <w:highlight w:val="none"/>
                <w:lang w:val="en-US" w:eastAsia="zh-CN"/>
              </w:rPr>
            </w:pPr>
            <w:r>
              <w:rPr>
                <w:rFonts w:hint="eastAsia" w:ascii="Calibri" w:hAnsi="Calibri" w:eastAsia="宋体" w:cs="Times New Roman"/>
                <w:color w:val="auto"/>
                <w:kern w:val="2"/>
                <w:sz w:val="18"/>
                <w:szCs w:val="18"/>
                <w:highlight w:val="none"/>
                <w:lang w:val="en-US" w:eastAsia="zh-CN"/>
              </w:rPr>
              <w:t>一级安全生产标准化现场评价</w:t>
            </w:r>
          </w:p>
        </w:tc>
        <w:tc>
          <w:tcPr>
            <w:tcW w:w="2841" w:type="dxa"/>
            <w:vAlign w:val="center"/>
          </w:tcPr>
          <w:p>
            <w:pPr>
              <w:keepNext w:val="0"/>
              <w:keepLines w:val="0"/>
              <w:widowControl/>
              <w:suppressLineNumbers w:val="0"/>
              <w:spacing w:beforeAutospacing="0"/>
              <w:ind w:left="0" w:leftChars="0" w:right="-27" w:rightChars="0" w:firstLine="0" w:firstLineChars="0"/>
              <w:jc w:val="left"/>
              <w:textAlignment w:val="center"/>
              <w:rPr>
                <w:rFonts w:hint="eastAsia" w:ascii="宋体" w:hAnsi="宋体" w:eastAsia="宋体" w:cs="宋体"/>
                <w:i w:val="0"/>
                <w:iCs w:val="0"/>
                <w:color w:val="auto"/>
                <w:sz w:val="16"/>
                <w:szCs w:val="16"/>
                <w:highlight w:val="none"/>
                <w:u w:val="none"/>
                <w:lang w:val="en-US" w:eastAsia="zh-CN" w:bidi="ar-SA"/>
              </w:rPr>
            </w:pPr>
            <w:r>
              <w:rPr>
                <w:rFonts w:hint="eastAsia" w:ascii="Calibri" w:hAnsi="Calibri" w:eastAsia="宋体" w:cs="Times New Roman"/>
                <w:color w:val="auto"/>
                <w:kern w:val="2"/>
                <w:sz w:val="18"/>
                <w:szCs w:val="18"/>
                <w:highlight w:val="none"/>
                <w:lang w:val="en-US" w:eastAsia="zh-CN"/>
              </w:rPr>
              <w:t>2024年开展一次现场评价工作，评价</w:t>
            </w:r>
            <w:r>
              <w:rPr>
                <w:rFonts w:hint="default" w:ascii="Calibri" w:hAnsi="Calibri" w:cs="Times New Roman"/>
                <w:color w:val="auto"/>
                <w:kern w:val="2"/>
                <w:sz w:val="18"/>
                <w:szCs w:val="18"/>
                <w:highlight w:val="none"/>
                <w:lang w:eastAsia="zh-CN"/>
              </w:rPr>
              <w:t>当年期间</w:t>
            </w:r>
            <w:r>
              <w:rPr>
                <w:rFonts w:hint="eastAsia" w:ascii="Calibri" w:hAnsi="Calibri" w:eastAsia="宋体" w:cs="Times New Roman"/>
                <w:color w:val="auto"/>
                <w:kern w:val="2"/>
                <w:sz w:val="18"/>
                <w:szCs w:val="18"/>
                <w:highlight w:val="none"/>
                <w:lang w:val="en-US" w:eastAsia="zh-CN"/>
              </w:rPr>
              <w:t>为比选人开展为期一天的线上安全生产标准化培训，评价后颁发一级安全生产标准化证书。</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cs="Times New Roman"/>
                <w:i w:val="0"/>
                <w:iCs w:val="0"/>
                <w:color w:val="auto"/>
                <w:kern w:val="0"/>
                <w:sz w:val="18"/>
                <w:szCs w:val="21"/>
                <w:highlight w:val="none"/>
                <w:u w:val="none"/>
                <w:lang w:val="en-US" w:eastAsia="zh-CN" w:bidi="ar"/>
              </w:rPr>
              <w:t>次</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2</w:t>
            </w:r>
          </w:p>
        </w:tc>
        <w:tc>
          <w:tcPr>
            <w:tcW w:w="1489" w:type="dxa"/>
            <w:vAlign w:val="center"/>
          </w:tcPr>
          <w:p>
            <w:pPr>
              <w:keepNext w:val="0"/>
              <w:keepLines w:val="0"/>
              <w:widowControl/>
              <w:suppressLineNumbers w:val="0"/>
              <w:spacing w:beforeAutospacing="0"/>
              <w:ind w:left="0" w:right="0" w:firstLine="0"/>
              <w:jc w:val="left"/>
              <w:textAlignment w:val="center"/>
              <w:rPr>
                <w:rFonts w:hint="eastAsia" w:ascii="Calibri" w:hAnsi="Calibri" w:eastAsia="宋体" w:cs="Times New Roman"/>
                <w:color w:val="auto"/>
                <w:kern w:val="2"/>
                <w:sz w:val="18"/>
                <w:szCs w:val="18"/>
                <w:highlight w:val="none"/>
                <w:lang w:val="en-US" w:eastAsia="zh-CN"/>
              </w:rPr>
            </w:pPr>
            <w:r>
              <w:rPr>
                <w:rFonts w:hint="eastAsia" w:ascii="Calibri" w:hAnsi="Calibri" w:eastAsia="宋体" w:cs="Times New Roman"/>
                <w:color w:val="auto"/>
                <w:kern w:val="2"/>
                <w:sz w:val="18"/>
                <w:szCs w:val="18"/>
                <w:highlight w:val="none"/>
                <w:lang w:val="en-US" w:eastAsia="zh-CN"/>
              </w:rPr>
              <w:t>一级安全生产标准化自评</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bidi="ar-SA"/>
              </w:rPr>
            </w:pPr>
            <w:r>
              <w:rPr>
                <w:rFonts w:hint="eastAsia" w:ascii="宋体" w:hAnsi="宋体"/>
                <w:color w:val="auto"/>
                <w:sz w:val="18"/>
                <w:szCs w:val="21"/>
                <w:highlight w:val="none"/>
              </w:rPr>
              <w:t>2025年和2026年每年进行一次年度自评审核工作，评价</w:t>
            </w:r>
            <w:r>
              <w:rPr>
                <w:rFonts w:hint="default" w:ascii="宋体" w:hAnsi="宋体"/>
                <w:color w:val="auto"/>
                <w:sz w:val="18"/>
                <w:szCs w:val="21"/>
                <w:highlight w:val="none"/>
              </w:rPr>
              <w:t>期间每年各</w:t>
            </w:r>
            <w:r>
              <w:rPr>
                <w:rFonts w:hint="eastAsia" w:ascii="宋体" w:hAnsi="宋体"/>
                <w:color w:val="auto"/>
                <w:sz w:val="18"/>
                <w:szCs w:val="21"/>
                <w:highlight w:val="none"/>
              </w:rPr>
              <w:t>为</w:t>
            </w:r>
            <w:r>
              <w:rPr>
                <w:rFonts w:hint="eastAsia" w:ascii="Calibri" w:hAnsi="Calibri" w:eastAsia="宋体" w:cs="Times New Roman"/>
                <w:color w:val="auto"/>
                <w:kern w:val="2"/>
                <w:sz w:val="18"/>
                <w:szCs w:val="18"/>
                <w:highlight w:val="none"/>
                <w:lang w:val="en-US" w:eastAsia="zh-CN"/>
              </w:rPr>
              <w:t>比选人</w:t>
            </w:r>
            <w:r>
              <w:rPr>
                <w:rFonts w:hint="eastAsia" w:ascii="宋体" w:hAnsi="宋体"/>
                <w:color w:val="auto"/>
                <w:sz w:val="18"/>
                <w:szCs w:val="21"/>
                <w:highlight w:val="none"/>
              </w:rPr>
              <w:t>开展为期一天的线上安全生产标准化培训，评价后发放年度审核合格标签。</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cs="Times New Roman"/>
                <w:i w:val="0"/>
                <w:iCs w:val="0"/>
                <w:color w:val="auto"/>
                <w:kern w:val="0"/>
                <w:sz w:val="18"/>
                <w:szCs w:val="21"/>
                <w:highlight w:val="none"/>
                <w:u w:val="none"/>
                <w:lang w:val="en-US" w:eastAsia="zh-CN" w:bidi="ar"/>
              </w:rPr>
              <w:t>次</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354" w:type="dxa"/>
            <w:gridSpan w:val="5"/>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lang w:val="en-US" w:eastAsia="zh-CN"/>
              </w:rPr>
            </w:pPr>
            <w:r>
              <w:rPr>
                <w:rFonts w:hint="eastAsia" w:ascii="宋体" w:hAnsi="宋体"/>
                <w:color w:val="auto"/>
                <w:sz w:val="18"/>
                <w:szCs w:val="21"/>
                <w:highlight w:val="none"/>
                <w:lang w:val="en-US" w:eastAsia="zh-CN"/>
              </w:rPr>
              <w:t>合计</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lang w:val="en-US" w:eastAsia="zh-CN"/>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bookmarkEnd w:id="2154"/>
    </w:tbl>
    <w:p>
      <w:pPr>
        <w:spacing w:before="0" w:after="0" w:afterAutospacing="0"/>
        <w:ind w:left="0" w:right="0" w:firstLine="0"/>
        <w:rPr>
          <w:rFonts w:ascii="宋体" w:hAnsi="宋体"/>
          <w:color w:val="auto"/>
          <w:highlight w:val="none"/>
        </w:rPr>
      </w:pPr>
    </w:p>
    <w:p>
      <w:pPr>
        <w:spacing w:before="0" w:after="0" w:afterAutospacing="0"/>
        <w:ind w:left="0" w:right="0" w:firstLine="0"/>
        <w:jc w:val="left"/>
        <w:rPr>
          <w:rFonts w:hint="eastAsia" w:ascii="宋体" w:hAnsi="宋体"/>
          <w:color w:val="auto"/>
          <w:highlight w:val="none"/>
        </w:rPr>
      </w:pPr>
    </w:p>
    <w:p>
      <w:pPr>
        <w:spacing w:before="0" w:after="0" w:afterAutospacing="0"/>
        <w:ind w:left="0" w:right="0" w:firstLine="0"/>
        <w:jc w:val="left"/>
        <w:rPr>
          <w:rFonts w:hint="eastAsia"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val="en-US" w:eastAsia="zh-CN"/>
        </w:rPr>
        <w:t>1、</w:t>
      </w:r>
      <w:r>
        <w:rPr>
          <w:rFonts w:hint="eastAsia" w:ascii="宋体" w:hAnsi="宋体"/>
          <w:color w:val="auto"/>
          <w:highlight w:val="none"/>
        </w:rPr>
        <w:t>同一项目在各分项报价中应为同一单价。比选申请人对每个项目</w:t>
      </w:r>
      <w:r>
        <w:rPr>
          <w:rFonts w:ascii="宋体" w:hAnsi="宋体"/>
          <w:color w:val="auto"/>
          <w:highlight w:val="none"/>
        </w:rPr>
        <w:t>(</w:t>
      </w:r>
      <w:r>
        <w:rPr>
          <w:rFonts w:hint="eastAsia" w:ascii="宋体" w:hAnsi="宋体"/>
          <w:color w:val="auto"/>
          <w:highlight w:val="none"/>
        </w:rPr>
        <w:t>指完全相同的同一项目</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16"/>
        </w:numPr>
        <w:spacing w:before="0" w:after="0" w:afterAutospacing="0"/>
        <w:ind w:left="0" w:right="0" w:firstLine="0"/>
        <w:jc w:val="left"/>
        <w:rPr>
          <w:rFonts w:hint="eastAsia" w:ascii="宋体" w:hAnsi="宋体"/>
          <w:color w:val="auto"/>
          <w:highlight w:val="none"/>
          <w:lang w:val="en-US" w:eastAsia="zh-CN"/>
        </w:rPr>
      </w:pPr>
      <w:r>
        <w:rPr>
          <w:rFonts w:hint="eastAsia" w:ascii="宋体" w:hAnsi="宋体"/>
          <w:color w:val="auto"/>
          <w:highlight w:val="none"/>
          <w:lang w:val="en-US" w:eastAsia="zh-CN"/>
        </w:rPr>
        <w:t>比选申请人的报价已包括了实施和完成本项目评价和培训工作所需的培训费、人员差旅费、调研费、资料费、文印费以及专家评审费等完成本合同内容所需的一切费用。</w:t>
      </w:r>
    </w:p>
    <w:p>
      <w:pPr>
        <w:numPr>
          <w:ilvl w:val="0"/>
          <w:numId w:val="0"/>
        </w:numPr>
        <w:spacing w:before="0" w:after="0" w:afterAutospacing="0" w:line="360" w:lineRule="auto"/>
        <w:ind w:right="0" w:rightChars="0"/>
        <w:jc w:val="left"/>
        <w:rPr>
          <w:rFonts w:hint="default" w:ascii="宋体" w:hAnsi="宋体"/>
          <w:color w:val="auto"/>
          <w:highlight w:val="none"/>
          <w:lang w:val="en-US" w:eastAsia="zh-CN"/>
        </w:rPr>
      </w:pPr>
    </w:p>
    <w:p>
      <w:pPr>
        <w:numPr>
          <w:ilvl w:val="0"/>
          <w:numId w:val="0"/>
        </w:numPr>
        <w:spacing w:before="0" w:after="0" w:afterAutospacing="0" w:line="360" w:lineRule="auto"/>
        <w:ind w:right="0" w:rightChars="0"/>
        <w:jc w:val="left"/>
        <w:rPr>
          <w:rFonts w:hint="default" w:ascii="宋体" w:hAnsi="宋体"/>
          <w:color w:val="auto"/>
          <w:highlight w:val="none"/>
          <w:lang w:val="en-US" w:eastAsia="zh-CN"/>
        </w:rPr>
      </w:pPr>
    </w:p>
    <w:p>
      <w:pPr>
        <w:numPr>
          <w:ilvl w:val="0"/>
          <w:numId w:val="0"/>
        </w:numPr>
        <w:spacing w:before="0" w:after="0" w:afterAutospacing="0" w:line="360" w:lineRule="auto"/>
        <w:ind w:right="0" w:rightChars="0"/>
        <w:jc w:val="left"/>
        <w:rPr>
          <w:rFonts w:hint="default" w:ascii="宋体" w:hAnsi="宋体"/>
          <w:color w:val="auto"/>
          <w:highlight w:val="none"/>
          <w:lang w:val="en-US" w:eastAsia="zh-CN"/>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sectPr>
          <w:footerReference r:id="rId14" w:type="default"/>
          <w:pgSz w:w="11905" w:h="16838"/>
          <w:pgMar w:top="1417" w:right="1417" w:bottom="1304" w:left="1417" w:header="454" w:footer="567" w:gutter="0"/>
          <w:pgNumType w:fmt="decimal"/>
          <w:cols w:space="0" w:num="1"/>
          <w:rtlGutter w:val="0"/>
          <w:docGrid w:linePitch="312" w:charSpace="0"/>
        </w:sectPr>
      </w:pPr>
      <w:r>
        <w:rPr>
          <w:rFonts w:hint="eastAsia" w:ascii="宋体" w:hAnsi="宋体"/>
          <w:color w:val="auto"/>
          <w:highlight w:val="none"/>
        </w:rPr>
        <w:t>日期：    年  月  日</w:t>
      </w:r>
    </w:p>
    <w:p>
      <w:pPr>
        <w:pStyle w:val="2"/>
        <w:pageBreakBefore/>
        <w:ind w:left="0" w:leftChars="0" w:right="-57" w:firstLine="0" w:firstLineChars="0"/>
        <w:jc w:val="center"/>
        <w:outlineLvl w:val="0"/>
        <w:rPr>
          <w:rStyle w:val="46"/>
          <w:rFonts w:ascii="宋体" w:hAnsi="宋体" w:eastAsia="宋体"/>
          <w:color w:val="auto"/>
          <w:highlight w:val="none"/>
        </w:rPr>
      </w:pPr>
      <w:bookmarkStart w:id="2155" w:name="_Toc16754"/>
      <w:bookmarkStart w:id="2156" w:name="_Toc14566"/>
      <w:bookmarkStart w:id="2157" w:name="_Toc6454"/>
      <w:bookmarkStart w:id="2158" w:name="_Toc11064"/>
      <w:bookmarkStart w:id="2159" w:name="_Toc31681"/>
      <w:bookmarkStart w:id="2160" w:name="_Toc30897"/>
      <w:bookmarkStart w:id="2161" w:name="_Toc25061"/>
      <w:bookmarkStart w:id="2162" w:name="_Toc27332"/>
      <w:bookmarkStart w:id="2163" w:name="_Toc5010"/>
      <w:bookmarkStart w:id="2164" w:name="_Toc28135"/>
      <w:bookmarkStart w:id="2165" w:name="_Toc20298"/>
      <w:bookmarkStart w:id="2166" w:name="_Toc7160"/>
      <w:bookmarkStart w:id="2167" w:name="_Toc12695"/>
      <w:bookmarkStart w:id="2168" w:name="_Toc31584"/>
      <w:bookmarkStart w:id="2169" w:name="_Toc22899"/>
      <w:bookmarkStart w:id="2170" w:name="_Toc492478835"/>
      <w:bookmarkStart w:id="2171" w:name="_Toc12275"/>
      <w:bookmarkStart w:id="2172" w:name="_Toc13941"/>
      <w:bookmarkStart w:id="2173" w:name="_Toc17539"/>
      <w:bookmarkStart w:id="2174" w:name="_Toc6337"/>
      <w:bookmarkStart w:id="2175" w:name="_Toc28535"/>
      <w:bookmarkStart w:id="2176" w:name="_Toc29462"/>
      <w:bookmarkStart w:id="2177" w:name="_Toc2151"/>
      <w:bookmarkStart w:id="2178" w:name="_Toc4225"/>
      <w:bookmarkStart w:id="2179" w:name="_Toc328"/>
      <w:bookmarkStart w:id="2180" w:name="_Toc26409"/>
      <w:bookmarkStart w:id="2181" w:name="_Toc21321"/>
      <w:bookmarkStart w:id="2182" w:name="_Toc9597"/>
      <w:r>
        <w:rPr>
          <w:rStyle w:val="46"/>
          <w:rFonts w:hint="eastAsia" w:ascii="宋体" w:hAnsi="宋体" w:eastAsia="宋体"/>
          <w:color w:val="auto"/>
          <w:highlight w:val="none"/>
        </w:rPr>
        <w:t>第五章用户需求书</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5"/>
        <w:spacing w:after="0" w:afterAutospacing="0" w:line="360" w:lineRule="auto"/>
        <w:ind w:left="0" w:right="0" w:firstLine="562" w:firstLineChars="200"/>
        <w:rPr>
          <w:rFonts w:ascii="宋体" w:hAnsi="宋体" w:eastAsia="宋体"/>
          <w:b/>
          <w:bCs w:val="0"/>
          <w:color w:val="auto"/>
          <w:sz w:val="28"/>
          <w:szCs w:val="28"/>
          <w:highlight w:val="none"/>
        </w:rPr>
      </w:pPr>
      <w:bookmarkStart w:id="2183" w:name="_Toc14945"/>
      <w:bookmarkStart w:id="2184" w:name="_Toc23983"/>
      <w:bookmarkStart w:id="2185" w:name="_Toc4284"/>
      <w:bookmarkStart w:id="2186" w:name="_Toc531"/>
      <w:bookmarkStart w:id="2187" w:name="_Toc6090"/>
      <w:bookmarkStart w:id="2188" w:name="_Toc1104"/>
      <w:bookmarkStart w:id="2189" w:name="_Toc24305"/>
      <w:bookmarkStart w:id="2190" w:name="_Toc26286"/>
      <w:bookmarkStart w:id="2191" w:name="_Toc3551"/>
      <w:bookmarkStart w:id="2192" w:name="_Toc3174"/>
      <w:bookmarkStart w:id="2193" w:name="_Toc22547"/>
      <w:bookmarkStart w:id="2194" w:name="_Toc9329"/>
      <w:bookmarkStart w:id="2195" w:name="_Toc14995"/>
      <w:bookmarkStart w:id="2196" w:name="_Toc17186"/>
      <w:bookmarkStart w:id="2197" w:name="_Toc5008"/>
      <w:bookmarkStart w:id="2198" w:name="_Toc23761"/>
      <w:bookmarkStart w:id="2199" w:name="_Toc14738"/>
      <w:bookmarkStart w:id="2200" w:name="_Toc25435"/>
      <w:bookmarkStart w:id="2201" w:name="_Toc1777"/>
      <w:bookmarkStart w:id="2202" w:name="_Toc25908"/>
      <w:bookmarkStart w:id="2203" w:name="_Toc147"/>
      <w:bookmarkStart w:id="2204" w:name="_Toc21231"/>
      <w:bookmarkStart w:id="2205" w:name="_Toc14104"/>
      <w:bookmarkStart w:id="2206" w:name="_Toc3620"/>
      <w:bookmarkStart w:id="2207" w:name="_Toc27339"/>
      <w:bookmarkStart w:id="2208" w:name="_Toc5631"/>
      <w:bookmarkStart w:id="2209" w:name="_Toc22965"/>
      <w:r>
        <w:rPr>
          <w:rFonts w:hint="eastAsia" w:ascii="宋体" w:hAnsi="宋体" w:eastAsia="宋体"/>
          <w:b/>
          <w:bCs w:val="0"/>
          <w:color w:val="auto"/>
          <w:sz w:val="28"/>
          <w:szCs w:val="28"/>
          <w:highlight w:val="none"/>
        </w:rPr>
        <w:t>1服务项目概况</w:t>
      </w:r>
      <w:bookmarkEnd w:id="2183"/>
      <w:bookmarkEnd w:id="2184"/>
    </w:p>
    <w:p>
      <w:pPr>
        <w:pStyle w:val="6"/>
        <w:spacing w:before="0" w:after="0" w:afterAutospacing="0"/>
        <w:ind w:left="422" w:right="0" w:firstLine="0"/>
        <w:rPr>
          <w:rFonts w:ascii="宋体" w:hAnsi="宋体"/>
          <w:b/>
          <w:bCs w:val="0"/>
          <w:color w:val="auto"/>
          <w:sz w:val="28"/>
          <w:szCs w:val="28"/>
          <w:highlight w:val="none"/>
        </w:rPr>
      </w:pPr>
      <w:bookmarkStart w:id="2210" w:name="_Toc7936592"/>
      <w:bookmarkStart w:id="2211" w:name="_Toc534279527"/>
      <w:bookmarkStart w:id="2212" w:name="_Toc39606592"/>
      <w:bookmarkStart w:id="2213" w:name="_Toc34758750"/>
      <w:bookmarkStart w:id="2214" w:name="_Toc5958_WPSOffice_Level2"/>
      <w:bookmarkStart w:id="2215" w:name="_Toc534279490"/>
      <w:r>
        <w:rPr>
          <w:rFonts w:hint="eastAsia" w:ascii="宋体" w:hAnsi="宋体"/>
          <w:b/>
          <w:bCs w:val="0"/>
          <w:color w:val="auto"/>
          <w:sz w:val="28"/>
          <w:szCs w:val="28"/>
          <w:highlight w:val="none"/>
        </w:rPr>
        <w:t>1.1工程概况</w:t>
      </w:r>
      <w:bookmarkEnd w:id="2210"/>
      <w:bookmarkEnd w:id="2211"/>
      <w:bookmarkEnd w:id="2212"/>
      <w:bookmarkEnd w:id="2213"/>
      <w:bookmarkEnd w:id="2214"/>
      <w:bookmarkEnd w:id="2215"/>
    </w:p>
    <w:p>
      <w:pPr>
        <w:widowControl w:val="0"/>
        <w:spacing w:before="0" w:after="0" w:afterAutospacing="0"/>
        <w:ind w:left="0" w:right="0" w:firstLine="420" w:firstLineChars="200"/>
        <w:rPr>
          <w:rFonts w:ascii="宋体"/>
          <w:color w:val="auto"/>
          <w:kern w:val="2"/>
          <w:szCs w:val="22"/>
          <w:highlight w:val="none"/>
        </w:rPr>
      </w:pPr>
      <w:bookmarkStart w:id="2216" w:name="_Toc39606593"/>
      <w:bookmarkStart w:id="2217" w:name="_Toc7936593"/>
      <w:bookmarkStart w:id="2218" w:name="_Toc34758751"/>
      <w:bookmarkStart w:id="2219" w:name="_Toc21662_WPSOffice_Level2"/>
      <w:bookmarkStart w:id="2220" w:name="_Toc534279529"/>
      <w:bookmarkStart w:id="2221" w:name="_Toc534279492"/>
      <w:bookmarkStart w:id="2222" w:name="_Toc20891_WPSOffice_Level2"/>
      <w:r>
        <w:rPr>
          <w:rFonts w:hint="eastAsia" w:ascii="宋体"/>
          <w:color w:val="auto"/>
          <w:kern w:val="2"/>
          <w:szCs w:val="22"/>
          <w:highlight w:val="none"/>
        </w:rPr>
        <w:t>南宁轨道交通1号线为石埠站-火车东站，线路长约32.1km,设车站25座</w:t>
      </w:r>
      <w:r>
        <w:rPr>
          <w:rFonts w:hint="eastAsia" w:ascii="宋体"/>
          <w:color w:val="auto"/>
          <w:kern w:val="2"/>
          <w:szCs w:val="22"/>
          <w:highlight w:val="none"/>
          <w:lang w:eastAsia="zh-CN"/>
        </w:rPr>
        <w:t>、</w:t>
      </w:r>
      <w:r>
        <w:rPr>
          <w:rFonts w:hint="eastAsia" w:ascii="宋体"/>
          <w:color w:val="auto"/>
          <w:kern w:val="2"/>
          <w:szCs w:val="22"/>
          <w:highlight w:val="none"/>
        </w:rPr>
        <w:t>车辆段和停车场各1座，设主变电站2座。</w:t>
      </w:r>
    </w:p>
    <w:p>
      <w:pPr>
        <w:widowControl w:val="0"/>
        <w:spacing w:before="0" w:after="0" w:afterAutospacing="0"/>
        <w:ind w:left="0" w:right="0" w:firstLine="420" w:firstLineChars="200"/>
        <w:rPr>
          <w:rFonts w:ascii="宋体"/>
          <w:color w:val="auto"/>
          <w:kern w:val="2"/>
          <w:szCs w:val="22"/>
          <w:highlight w:val="none"/>
        </w:rPr>
      </w:pPr>
      <w:r>
        <w:rPr>
          <w:rFonts w:hint="eastAsia" w:ascii="宋体"/>
          <w:color w:val="auto"/>
          <w:kern w:val="2"/>
          <w:szCs w:val="22"/>
          <w:highlight w:val="none"/>
        </w:rPr>
        <w:t>南宁轨道交通2号线为坛泽站-西津站，线路长约27.24km，设车站21座。</w:t>
      </w:r>
    </w:p>
    <w:p>
      <w:pPr>
        <w:widowControl w:val="0"/>
        <w:spacing w:before="0" w:after="0" w:afterAutospacing="0"/>
        <w:ind w:left="0" w:right="0" w:firstLine="420" w:firstLineChars="200"/>
        <w:rPr>
          <w:rFonts w:ascii="宋体"/>
          <w:color w:val="auto"/>
          <w:kern w:val="2"/>
          <w:szCs w:val="22"/>
          <w:highlight w:val="none"/>
        </w:rPr>
      </w:pPr>
      <w:r>
        <w:rPr>
          <w:rFonts w:hint="eastAsia" w:ascii="宋体"/>
          <w:color w:val="auto"/>
          <w:kern w:val="2"/>
          <w:szCs w:val="22"/>
          <w:highlight w:val="none"/>
        </w:rPr>
        <w:t>南宁轨道交通3号线为平良立交站-科园大道站，线路长约27.8km，设车站23座。</w:t>
      </w:r>
    </w:p>
    <w:p>
      <w:pPr>
        <w:widowControl w:val="0"/>
        <w:spacing w:before="0" w:after="0" w:afterAutospacing="0"/>
        <w:ind w:left="0" w:right="0" w:firstLine="420" w:firstLineChars="200"/>
        <w:rPr>
          <w:rFonts w:hint="eastAsia" w:ascii="Calibri" w:hAnsi="宋体"/>
          <w:color w:val="auto"/>
          <w:kern w:val="2"/>
          <w:highlight w:val="none"/>
        </w:rPr>
      </w:pPr>
      <w:r>
        <w:rPr>
          <w:rFonts w:hint="eastAsia" w:ascii="Calibri"/>
          <w:color w:val="auto"/>
          <w:kern w:val="2"/>
          <w:szCs w:val="22"/>
          <w:highlight w:val="none"/>
        </w:rPr>
        <w:t>南宁轨道交通4号线为</w:t>
      </w:r>
      <w:r>
        <w:rPr>
          <w:rFonts w:hint="eastAsia" w:ascii="Calibri"/>
          <w:color w:val="auto"/>
          <w:kern w:val="2"/>
          <w:szCs w:val="22"/>
          <w:highlight w:val="none"/>
          <w:lang w:val="en-US" w:eastAsia="zh-CN"/>
        </w:rPr>
        <w:t>那洪路站</w:t>
      </w:r>
      <w:r>
        <w:rPr>
          <w:rFonts w:hint="eastAsia" w:ascii="Calibri"/>
          <w:color w:val="auto"/>
          <w:kern w:val="2"/>
          <w:szCs w:val="22"/>
          <w:highlight w:val="none"/>
        </w:rPr>
        <w:t>-</w:t>
      </w:r>
      <w:r>
        <w:rPr>
          <w:rFonts w:hint="eastAsia" w:ascii="Calibri"/>
          <w:color w:val="auto"/>
          <w:kern w:val="2"/>
          <w:szCs w:val="22"/>
          <w:highlight w:val="none"/>
          <w:lang w:val="en-US" w:eastAsia="zh-CN"/>
        </w:rPr>
        <w:t>龙岗</w:t>
      </w:r>
      <w:r>
        <w:rPr>
          <w:rFonts w:hint="eastAsia" w:ascii="Calibri"/>
          <w:color w:val="auto"/>
          <w:kern w:val="2"/>
          <w:szCs w:val="22"/>
          <w:highlight w:val="none"/>
        </w:rPr>
        <w:t>站，线路长约24.9KM，</w:t>
      </w:r>
      <w:r>
        <w:rPr>
          <w:rFonts w:hint="eastAsia" w:ascii="Calibri" w:hAnsi="宋体"/>
          <w:color w:val="auto"/>
          <w:kern w:val="2"/>
          <w:highlight w:val="none"/>
        </w:rPr>
        <w:t>设车站1</w:t>
      </w:r>
      <w:r>
        <w:rPr>
          <w:rFonts w:hint="eastAsia" w:ascii="Calibri" w:hAnsi="宋体"/>
          <w:color w:val="auto"/>
          <w:kern w:val="2"/>
          <w:highlight w:val="none"/>
          <w:lang w:val="en-US" w:eastAsia="zh-CN"/>
        </w:rPr>
        <w:t>9</w:t>
      </w:r>
      <w:r>
        <w:rPr>
          <w:rFonts w:hint="eastAsia" w:ascii="Calibri" w:hAnsi="宋体"/>
          <w:color w:val="auto"/>
          <w:kern w:val="2"/>
          <w:highlight w:val="none"/>
        </w:rPr>
        <w:t>座。</w:t>
      </w:r>
    </w:p>
    <w:p>
      <w:pPr>
        <w:widowControl w:val="0"/>
        <w:spacing w:before="0" w:after="0" w:afterAutospacing="0"/>
        <w:ind w:left="0" w:right="0" w:firstLine="420" w:firstLineChars="200"/>
        <w:rPr>
          <w:rFonts w:hint="eastAsia" w:ascii="宋体"/>
          <w:color w:val="auto"/>
          <w:kern w:val="2"/>
          <w:szCs w:val="22"/>
          <w:highlight w:val="none"/>
          <w:lang w:val="en-US" w:eastAsia="zh-CN"/>
        </w:rPr>
      </w:pPr>
      <w:r>
        <w:rPr>
          <w:rFonts w:hint="eastAsia" w:ascii="Calibri" w:hAnsi="宋体"/>
          <w:color w:val="auto"/>
          <w:kern w:val="2"/>
          <w:highlight w:val="none"/>
          <w:lang w:val="en-US" w:eastAsia="zh-CN"/>
        </w:rPr>
        <w:t>南宁轨道交通5号线为国凯大道站-金桥客运站，线路长约20.2</w:t>
      </w:r>
      <w:r>
        <w:rPr>
          <w:rFonts w:hint="eastAsia" w:ascii="宋体"/>
          <w:color w:val="auto"/>
          <w:kern w:val="2"/>
          <w:szCs w:val="22"/>
          <w:highlight w:val="none"/>
          <w:lang w:val="en-US" w:eastAsia="zh-CN"/>
        </w:rPr>
        <w:t>1km，设车站17座。</w:t>
      </w:r>
    </w:p>
    <w:p>
      <w:pPr>
        <w:pStyle w:val="6"/>
        <w:spacing w:before="0" w:after="0" w:afterAutospacing="0"/>
        <w:ind w:left="422" w:right="0" w:firstLine="0"/>
        <w:rPr>
          <w:rFonts w:ascii="宋体" w:hAnsi="宋体"/>
          <w:color w:val="auto"/>
          <w:sz w:val="28"/>
          <w:szCs w:val="28"/>
          <w:highlight w:val="none"/>
        </w:rPr>
      </w:pPr>
      <w:r>
        <w:rPr>
          <w:rFonts w:hint="eastAsia" w:ascii="宋体" w:hAnsi="宋体"/>
          <w:color w:val="auto"/>
          <w:sz w:val="28"/>
          <w:szCs w:val="28"/>
          <w:highlight w:val="none"/>
        </w:rPr>
        <w:t>1.2服务概况</w:t>
      </w:r>
      <w:bookmarkEnd w:id="2216"/>
      <w:bookmarkEnd w:id="2217"/>
      <w:bookmarkEnd w:id="2218"/>
    </w:p>
    <w:p>
      <w:pPr>
        <w:widowControl w:val="0"/>
        <w:adjustRightInd w:val="0"/>
        <w:snapToGrid w:val="0"/>
        <w:spacing w:before="0" w:after="0" w:afterAutospacing="0"/>
        <w:ind w:left="0" w:right="0" w:firstLine="420" w:firstLineChars="200"/>
        <w:rPr>
          <w:rFonts w:hint="eastAsia" w:ascii="宋体" w:hAnsi="宋体"/>
          <w:color w:val="auto"/>
          <w:kern w:val="2"/>
          <w:highlight w:val="none"/>
        </w:rPr>
      </w:pPr>
      <w:r>
        <w:rPr>
          <w:rFonts w:hint="eastAsia" w:ascii="宋体" w:hAnsi="宋体"/>
          <w:color w:val="auto"/>
          <w:kern w:val="2"/>
          <w:highlight w:val="none"/>
        </w:rPr>
        <w:t>对南宁轨道交通运营公司现有运营线路、车辆段、主所，设备设施等在一级安全生产标准化要求下的安全管理现状（包括目标与考核、管理机构和人员、安全责任体系、资质、法律法规与安全生产管理制度、安全投入、</w:t>
      </w:r>
      <w:r>
        <w:rPr>
          <w:rFonts w:hint="eastAsia" w:ascii="宋体" w:hAnsi="宋体"/>
          <w:color w:val="auto"/>
          <w:kern w:val="2"/>
          <w:highlight w:val="none"/>
          <w:lang w:val="en-US" w:eastAsia="zh-CN"/>
        </w:rPr>
        <w:t>设备设施、</w:t>
      </w:r>
      <w:r>
        <w:rPr>
          <w:rFonts w:hint="eastAsia" w:ascii="宋体" w:hAnsi="宋体"/>
          <w:color w:val="auto"/>
          <w:kern w:val="2"/>
          <w:highlight w:val="none"/>
        </w:rPr>
        <w:t>作业安全、教育培训、运营突发事件和重大故障管理、风险管理、隐患排查和治理</w:t>
      </w:r>
      <w:r>
        <w:rPr>
          <w:rFonts w:hint="eastAsia" w:ascii="宋体" w:hAnsi="宋体"/>
          <w:color w:val="auto"/>
          <w:kern w:val="2"/>
          <w:highlight w:val="none"/>
          <w:lang w:eastAsia="zh-CN"/>
        </w:rPr>
        <w:t>。</w:t>
      </w:r>
      <w:r>
        <w:rPr>
          <w:rFonts w:hint="eastAsia" w:ascii="宋体" w:hAnsi="宋体"/>
          <w:color w:val="auto"/>
          <w:kern w:val="2"/>
          <w:highlight w:val="none"/>
          <w:lang w:val="en-US" w:eastAsia="zh-CN"/>
        </w:rPr>
        <w:t>职业健康、安全文化、应急管理、事故报告调查处理、绩效评定与持续改进</w:t>
      </w:r>
      <w:r>
        <w:rPr>
          <w:rFonts w:hint="eastAsia" w:ascii="宋体" w:hAnsi="宋体"/>
          <w:color w:val="auto"/>
          <w:kern w:val="2"/>
          <w:highlight w:val="none"/>
        </w:rPr>
        <w:t>等）、安全管理水平和</w:t>
      </w:r>
      <w:r>
        <w:rPr>
          <w:rFonts w:hint="eastAsia" w:ascii="宋体" w:hAnsi="宋体"/>
          <w:color w:val="auto"/>
          <w:kern w:val="2"/>
          <w:highlight w:val="none"/>
          <w:lang w:val="en-US" w:eastAsia="zh-CN"/>
        </w:rPr>
        <w:t>风险管控</w:t>
      </w:r>
      <w:r>
        <w:rPr>
          <w:rFonts w:hint="eastAsia" w:ascii="宋体" w:hAnsi="宋体"/>
          <w:color w:val="auto"/>
          <w:kern w:val="2"/>
          <w:highlight w:val="none"/>
        </w:rPr>
        <w:t>能力，是否符合一级安全生产标准化要求和是否能持续达标。</w:t>
      </w:r>
    </w:p>
    <w:p>
      <w:pPr>
        <w:widowControl w:val="0"/>
        <w:adjustRightInd w:val="0"/>
        <w:snapToGrid w:val="0"/>
        <w:spacing w:before="0" w:after="0" w:afterAutospacing="0"/>
        <w:ind w:left="0" w:right="0" w:firstLine="420" w:firstLineChars="200"/>
        <w:rPr>
          <w:rFonts w:ascii="宋体" w:hAnsi="宋体"/>
          <w:color w:val="auto"/>
          <w:highlight w:val="none"/>
        </w:rPr>
      </w:pPr>
      <w:r>
        <w:rPr>
          <w:rFonts w:hint="eastAsia" w:ascii="宋体" w:hAnsi="宋体"/>
          <w:color w:val="auto"/>
          <w:kern w:val="2"/>
          <w:highlight w:val="none"/>
        </w:rPr>
        <w:t>该项目是对现有运营线路、车辆段、主所</w:t>
      </w:r>
      <w:r>
        <w:rPr>
          <w:rFonts w:hint="eastAsia" w:ascii="宋体" w:hAnsi="宋体"/>
          <w:color w:val="auto"/>
          <w:kern w:val="2"/>
          <w:highlight w:val="none"/>
          <w:lang w:eastAsia="zh-CN"/>
        </w:rPr>
        <w:t>、</w:t>
      </w:r>
      <w:r>
        <w:rPr>
          <w:rFonts w:hint="eastAsia" w:ascii="宋体" w:hAnsi="宋体"/>
          <w:color w:val="auto"/>
          <w:kern w:val="2"/>
          <w:highlight w:val="none"/>
        </w:rPr>
        <w:t>设备设施等安全管理现状、安全管理水平和安全防范能力进行评价，提供</w:t>
      </w:r>
      <w:r>
        <w:rPr>
          <w:rFonts w:hint="eastAsia" w:ascii="宋体" w:hAnsi="宋体"/>
          <w:color w:val="auto"/>
          <w:kern w:val="2"/>
          <w:highlight w:val="none"/>
          <w:lang w:val="en-US" w:eastAsia="zh-CN"/>
        </w:rPr>
        <w:t>为期一天的</w:t>
      </w:r>
      <w:r>
        <w:rPr>
          <w:rFonts w:hint="eastAsia" w:ascii="宋体" w:hAnsi="宋体"/>
          <w:color w:val="auto"/>
          <w:highlight w:val="none"/>
          <w:lang w:val="en-US" w:eastAsia="zh-CN"/>
        </w:rPr>
        <w:t>安全生产标准化培训（线上）。项目含2024年</w:t>
      </w:r>
      <w:r>
        <w:rPr>
          <w:rFonts w:hint="eastAsia" w:ascii="宋体" w:hAnsi="宋体"/>
          <w:color w:val="auto"/>
          <w:kern w:val="2"/>
          <w:highlight w:val="none"/>
        </w:rPr>
        <w:t>安全生产标准化现场一级</w:t>
      </w:r>
      <w:r>
        <w:rPr>
          <w:rFonts w:hint="eastAsia" w:ascii="宋体" w:hAnsi="宋体"/>
          <w:color w:val="auto"/>
          <w:kern w:val="2"/>
          <w:highlight w:val="none"/>
          <w:lang w:eastAsia="zh-CN"/>
        </w:rPr>
        <w:t>达标</w:t>
      </w:r>
      <w:r>
        <w:rPr>
          <w:rFonts w:hint="eastAsia" w:ascii="宋体" w:hAnsi="宋体"/>
          <w:color w:val="auto"/>
          <w:kern w:val="2"/>
          <w:highlight w:val="none"/>
        </w:rPr>
        <w:t>评价（换证）及</w:t>
      </w:r>
      <w:r>
        <w:rPr>
          <w:rFonts w:hint="eastAsia" w:ascii="宋体" w:hAnsi="宋体"/>
          <w:color w:val="auto"/>
          <w:kern w:val="2"/>
          <w:highlight w:val="none"/>
          <w:lang w:val="en-US" w:eastAsia="zh-CN"/>
        </w:rPr>
        <w:t>后续两年</w:t>
      </w:r>
      <w:r>
        <w:rPr>
          <w:rFonts w:hint="eastAsia" w:ascii="宋体" w:hAnsi="宋体"/>
          <w:color w:val="auto"/>
          <w:kern w:val="2"/>
          <w:highlight w:val="none"/>
        </w:rPr>
        <w:t>年度自评审核工作，颁发证书和年度稽查合格证明</w:t>
      </w:r>
      <w:r>
        <w:rPr>
          <w:rFonts w:hint="default" w:ascii="宋体" w:hAnsi="宋体"/>
          <w:color w:val="auto"/>
          <w:kern w:val="2"/>
          <w:highlight w:val="none"/>
        </w:rPr>
        <w:t>、每年度一次的</w:t>
      </w:r>
      <w:r>
        <w:rPr>
          <w:rFonts w:hint="eastAsia" w:ascii="宋体" w:hAnsi="宋体"/>
          <w:color w:val="auto"/>
          <w:highlight w:val="none"/>
          <w:lang w:val="en-US" w:eastAsia="zh-CN"/>
        </w:rPr>
        <w:t>安全生产标准化培训（线上）</w:t>
      </w:r>
      <w:r>
        <w:rPr>
          <w:rFonts w:hint="eastAsia" w:ascii="宋体" w:hAnsi="宋体"/>
          <w:color w:val="auto"/>
          <w:kern w:val="2"/>
          <w:highlight w:val="none"/>
        </w:rPr>
        <w:t>等。</w:t>
      </w:r>
    </w:p>
    <w:p>
      <w:pPr>
        <w:pStyle w:val="6"/>
        <w:spacing w:before="0" w:after="0" w:afterAutospacing="0"/>
        <w:ind w:left="422" w:right="0" w:firstLine="0"/>
        <w:rPr>
          <w:rFonts w:ascii="宋体" w:hAnsi="宋体"/>
          <w:color w:val="auto"/>
          <w:sz w:val="28"/>
          <w:szCs w:val="28"/>
          <w:highlight w:val="none"/>
        </w:rPr>
      </w:pPr>
      <w:bookmarkStart w:id="2223" w:name="_Toc34758752"/>
      <w:bookmarkStart w:id="2224" w:name="_Toc7936594"/>
      <w:bookmarkStart w:id="2225" w:name="_Toc39606594"/>
      <w:r>
        <w:rPr>
          <w:rFonts w:hint="eastAsia" w:ascii="宋体" w:hAnsi="宋体"/>
          <w:color w:val="auto"/>
          <w:sz w:val="28"/>
          <w:szCs w:val="28"/>
          <w:highlight w:val="none"/>
        </w:rPr>
        <w:t>1.3甲乙双方</w:t>
      </w:r>
      <w:bookmarkEnd w:id="2219"/>
      <w:bookmarkEnd w:id="2220"/>
      <w:bookmarkEnd w:id="2221"/>
      <w:bookmarkEnd w:id="2222"/>
      <w:bookmarkEnd w:id="2223"/>
      <w:bookmarkEnd w:id="2224"/>
      <w:bookmarkEnd w:id="2225"/>
    </w:p>
    <w:p>
      <w:pPr>
        <w:widowControl w:val="0"/>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甲方：南宁轨道交通运营有限公司。</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highlight w:val="none"/>
        </w:rPr>
        <w:t>乙方：本项目中</w:t>
      </w:r>
      <w:r>
        <w:rPr>
          <w:rFonts w:hint="eastAsia" w:ascii="宋体" w:hAnsi="宋体"/>
          <w:color w:val="auto"/>
          <w:highlight w:val="none"/>
          <w:lang w:val="en-US" w:eastAsia="zh-CN"/>
        </w:rPr>
        <w:t>选</w:t>
      </w:r>
      <w:r>
        <w:rPr>
          <w:rFonts w:hint="eastAsia" w:ascii="宋体" w:hAnsi="宋体"/>
          <w:color w:val="auto"/>
          <w:kern w:val="2"/>
          <w:highlight w:val="none"/>
        </w:rPr>
        <w:t>公司。</w:t>
      </w:r>
    </w:p>
    <w:p>
      <w:pPr>
        <w:pStyle w:val="5"/>
        <w:spacing w:after="0" w:afterAutospacing="0" w:line="360" w:lineRule="auto"/>
        <w:ind w:left="0" w:right="0" w:firstLine="562" w:firstLineChars="200"/>
        <w:rPr>
          <w:rFonts w:ascii="宋体" w:hAnsi="宋体" w:eastAsia="宋体"/>
          <w:color w:val="auto"/>
          <w:sz w:val="28"/>
          <w:szCs w:val="28"/>
          <w:highlight w:val="none"/>
        </w:rPr>
      </w:pPr>
      <w:bookmarkStart w:id="2226" w:name="_Toc534279530"/>
      <w:bookmarkStart w:id="2227" w:name="_Toc7936595"/>
      <w:bookmarkStart w:id="2228" w:name="_Toc15111"/>
      <w:bookmarkStart w:id="2229" w:name="_Toc34758753"/>
      <w:bookmarkStart w:id="2230" w:name="_Toc5958_WPSOffice_Level1"/>
      <w:bookmarkStart w:id="2231" w:name="_Toc20468"/>
      <w:bookmarkStart w:id="2232" w:name="_Toc534279493"/>
      <w:bookmarkStart w:id="2233" w:name="_Toc39606595"/>
      <w:r>
        <w:rPr>
          <w:rFonts w:hint="eastAsia" w:ascii="宋体" w:hAnsi="宋体" w:eastAsia="宋体"/>
          <w:color w:val="auto"/>
          <w:sz w:val="28"/>
          <w:szCs w:val="28"/>
          <w:highlight w:val="none"/>
        </w:rPr>
        <w:t>2服务项目范围</w:t>
      </w:r>
      <w:bookmarkEnd w:id="2226"/>
      <w:bookmarkEnd w:id="2227"/>
      <w:bookmarkEnd w:id="2228"/>
      <w:bookmarkEnd w:id="2229"/>
      <w:bookmarkEnd w:id="2230"/>
      <w:bookmarkEnd w:id="2231"/>
      <w:bookmarkEnd w:id="2232"/>
      <w:bookmarkEnd w:id="2233"/>
    </w:p>
    <w:p>
      <w:pPr>
        <w:pStyle w:val="6"/>
        <w:spacing w:before="0" w:after="0" w:afterAutospacing="0"/>
        <w:ind w:left="422" w:right="0" w:firstLine="0"/>
        <w:rPr>
          <w:rFonts w:ascii="宋体" w:hAnsi="宋体"/>
          <w:color w:val="auto"/>
          <w:sz w:val="28"/>
          <w:szCs w:val="28"/>
          <w:highlight w:val="none"/>
        </w:rPr>
      </w:pPr>
      <w:bookmarkStart w:id="2234" w:name="_Toc34758754"/>
      <w:bookmarkStart w:id="2235" w:name="_Toc39606596"/>
      <w:r>
        <w:rPr>
          <w:rFonts w:hint="eastAsia" w:ascii="宋体" w:hAnsi="宋体"/>
          <w:color w:val="auto"/>
          <w:sz w:val="28"/>
          <w:szCs w:val="28"/>
          <w:highlight w:val="none"/>
        </w:rPr>
        <w:t>2.1服务项目名称</w:t>
      </w:r>
      <w:bookmarkEnd w:id="2234"/>
      <w:bookmarkEnd w:id="2235"/>
    </w:p>
    <w:p>
      <w:pPr>
        <w:pStyle w:val="6"/>
        <w:spacing w:before="0" w:after="0" w:afterAutospacing="0"/>
        <w:ind w:left="422" w:right="0" w:firstLine="0"/>
        <w:rPr>
          <w:rFonts w:hint="default" w:ascii="宋体" w:hAnsi="宋体" w:eastAsia="宋体" w:cs="Times New Roman"/>
          <w:b w:val="0"/>
          <w:color w:val="auto"/>
          <w:sz w:val="21"/>
          <w:szCs w:val="21"/>
          <w:highlight w:val="none"/>
          <w:lang w:val="en-US" w:eastAsia="zh-CN" w:bidi="ar-SA"/>
        </w:rPr>
      </w:pPr>
      <w:r>
        <w:rPr>
          <w:rFonts w:hint="eastAsia" w:ascii="宋体" w:hAnsi="宋体" w:eastAsia="宋体" w:cs="Times New Roman"/>
          <w:b w:val="0"/>
          <w:color w:val="auto"/>
          <w:sz w:val="21"/>
          <w:szCs w:val="21"/>
          <w:highlight w:val="none"/>
          <w:lang w:val="en-US" w:eastAsia="zh-CN" w:bidi="ar-SA"/>
        </w:rPr>
        <w:t>运营公司安全生产标准化建设一级达标评价项目（2024年-</w:t>
      </w:r>
      <w:r>
        <w:rPr>
          <w:rFonts w:hint="eastAsia" w:ascii="宋体" w:hAnsi="宋体" w:cs="Times New Roman"/>
          <w:b w:val="0"/>
          <w:color w:val="auto"/>
          <w:sz w:val="21"/>
          <w:szCs w:val="21"/>
          <w:highlight w:val="none"/>
          <w:lang w:val="en-US" w:eastAsia="zh-CN" w:bidi="ar-SA"/>
        </w:rPr>
        <w:t>2026</w:t>
      </w:r>
      <w:r>
        <w:rPr>
          <w:rFonts w:hint="eastAsia" w:ascii="宋体" w:hAnsi="宋体" w:eastAsia="宋体" w:cs="Times New Roman"/>
          <w:b w:val="0"/>
          <w:color w:val="auto"/>
          <w:sz w:val="21"/>
          <w:szCs w:val="21"/>
          <w:highlight w:val="none"/>
          <w:lang w:val="en-US" w:eastAsia="zh-CN" w:bidi="ar-SA"/>
        </w:rPr>
        <w:t>年）。</w:t>
      </w:r>
    </w:p>
    <w:p>
      <w:pPr>
        <w:pStyle w:val="6"/>
        <w:spacing w:before="0" w:after="0" w:afterAutospacing="0"/>
        <w:ind w:left="422" w:right="0" w:firstLine="0"/>
        <w:rPr>
          <w:rFonts w:hint="eastAsia" w:ascii="宋体" w:hAnsi="宋体"/>
          <w:color w:val="auto"/>
          <w:sz w:val="28"/>
          <w:szCs w:val="28"/>
          <w:highlight w:val="none"/>
        </w:rPr>
      </w:pPr>
      <w:bookmarkStart w:id="2236" w:name="_Toc39606597"/>
      <w:bookmarkStart w:id="2237" w:name="_Toc34758755"/>
      <w:r>
        <w:rPr>
          <w:rFonts w:hint="eastAsia" w:ascii="宋体" w:hAnsi="宋体"/>
          <w:color w:val="auto"/>
          <w:sz w:val="28"/>
          <w:szCs w:val="28"/>
          <w:highlight w:val="none"/>
        </w:rPr>
        <w:t>2.2服务项目范围</w:t>
      </w:r>
      <w:bookmarkEnd w:id="2236"/>
      <w:bookmarkEnd w:id="2237"/>
      <w:bookmarkStart w:id="2238" w:name="_Toc34758756"/>
      <w:bookmarkStart w:id="2239" w:name="_Toc39606598"/>
    </w:p>
    <w:p>
      <w:pPr>
        <w:pStyle w:val="6"/>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s="Times New Roman"/>
          <w:b w:val="0"/>
          <w:color w:val="auto"/>
          <w:sz w:val="21"/>
          <w:szCs w:val="21"/>
          <w:highlight w:val="none"/>
          <w:lang w:val="en-US" w:eastAsia="zh-CN" w:bidi="ar-SA"/>
        </w:rPr>
      </w:pPr>
      <w:r>
        <w:rPr>
          <w:rFonts w:hint="eastAsia" w:ascii="宋体" w:hAnsi="宋体" w:eastAsia="宋体" w:cs="Times New Roman"/>
          <w:b w:val="0"/>
          <w:color w:val="auto"/>
          <w:sz w:val="21"/>
          <w:szCs w:val="21"/>
          <w:highlight w:val="none"/>
          <w:lang w:val="en-US" w:eastAsia="zh-CN" w:bidi="ar-SA"/>
        </w:rPr>
        <w:t>对运营公司管辖区域进行一级安全生产标准化，对南宁轨道交通运营安全标准化开展换证现场评价工作和年度审核工作。</w:t>
      </w:r>
    </w:p>
    <w:p>
      <w:pPr>
        <w:pStyle w:val="6"/>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s="Times New Roman"/>
          <w:b w:val="0"/>
          <w:color w:val="auto"/>
          <w:sz w:val="21"/>
          <w:szCs w:val="21"/>
          <w:highlight w:val="none"/>
          <w:lang w:val="en-US" w:eastAsia="zh-CN" w:bidi="ar-SA"/>
        </w:rPr>
      </w:pPr>
      <w:r>
        <w:rPr>
          <w:rFonts w:hint="eastAsia" w:ascii="宋体" w:hAnsi="宋体" w:cs="Times New Roman"/>
          <w:b w:val="0"/>
          <w:color w:val="auto"/>
          <w:sz w:val="21"/>
          <w:szCs w:val="21"/>
          <w:highlight w:val="none"/>
          <w:lang w:val="en-US" w:eastAsia="zh-CN" w:bidi="ar-SA"/>
        </w:rPr>
        <w:t>（1）</w:t>
      </w:r>
      <w:r>
        <w:rPr>
          <w:rFonts w:hint="eastAsia" w:ascii="宋体" w:hAnsi="宋体" w:eastAsia="宋体" w:cs="Times New Roman"/>
          <w:b w:val="0"/>
          <w:color w:val="auto"/>
          <w:sz w:val="21"/>
          <w:szCs w:val="21"/>
          <w:highlight w:val="none"/>
          <w:lang w:val="en-US" w:eastAsia="zh-CN" w:bidi="ar-SA"/>
        </w:rPr>
        <w:t>于2024</w:t>
      </w:r>
      <w:r>
        <w:rPr>
          <w:rFonts w:hint="eastAsia" w:ascii="宋体" w:hAnsi="宋体" w:cs="Times New Roman"/>
          <w:b w:val="0"/>
          <w:color w:val="auto"/>
          <w:sz w:val="21"/>
          <w:szCs w:val="21"/>
          <w:highlight w:val="none"/>
          <w:lang w:val="en-US" w:eastAsia="zh-CN" w:bidi="ar-SA"/>
        </w:rPr>
        <w:t>年</w:t>
      </w:r>
      <w:r>
        <w:rPr>
          <w:rFonts w:hint="eastAsia" w:ascii="宋体" w:hAnsi="宋体" w:eastAsia="宋体" w:cs="Times New Roman"/>
          <w:b w:val="0"/>
          <w:color w:val="auto"/>
          <w:sz w:val="21"/>
          <w:szCs w:val="21"/>
          <w:highlight w:val="none"/>
          <w:lang w:val="en-US" w:eastAsia="zh-CN" w:bidi="ar-SA"/>
        </w:rPr>
        <w:t>开展一次现场评价工作，颁发一级安全生产标准化证书。于后续两年每年进行一次年度自评审核工作，</w:t>
      </w:r>
      <w:r>
        <w:rPr>
          <w:rFonts w:hint="default" w:ascii="宋体" w:hAnsi="宋体" w:cs="Times New Roman"/>
          <w:b w:val="0"/>
          <w:color w:val="auto"/>
          <w:sz w:val="21"/>
          <w:szCs w:val="21"/>
          <w:highlight w:val="none"/>
          <w:lang w:eastAsia="zh-CN" w:bidi="ar-SA"/>
        </w:rPr>
        <w:t>发放</w:t>
      </w:r>
      <w:r>
        <w:rPr>
          <w:rFonts w:hint="eastAsia" w:ascii="宋体" w:hAnsi="宋体" w:eastAsia="宋体" w:cs="Times New Roman"/>
          <w:b w:val="0"/>
          <w:color w:val="auto"/>
          <w:sz w:val="21"/>
          <w:szCs w:val="21"/>
          <w:highlight w:val="none"/>
          <w:lang w:val="en-US" w:eastAsia="zh-CN" w:bidi="ar-SA"/>
        </w:rPr>
        <w:t>年度审核合格标签</w:t>
      </w:r>
      <w:r>
        <w:rPr>
          <w:rFonts w:hint="eastAsia" w:ascii="宋体" w:hAnsi="宋体" w:cs="Times New Roman"/>
          <w:b w:val="0"/>
          <w:color w:val="auto"/>
          <w:sz w:val="21"/>
          <w:szCs w:val="21"/>
          <w:highlight w:val="none"/>
          <w:lang w:val="en-US" w:eastAsia="zh-CN" w:bidi="ar-SA"/>
        </w:rPr>
        <w:t>；三年为一个周期</w:t>
      </w:r>
      <w:r>
        <w:rPr>
          <w:rFonts w:hint="eastAsia" w:ascii="宋体" w:hAnsi="宋体" w:eastAsia="宋体" w:cs="Times New Roman"/>
          <w:b w:val="0"/>
          <w:color w:val="auto"/>
          <w:sz w:val="21"/>
          <w:szCs w:val="21"/>
          <w:highlight w:val="none"/>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s="Times New Roman"/>
          <w:b w:val="0"/>
          <w:color w:val="auto"/>
          <w:sz w:val="21"/>
          <w:szCs w:val="21"/>
          <w:highlight w:val="none"/>
          <w:lang w:val="en-US" w:eastAsia="zh-CN" w:bidi="ar-SA"/>
        </w:rPr>
      </w:pPr>
      <w:r>
        <w:rPr>
          <w:rFonts w:hint="eastAsia" w:ascii="宋体" w:hAnsi="宋体" w:cs="Times New Roman"/>
          <w:b w:val="0"/>
          <w:color w:val="auto"/>
          <w:sz w:val="21"/>
          <w:szCs w:val="21"/>
          <w:highlight w:val="none"/>
          <w:lang w:val="en-US" w:eastAsia="zh-CN" w:bidi="ar-SA"/>
        </w:rPr>
        <w:t>（2）每年</w:t>
      </w:r>
      <w:r>
        <w:rPr>
          <w:rFonts w:hint="eastAsia" w:ascii="宋体" w:hAnsi="宋体" w:eastAsia="宋体" w:cs="Times New Roman"/>
          <w:b w:val="0"/>
          <w:color w:val="auto"/>
          <w:sz w:val="21"/>
          <w:szCs w:val="21"/>
          <w:highlight w:val="none"/>
          <w:lang w:val="en-US" w:eastAsia="zh-CN" w:bidi="ar-SA"/>
        </w:rPr>
        <w:t>换证评价</w:t>
      </w:r>
      <w:r>
        <w:rPr>
          <w:rFonts w:hint="eastAsia" w:ascii="宋体" w:hAnsi="宋体" w:cs="Times New Roman"/>
          <w:b w:val="0"/>
          <w:color w:val="auto"/>
          <w:sz w:val="21"/>
          <w:szCs w:val="21"/>
          <w:highlight w:val="none"/>
          <w:lang w:val="en-US" w:eastAsia="zh-CN" w:bidi="ar-SA"/>
        </w:rPr>
        <w:t>/</w:t>
      </w:r>
      <w:r>
        <w:rPr>
          <w:rFonts w:hint="eastAsia" w:ascii="宋体" w:hAnsi="宋体" w:eastAsia="宋体" w:cs="Times New Roman"/>
          <w:b w:val="0"/>
          <w:color w:val="auto"/>
          <w:sz w:val="21"/>
          <w:szCs w:val="21"/>
          <w:highlight w:val="none"/>
          <w:lang w:val="en-US" w:eastAsia="zh-CN" w:bidi="ar-SA"/>
        </w:rPr>
        <w:t>年度自评审核</w:t>
      </w:r>
      <w:r>
        <w:rPr>
          <w:rFonts w:hint="default" w:ascii="宋体" w:hAnsi="宋体" w:cs="Times New Roman"/>
          <w:b w:val="0"/>
          <w:color w:val="auto"/>
          <w:sz w:val="21"/>
          <w:szCs w:val="21"/>
          <w:highlight w:val="none"/>
          <w:lang w:eastAsia="zh-CN" w:bidi="ar-SA"/>
        </w:rPr>
        <w:t>当年期间</w:t>
      </w:r>
      <w:r>
        <w:rPr>
          <w:rFonts w:hint="eastAsia" w:ascii="宋体" w:hAnsi="宋体" w:cs="Times New Roman"/>
          <w:b w:val="0"/>
          <w:color w:val="auto"/>
          <w:sz w:val="21"/>
          <w:szCs w:val="21"/>
          <w:highlight w:val="none"/>
          <w:lang w:val="en-US" w:eastAsia="zh-CN" w:bidi="ar-SA"/>
        </w:rPr>
        <w:t>，</w:t>
      </w:r>
      <w:r>
        <w:rPr>
          <w:rFonts w:hint="eastAsia" w:ascii="宋体" w:hAnsi="宋体" w:eastAsia="宋体" w:cs="Times New Roman"/>
          <w:b w:val="0"/>
          <w:color w:val="auto"/>
          <w:sz w:val="21"/>
          <w:szCs w:val="21"/>
          <w:highlight w:val="none"/>
          <w:lang w:val="en-US" w:eastAsia="zh-CN" w:bidi="ar-SA"/>
        </w:rPr>
        <w:t>乙方根据甲方要求</w:t>
      </w:r>
      <w:r>
        <w:rPr>
          <w:rFonts w:hint="eastAsia" w:ascii="宋体" w:hAnsi="宋体" w:cs="Times New Roman"/>
          <w:b w:val="0"/>
          <w:color w:val="auto"/>
          <w:sz w:val="21"/>
          <w:szCs w:val="21"/>
          <w:highlight w:val="none"/>
          <w:lang w:val="en-US" w:eastAsia="zh-CN" w:bidi="ar-SA"/>
        </w:rPr>
        <w:t>，为</w:t>
      </w:r>
      <w:r>
        <w:rPr>
          <w:rFonts w:hint="eastAsia" w:ascii="宋体" w:hAnsi="宋体" w:eastAsia="宋体" w:cs="Times New Roman"/>
          <w:b w:val="0"/>
          <w:color w:val="auto"/>
          <w:sz w:val="21"/>
          <w:szCs w:val="21"/>
          <w:highlight w:val="none"/>
          <w:lang w:val="en-US" w:eastAsia="zh-CN" w:bidi="ar-SA"/>
        </w:rPr>
        <w:t>甲方开展为期一天的</w:t>
      </w:r>
      <w:r>
        <w:rPr>
          <w:rFonts w:hint="eastAsia" w:ascii="宋体" w:hAnsi="宋体" w:cs="Times New Roman"/>
          <w:b w:val="0"/>
          <w:color w:val="auto"/>
          <w:sz w:val="21"/>
          <w:szCs w:val="21"/>
          <w:highlight w:val="none"/>
          <w:lang w:val="en-US" w:eastAsia="zh-CN" w:bidi="ar-SA"/>
        </w:rPr>
        <w:t>线上</w:t>
      </w:r>
      <w:r>
        <w:rPr>
          <w:rFonts w:hint="eastAsia" w:ascii="宋体" w:hAnsi="宋体" w:eastAsia="宋体" w:cs="Times New Roman"/>
          <w:b w:val="0"/>
          <w:color w:val="auto"/>
          <w:sz w:val="21"/>
          <w:szCs w:val="21"/>
          <w:highlight w:val="none"/>
          <w:lang w:val="en-US" w:eastAsia="zh-CN" w:bidi="ar-SA"/>
        </w:rPr>
        <w:t>安全生产标准化培训。</w:t>
      </w:r>
    </w:p>
    <w:p>
      <w:pPr>
        <w:pStyle w:val="6"/>
        <w:spacing w:before="0" w:after="0" w:afterAutospacing="0"/>
        <w:ind w:left="422" w:right="0" w:firstLine="0"/>
        <w:rPr>
          <w:rFonts w:ascii="宋体" w:hAnsi="宋体"/>
          <w:color w:val="auto"/>
          <w:sz w:val="21"/>
          <w:szCs w:val="21"/>
          <w:highlight w:val="none"/>
        </w:rPr>
      </w:pPr>
      <w:r>
        <w:rPr>
          <w:rFonts w:hint="eastAsia" w:ascii="宋体" w:hAnsi="宋体"/>
          <w:color w:val="auto"/>
          <w:sz w:val="21"/>
          <w:szCs w:val="21"/>
          <w:highlight w:val="none"/>
        </w:rPr>
        <w:t>2.3</w:t>
      </w:r>
      <w:r>
        <w:rPr>
          <w:rFonts w:hint="eastAsia" w:ascii="宋体" w:hAnsi="宋体"/>
          <w:color w:val="auto"/>
          <w:sz w:val="21"/>
          <w:szCs w:val="21"/>
          <w:highlight w:val="none"/>
          <w:lang w:val="en-US" w:eastAsia="zh-CN"/>
        </w:rPr>
        <w:t>评价</w:t>
      </w:r>
      <w:r>
        <w:rPr>
          <w:rFonts w:hint="eastAsia" w:ascii="宋体" w:hAnsi="宋体"/>
          <w:color w:val="auto"/>
          <w:sz w:val="21"/>
          <w:szCs w:val="21"/>
          <w:highlight w:val="none"/>
        </w:rPr>
        <w:t>区域</w:t>
      </w:r>
      <w:bookmarkEnd w:id="2238"/>
      <w:bookmarkEnd w:id="2239"/>
    </w:p>
    <w:p>
      <w:pPr>
        <w:widowControl w:val="0"/>
        <w:spacing w:before="0" w:after="0" w:afterAutospacing="0"/>
        <w:ind w:left="0" w:right="0" w:firstLine="420" w:firstLineChars="200"/>
        <w:rPr>
          <w:rFonts w:hint="eastAsia"/>
          <w:color w:val="auto"/>
          <w:highlight w:val="none"/>
          <w:lang w:val="en-US" w:eastAsia="zh-CN"/>
        </w:rPr>
      </w:pPr>
      <w:r>
        <w:rPr>
          <w:rFonts w:hint="eastAsia" w:ascii="宋体" w:hAnsi="宋体"/>
          <w:color w:val="auto"/>
          <w:highlight w:val="none"/>
        </w:rPr>
        <w:t>南宁轨道交通运营</w:t>
      </w:r>
      <w:r>
        <w:rPr>
          <w:rFonts w:hint="eastAsia" w:ascii="宋体" w:hAnsi="宋体"/>
          <w:color w:val="auto"/>
          <w:highlight w:val="none"/>
          <w:lang w:eastAsia="zh-CN"/>
        </w:rPr>
        <w:t>公司</w:t>
      </w:r>
      <w:r>
        <w:rPr>
          <w:rFonts w:hint="eastAsia" w:ascii="宋体" w:hAnsi="宋体"/>
          <w:color w:val="auto"/>
          <w:highlight w:val="none"/>
        </w:rPr>
        <w:t>的运营线路车站、</w:t>
      </w:r>
      <w:r>
        <w:rPr>
          <w:rFonts w:hint="eastAsia" w:ascii="宋体" w:hAnsi="宋体"/>
          <w:color w:val="auto"/>
          <w:highlight w:val="none"/>
          <w:lang w:eastAsia="zh-CN"/>
        </w:rPr>
        <w:t>控制中心、</w:t>
      </w:r>
      <w:r>
        <w:rPr>
          <w:rFonts w:hint="eastAsia" w:ascii="宋体" w:hAnsi="宋体"/>
          <w:color w:val="auto"/>
          <w:highlight w:val="none"/>
        </w:rPr>
        <w:t>车辆段</w:t>
      </w:r>
      <w:r>
        <w:rPr>
          <w:rFonts w:hint="eastAsia" w:ascii="宋体" w:hAnsi="宋体"/>
          <w:color w:val="auto"/>
          <w:highlight w:val="none"/>
          <w:lang w:eastAsia="zh-CN"/>
        </w:rPr>
        <w:t>（基地）</w:t>
      </w:r>
      <w:r>
        <w:rPr>
          <w:rFonts w:hint="eastAsia" w:ascii="宋体" w:hAnsi="宋体"/>
          <w:color w:val="auto"/>
          <w:highlight w:val="none"/>
        </w:rPr>
        <w:t>、停车场、主所等</w:t>
      </w:r>
      <w:r>
        <w:rPr>
          <w:rFonts w:hint="eastAsia" w:ascii="宋体" w:hAnsi="宋体"/>
          <w:color w:val="auto"/>
          <w:highlight w:val="none"/>
          <w:lang w:val="en-US" w:eastAsia="zh-CN"/>
        </w:rPr>
        <w:t>。</w:t>
      </w:r>
    </w:p>
    <w:p>
      <w:pPr>
        <w:pStyle w:val="6"/>
        <w:spacing w:before="0" w:after="0" w:afterAutospacing="0"/>
        <w:ind w:left="422" w:right="0" w:firstLine="0"/>
        <w:rPr>
          <w:rFonts w:ascii="宋体" w:hAnsi="宋体"/>
          <w:color w:val="auto"/>
          <w:sz w:val="21"/>
          <w:szCs w:val="21"/>
          <w:highlight w:val="none"/>
        </w:rPr>
      </w:pPr>
      <w:bookmarkStart w:id="2240" w:name="_Toc34758757"/>
      <w:bookmarkStart w:id="2241" w:name="_Toc39606599"/>
      <w:r>
        <w:rPr>
          <w:rFonts w:hint="eastAsia" w:ascii="宋体" w:hAnsi="宋体"/>
          <w:color w:val="auto"/>
          <w:sz w:val="21"/>
          <w:szCs w:val="21"/>
          <w:highlight w:val="none"/>
        </w:rPr>
        <w:t>2.4承包方式</w:t>
      </w:r>
      <w:bookmarkEnd w:id="2240"/>
      <w:bookmarkEnd w:id="2241"/>
    </w:p>
    <w:p>
      <w:pPr>
        <w:widowControl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总价包干。</w:t>
      </w:r>
    </w:p>
    <w:p>
      <w:pPr>
        <w:pStyle w:val="6"/>
        <w:spacing w:before="0" w:after="0" w:afterAutospacing="0"/>
        <w:ind w:left="422" w:right="0" w:firstLine="0"/>
        <w:rPr>
          <w:rFonts w:ascii="宋体" w:hAnsi="宋体"/>
          <w:color w:val="auto"/>
          <w:sz w:val="21"/>
          <w:szCs w:val="21"/>
          <w:highlight w:val="none"/>
        </w:rPr>
      </w:pPr>
      <w:bookmarkStart w:id="2242" w:name="_Toc39606600"/>
      <w:bookmarkStart w:id="2243" w:name="_Toc34758758"/>
      <w:r>
        <w:rPr>
          <w:rFonts w:hint="eastAsia" w:ascii="宋体" w:hAnsi="宋体"/>
          <w:color w:val="auto"/>
          <w:sz w:val="21"/>
          <w:szCs w:val="21"/>
          <w:highlight w:val="none"/>
        </w:rPr>
        <w:t>2.5项目分包</w:t>
      </w:r>
      <w:bookmarkEnd w:id="2242"/>
      <w:bookmarkEnd w:id="2243"/>
    </w:p>
    <w:p>
      <w:pPr>
        <w:widowControl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本项目不允许联合体</w:t>
      </w:r>
      <w:r>
        <w:rPr>
          <w:rFonts w:hint="eastAsia" w:ascii="宋体" w:hAnsi="宋体"/>
          <w:color w:val="auto"/>
          <w:highlight w:val="none"/>
          <w:lang w:val="en-US" w:eastAsia="zh-CN"/>
        </w:rPr>
        <w:t>比选申请</w:t>
      </w:r>
      <w:r>
        <w:rPr>
          <w:rFonts w:hint="eastAsia" w:ascii="宋体" w:hAnsi="宋体"/>
          <w:color w:val="auto"/>
          <w:highlight w:val="none"/>
        </w:rPr>
        <w:t>，不允许任何形式的转包或分包。</w:t>
      </w:r>
    </w:p>
    <w:p>
      <w:pPr>
        <w:pStyle w:val="6"/>
        <w:spacing w:before="0" w:after="0" w:afterAutospacing="0"/>
        <w:ind w:left="422" w:right="0" w:firstLine="0"/>
        <w:rPr>
          <w:rFonts w:ascii="宋体" w:hAnsi="宋体"/>
          <w:color w:val="auto"/>
          <w:sz w:val="21"/>
          <w:szCs w:val="21"/>
          <w:highlight w:val="none"/>
        </w:rPr>
      </w:pPr>
      <w:bookmarkStart w:id="2244" w:name="_Toc34758759"/>
      <w:bookmarkStart w:id="2245" w:name="_Toc39606601"/>
      <w:r>
        <w:rPr>
          <w:rFonts w:hint="eastAsia" w:ascii="宋体" w:hAnsi="宋体"/>
          <w:color w:val="auto"/>
          <w:sz w:val="21"/>
          <w:szCs w:val="21"/>
          <w:highlight w:val="none"/>
        </w:rPr>
        <w:t>2.6计划服务期</w:t>
      </w:r>
      <w:bookmarkEnd w:id="2244"/>
      <w:bookmarkEnd w:id="2245"/>
    </w:p>
    <w:p>
      <w:pPr>
        <w:widowControl w:val="0"/>
        <w:spacing w:before="0" w:after="0" w:afterAutospacing="0"/>
        <w:ind w:left="0" w:right="0"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合同期3年，共36个月（合同起止日期以合同约定为准）</w:t>
      </w:r>
      <w:r>
        <w:rPr>
          <w:rFonts w:hint="eastAsia"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246" w:name="_Toc6812_WPSOffice_Level1"/>
      <w:bookmarkStart w:id="2247" w:name="_Toc32449"/>
      <w:bookmarkStart w:id="2248" w:name="_Toc3694_WPSOffice_Level1"/>
      <w:bookmarkStart w:id="2249" w:name="_Toc534279531"/>
      <w:bookmarkStart w:id="2250" w:name="_Toc534279494"/>
      <w:bookmarkStart w:id="2251" w:name="_Toc651"/>
      <w:bookmarkStart w:id="2252" w:name="_Toc34758760"/>
      <w:bookmarkStart w:id="2253" w:name="_Toc7936596"/>
      <w:bookmarkStart w:id="2254" w:name="_Toc39606602"/>
      <w:bookmarkStart w:id="2255" w:name="_Toc15173"/>
      <w:r>
        <w:rPr>
          <w:rFonts w:hint="eastAsia" w:ascii="宋体" w:hAnsi="宋体" w:eastAsia="宋体"/>
          <w:color w:val="auto"/>
          <w:sz w:val="24"/>
          <w:szCs w:val="24"/>
          <w:highlight w:val="none"/>
        </w:rPr>
        <w:t>3</w:t>
      </w:r>
      <w:r>
        <w:rPr>
          <w:rFonts w:hint="eastAsia" w:ascii="宋体" w:hAnsi="宋体" w:eastAsia="宋体"/>
          <w:color w:val="auto"/>
          <w:sz w:val="24"/>
          <w:szCs w:val="24"/>
          <w:highlight w:val="none"/>
          <w:lang w:val="en-US" w:eastAsia="zh-CN"/>
        </w:rPr>
        <w:t>城市轨道交通安全生产标准化</w:t>
      </w:r>
      <w:r>
        <w:rPr>
          <w:rFonts w:hint="eastAsia" w:ascii="宋体" w:hAnsi="宋体" w:eastAsia="宋体"/>
          <w:color w:val="auto"/>
          <w:sz w:val="24"/>
          <w:szCs w:val="24"/>
          <w:highlight w:val="none"/>
        </w:rPr>
        <w:t>项目标准、规范</w:t>
      </w:r>
      <w:bookmarkEnd w:id="2246"/>
      <w:bookmarkEnd w:id="2247"/>
      <w:bookmarkEnd w:id="2248"/>
      <w:r>
        <w:rPr>
          <w:rFonts w:hint="eastAsia" w:ascii="宋体" w:hAnsi="宋体" w:eastAsia="宋体"/>
          <w:color w:val="auto"/>
          <w:sz w:val="24"/>
          <w:szCs w:val="24"/>
          <w:highlight w:val="none"/>
        </w:rPr>
        <w:t>及</w:t>
      </w:r>
      <w:bookmarkEnd w:id="2249"/>
      <w:bookmarkEnd w:id="2250"/>
      <w:r>
        <w:rPr>
          <w:rFonts w:hint="eastAsia" w:ascii="宋体" w:hAnsi="宋体" w:eastAsia="宋体"/>
          <w:color w:val="auto"/>
          <w:sz w:val="24"/>
          <w:szCs w:val="24"/>
          <w:highlight w:val="none"/>
        </w:rPr>
        <w:t>要求</w:t>
      </w:r>
      <w:bookmarkEnd w:id="2251"/>
      <w:bookmarkEnd w:id="2252"/>
      <w:bookmarkEnd w:id="2253"/>
      <w:bookmarkEnd w:id="2254"/>
      <w:bookmarkEnd w:id="2255"/>
    </w:p>
    <w:p>
      <w:pPr>
        <w:pStyle w:val="6"/>
        <w:spacing w:before="0" w:after="0" w:afterAutospacing="0"/>
        <w:ind w:left="422" w:right="0" w:firstLine="0"/>
        <w:rPr>
          <w:rFonts w:ascii="宋体" w:hAnsi="宋体"/>
          <w:color w:val="auto"/>
          <w:sz w:val="21"/>
          <w:szCs w:val="21"/>
          <w:highlight w:val="none"/>
        </w:rPr>
      </w:pPr>
      <w:bookmarkStart w:id="2256" w:name="_Toc2784"/>
      <w:bookmarkStart w:id="2257" w:name="_Toc39606603"/>
      <w:bookmarkStart w:id="2258" w:name="_Toc28153_WPSOffice_Level2"/>
      <w:bookmarkStart w:id="2259" w:name="_Toc29380_WPSOffice_Level2"/>
      <w:bookmarkStart w:id="2260" w:name="_Toc534279495"/>
      <w:bookmarkStart w:id="2261" w:name="_Toc7936597"/>
      <w:bookmarkStart w:id="2262" w:name="_Toc534279532"/>
      <w:bookmarkStart w:id="2263" w:name="_Toc34758761"/>
      <w:r>
        <w:rPr>
          <w:rFonts w:hint="eastAsia" w:ascii="宋体" w:hAnsi="宋体"/>
          <w:color w:val="auto"/>
          <w:sz w:val="21"/>
          <w:szCs w:val="21"/>
          <w:highlight w:val="none"/>
        </w:rPr>
        <w:t>3.1国家相关标准及规范</w:t>
      </w:r>
      <w:bookmarkEnd w:id="2256"/>
      <w:bookmarkEnd w:id="2257"/>
      <w:bookmarkEnd w:id="2258"/>
      <w:bookmarkEnd w:id="2259"/>
      <w:bookmarkEnd w:id="2260"/>
      <w:bookmarkEnd w:id="2261"/>
      <w:bookmarkEnd w:id="2262"/>
      <w:bookmarkEnd w:id="2263"/>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各类标准即国家及行业相关标准，满足下列标准或要求，如有最新版本，按新版本执行，按照权威性排列如下（同一权威等级取标准高者）。</w:t>
      </w:r>
    </w:p>
    <w:p>
      <w:pPr>
        <w:widowControl w:val="0"/>
        <w:spacing w:before="0" w:after="0" w:afterAutospacing="0"/>
        <w:ind w:left="0" w:right="0" w:firstLine="420" w:firstLineChars="200"/>
        <w:rPr>
          <w:rFonts w:ascii="宋体" w:hAnsi="宋体"/>
          <w:color w:val="auto"/>
          <w:kern w:val="2"/>
          <w:highlight w:val="none"/>
        </w:rPr>
      </w:pPr>
      <w:bookmarkStart w:id="2264" w:name="_Toc534279496"/>
      <w:bookmarkStart w:id="2265" w:name="_Toc7936598"/>
      <w:bookmarkStart w:id="2266" w:name="_Toc533760366"/>
      <w:bookmarkStart w:id="2267" w:name="_Toc534279533"/>
      <w:r>
        <w:rPr>
          <w:rFonts w:hint="eastAsia" w:ascii="宋体" w:hAnsi="宋体"/>
          <w:color w:val="auto"/>
          <w:kern w:val="2"/>
          <w:highlight w:val="none"/>
        </w:rPr>
        <w:t>3.1.1国家相关规范、地铁行业标准，包括不限于:</w:t>
      </w:r>
      <w:bookmarkEnd w:id="2264"/>
      <w:bookmarkEnd w:id="2265"/>
      <w:bookmarkEnd w:id="2266"/>
      <w:bookmarkEnd w:id="2267"/>
    </w:p>
    <w:p>
      <w:pPr>
        <w:widowControl w:val="0"/>
        <w:spacing w:before="0" w:after="0" w:afterAutospacing="0"/>
        <w:ind w:left="0" w:right="0" w:firstLine="420" w:firstLineChars="200"/>
        <w:rPr>
          <w:rFonts w:hint="eastAsia" w:ascii="宋体" w:hAnsi="宋体" w:eastAsia="宋体"/>
          <w:color w:val="auto"/>
          <w:kern w:val="2"/>
          <w:highlight w:val="none"/>
          <w:lang w:eastAsia="zh-CN"/>
        </w:rPr>
      </w:pPr>
      <w:r>
        <w:rPr>
          <w:rFonts w:hint="eastAsia" w:ascii="宋体" w:hAnsi="宋体"/>
          <w:color w:val="auto"/>
          <w:kern w:val="2"/>
          <w:highlight w:val="none"/>
        </w:rPr>
        <w:t>（1）《中华人民共和国安全生产法》</w:t>
      </w:r>
      <w:r>
        <w:rPr>
          <w:rFonts w:hint="eastAsia" w:ascii="宋体" w:hAnsi="宋体"/>
          <w:color w:val="auto"/>
          <w:kern w:val="2"/>
          <w:highlight w:val="none"/>
          <w:lang w:eastAsia="zh-CN"/>
        </w:rPr>
        <w:t>（中华人民共和国主席令第八十八号）</w:t>
      </w:r>
    </w:p>
    <w:p>
      <w:pPr>
        <w:widowControl w:val="0"/>
        <w:spacing w:before="0" w:after="0" w:afterAutospacing="0"/>
        <w:ind w:left="0" w:right="0" w:firstLine="420" w:firstLineChars="200"/>
        <w:rPr>
          <w:rFonts w:hint="eastAsia" w:ascii="宋体" w:hAnsi="宋体"/>
          <w:color w:val="auto"/>
          <w:kern w:val="2"/>
          <w:highlight w:val="none"/>
          <w:lang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2</w:t>
      </w:r>
      <w:r>
        <w:rPr>
          <w:rFonts w:hint="eastAsia" w:ascii="宋体" w:hAnsi="宋体"/>
          <w:color w:val="auto"/>
          <w:kern w:val="2"/>
          <w:highlight w:val="none"/>
          <w:lang w:eastAsia="zh-CN"/>
        </w:rPr>
        <w:t>）《交通运输企业安全生产标准化建设基本规范》（JT/T1180.15）</w:t>
      </w:r>
    </w:p>
    <w:p>
      <w:pPr>
        <w:widowControl w:val="0"/>
        <w:spacing w:before="0" w:after="0" w:afterAutospacing="0"/>
        <w:ind w:left="0" w:right="0" w:firstLine="420" w:firstLineChars="200"/>
        <w:rPr>
          <w:rFonts w:hint="eastAsia" w:ascii="宋体" w:hAnsi="宋体"/>
          <w:color w:val="auto"/>
          <w:kern w:val="2"/>
          <w:highlight w:val="none"/>
          <w:lang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3</w:t>
      </w:r>
      <w:r>
        <w:rPr>
          <w:rFonts w:hint="eastAsia" w:ascii="宋体" w:hAnsi="宋体"/>
          <w:color w:val="auto"/>
          <w:kern w:val="2"/>
          <w:highlight w:val="none"/>
          <w:lang w:eastAsia="zh-CN"/>
        </w:rPr>
        <w:t>）《城市轨道交通安全生产达标评价方法和评价实施细则》</w:t>
      </w:r>
    </w:p>
    <w:p>
      <w:pPr>
        <w:widowControl w:val="0"/>
        <w:spacing w:before="0" w:after="0" w:afterAutospacing="0"/>
        <w:ind w:left="0" w:right="0" w:firstLine="420" w:firstLineChars="200"/>
        <w:rPr>
          <w:rFonts w:hint="eastAsia" w:ascii="宋体" w:hAnsi="宋体"/>
          <w:color w:val="auto"/>
          <w:kern w:val="2"/>
          <w:highlight w:val="none"/>
          <w:lang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4</w:t>
      </w:r>
      <w:r>
        <w:rPr>
          <w:rFonts w:hint="eastAsia" w:ascii="宋体" w:hAnsi="宋体"/>
          <w:color w:val="auto"/>
          <w:kern w:val="2"/>
          <w:highlight w:val="none"/>
          <w:lang w:eastAsia="zh-CN"/>
        </w:rPr>
        <w:t>）《国务院关于进一步加强企业安全生产工作的通知》（2010年国务院发23号文件）</w:t>
      </w:r>
    </w:p>
    <w:p>
      <w:pPr>
        <w:widowControl w:val="0"/>
        <w:spacing w:before="0" w:after="0" w:afterAutospacing="0"/>
        <w:ind w:left="0" w:right="0" w:firstLine="420" w:firstLineChars="200"/>
        <w:rPr>
          <w:rFonts w:hint="eastAsia" w:ascii="宋体" w:hAnsi="宋体"/>
          <w:color w:val="auto"/>
          <w:kern w:val="2"/>
          <w:highlight w:val="none"/>
          <w:lang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5</w:t>
      </w:r>
      <w:r>
        <w:rPr>
          <w:rFonts w:hint="eastAsia" w:ascii="宋体" w:hAnsi="宋体"/>
          <w:color w:val="auto"/>
          <w:kern w:val="2"/>
          <w:highlight w:val="none"/>
          <w:lang w:eastAsia="zh-CN"/>
        </w:rPr>
        <w:t>）《交通运输企业安全生产标准化建设评价管理办法》</w:t>
      </w:r>
    </w:p>
    <w:p>
      <w:pPr>
        <w:widowControl w:val="0"/>
        <w:spacing w:before="0" w:after="0" w:afterAutospacing="0"/>
        <w:ind w:left="0" w:right="0" w:firstLine="420" w:firstLineChars="200"/>
        <w:rPr>
          <w:rFonts w:hint="eastAsia" w:ascii="宋体" w:hAnsi="宋体"/>
          <w:color w:val="auto"/>
          <w:kern w:val="2"/>
          <w:highlight w:val="none"/>
          <w:lang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6</w:t>
      </w:r>
      <w:r>
        <w:rPr>
          <w:rFonts w:hint="eastAsia" w:ascii="宋体" w:hAnsi="宋体"/>
          <w:color w:val="auto"/>
          <w:kern w:val="2"/>
          <w:highlight w:val="none"/>
          <w:lang w:eastAsia="zh-CN"/>
        </w:rPr>
        <w:t>）《关于印发南宁市推进企业安全生产标准化建设三年提升行动实施方案的通知》（南府办函[2017]5号）</w:t>
      </w:r>
    </w:p>
    <w:p>
      <w:pPr>
        <w:widowControl w:val="0"/>
        <w:spacing w:before="0" w:after="0" w:afterAutospacing="0"/>
        <w:ind w:left="0" w:right="0" w:firstLine="420" w:firstLineChars="200"/>
        <w:rPr>
          <w:rFonts w:hint="default"/>
          <w:color w:val="auto"/>
          <w:highlight w:val="none"/>
          <w:lang w:val="en-US" w:eastAsia="zh-CN"/>
        </w:rPr>
      </w:pPr>
      <w:r>
        <w:rPr>
          <w:rFonts w:hint="eastAsia" w:ascii="宋体" w:hAnsi="宋体"/>
          <w:color w:val="auto"/>
          <w:kern w:val="2"/>
          <w:highlight w:val="none"/>
          <w:lang w:eastAsia="zh-CN"/>
        </w:rPr>
        <w:t>（</w:t>
      </w:r>
      <w:r>
        <w:rPr>
          <w:rFonts w:hint="eastAsia" w:ascii="宋体" w:hAnsi="宋体"/>
          <w:color w:val="auto"/>
          <w:kern w:val="2"/>
          <w:highlight w:val="none"/>
          <w:lang w:val="en-US" w:eastAsia="zh-CN"/>
        </w:rPr>
        <w:t>7</w:t>
      </w:r>
      <w:r>
        <w:rPr>
          <w:rFonts w:hint="eastAsia" w:ascii="宋体" w:hAnsi="宋体"/>
          <w:color w:val="auto"/>
          <w:kern w:val="2"/>
          <w:highlight w:val="none"/>
          <w:lang w:eastAsia="zh-CN"/>
        </w:rPr>
        <w:t>）《关于印发南宁市国资委推进企业安全生产标准化建设三年提升行动实施方案的通知》（南国资办[2017]70号）</w:t>
      </w:r>
    </w:p>
    <w:p>
      <w:pPr>
        <w:widowControl w:val="0"/>
        <w:spacing w:before="0" w:after="0" w:afterAutospacing="0"/>
        <w:ind w:left="0" w:right="0" w:firstLine="420" w:firstLineChars="200"/>
        <w:rPr>
          <w:rFonts w:hint="eastAsia" w:ascii="宋体" w:hAnsi="宋体"/>
          <w:color w:val="auto"/>
          <w:kern w:val="2"/>
          <w:highlight w:val="none"/>
        </w:rPr>
      </w:pPr>
      <w:r>
        <w:rPr>
          <w:rFonts w:hint="eastAsia" w:ascii="宋体" w:hAnsi="宋体"/>
          <w:color w:val="auto"/>
          <w:kern w:val="2"/>
          <w:highlight w:val="none"/>
        </w:rPr>
        <w:t>广西</w:t>
      </w:r>
      <w:r>
        <w:rPr>
          <w:rFonts w:hint="eastAsia" w:ascii="宋体" w:hAnsi="宋体"/>
          <w:color w:val="auto"/>
          <w:kern w:val="2"/>
          <w:highlight w:val="none"/>
          <w:lang w:eastAsia="zh-CN"/>
        </w:rPr>
        <w:t>壮族自治</w:t>
      </w:r>
      <w:r>
        <w:rPr>
          <w:rFonts w:ascii="宋体" w:hAnsi="宋体"/>
          <w:color w:val="auto"/>
          <w:kern w:val="2"/>
          <w:highlight w:val="none"/>
        </w:rPr>
        <w:t>区、</w:t>
      </w:r>
      <w:r>
        <w:rPr>
          <w:rFonts w:hint="eastAsia" w:ascii="宋体" w:hAnsi="宋体"/>
          <w:color w:val="auto"/>
          <w:kern w:val="2"/>
          <w:highlight w:val="none"/>
        </w:rPr>
        <w:t>南宁市有关规程规定及要求，未尽部分符合国家现行的有关标准和规范，且当上述标准的内容与其他文件或具体条款描述矛盾时，按较高要求执行。</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相关标准及本合同未作明确规定的内容</w:t>
      </w:r>
      <w:r>
        <w:rPr>
          <w:rFonts w:ascii="宋体" w:hAnsi="宋体"/>
          <w:color w:val="auto"/>
          <w:kern w:val="2"/>
          <w:highlight w:val="none"/>
        </w:rPr>
        <w:t>,</w:t>
      </w:r>
      <w:r>
        <w:rPr>
          <w:rFonts w:hint="eastAsia" w:ascii="宋体" w:hAnsi="宋体"/>
          <w:color w:val="auto"/>
          <w:kern w:val="2"/>
          <w:highlight w:val="none"/>
        </w:rPr>
        <w:t>可参照企业及</w:t>
      </w:r>
      <w:r>
        <w:rPr>
          <w:rFonts w:ascii="宋体" w:hAnsi="宋体"/>
          <w:color w:val="auto"/>
          <w:kern w:val="2"/>
          <w:highlight w:val="none"/>
        </w:rPr>
        <w:t>以上</w:t>
      </w:r>
      <w:r>
        <w:rPr>
          <w:rFonts w:hint="eastAsia" w:ascii="宋体" w:hAnsi="宋体"/>
          <w:color w:val="auto"/>
          <w:kern w:val="2"/>
          <w:highlight w:val="none"/>
        </w:rPr>
        <w:t>标准执行。</w:t>
      </w:r>
    </w:p>
    <w:p>
      <w:pPr>
        <w:widowControl w:val="0"/>
        <w:spacing w:before="0" w:after="0" w:afterAutospacing="0"/>
        <w:ind w:left="0" w:right="0" w:firstLine="420" w:firstLineChars="200"/>
        <w:rPr>
          <w:rFonts w:hint="eastAsia"/>
          <w:color w:val="auto"/>
          <w:highlight w:val="none"/>
        </w:rPr>
      </w:pPr>
      <w:r>
        <w:rPr>
          <w:rFonts w:hint="eastAsia" w:ascii="宋体" w:hAnsi="宋体"/>
          <w:color w:val="auto"/>
          <w:kern w:val="2"/>
          <w:highlight w:val="none"/>
        </w:rPr>
        <w:t>如果有新的标准，则按照新的标准执行，乙方不能因此而要求增加任何费用。</w:t>
      </w:r>
    </w:p>
    <w:p>
      <w:pPr>
        <w:widowControl w:val="0"/>
        <w:spacing w:before="0" w:after="0" w:afterAutospacing="0"/>
        <w:ind w:left="0" w:right="0" w:firstLine="420" w:firstLineChars="200"/>
        <w:rPr>
          <w:rFonts w:ascii="宋体" w:hAnsi="宋体"/>
          <w:color w:val="auto"/>
          <w:kern w:val="2"/>
          <w:highlight w:val="none"/>
        </w:rPr>
      </w:pPr>
      <w:bookmarkStart w:id="2268" w:name="_Toc534279497"/>
      <w:bookmarkStart w:id="2269" w:name="_Toc534279534"/>
      <w:bookmarkStart w:id="2270" w:name="_Toc7936599"/>
      <w:bookmarkStart w:id="2271" w:name="_Toc533760367"/>
      <w:r>
        <w:rPr>
          <w:rFonts w:hint="eastAsia" w:ascii="宋体" w:hAnsi="宋体"/>
          <w:color w:val="auto"/>
          <w:kern w:val="2"/>
          <w:highlight w:val="none"/>
        </w:rPr>
        <w:t>3.1.2标准适用原则</w:t>
      </w:r>
      <w:bookmarkEnd w:id="2268"/>
      <w:bookmarkEnd w:id="2269"/>
      <w:bookmarkEnd w:id="2270"/>
      <w:bookmarkEnd w:id="2271"/>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满足下列标准或要求，如有最新版本，按新版本执行。</w:t>
      </w:r>
    </w:p>
    <w:p>
      <w:pPr>
        <w:widowControl w:val="0"/>
        <w:spacing w:before="0" w:after="0" w:afterAutospacing="0"/>
        <w:ind w:left="0" w:right="0" w:firstLine="420" w:firstLineChars="200"/>
        <w:rPr>
          <w:rFonts w:hint="eastAsia" w:ascii="宋体" w:hAnsi="宋体" w:eastAsia="宋体"/>
          <w:color w:val="auto"/>
          <w:kern w:val="2"/>
          <w:highlight w:val="none"/>
          <w:lang w:eastAsia="zh-CN"/>
        </w:rPr>
      </w:pPr>
      <w:r>
        <w:rPr>
          <w:rFonts w:hint="eastAsia" w:ascii="宋体" w:hAnsi="宋体"/>
          <w:color w:val="auto"/>
          <w:kern w:val="2"/>
          <w:highlight w:val="none"/>
        </w:rPr>
        <w:t>（1）甲方单位的各种会议纪要、决议、通知等</w:t>
      </w:r>
      <w:r>
        <w:rPr>
          <w:rFonts w:hint="eastAsia" w:ascii="宋体" w:hAnsi="宋体"/>
          <w:color w:val="auto"/>
          <w:kern w:val="2"/>
          <w:highlight w:val="none"/>
          <w:lang w:eastAsia="zh-CN"/>
        </w:rPr>
        <w:t>。</w:t>
      </w:r>
    </w:p>
    <w:p>
      <w:pPr>
        <w:widowControl w:val="0"/>
        <w:spacing w:before="0" w:after="0" w:afterAutospacing="0"/>
        <w:ind w:left="0" w:right="0" w:firstLine="420" w:firstLineChars="200"/>
        <w:rPr>
          <w:rFonts w:hint="eastAsia" w:ascii="宋体" w:hAnsi="宋体" w:eastAsia="宋体"/>
          <w:color w:val="auto"/>
          <w:kern w:val="2"/>
          <w:highlight w:val="none"/>
          <w:lang w:eastAsia="zh-CN"/>
        </w:rPr>
      </w:pPr>
      <w:r>
        <w:rPr>
          <w:rFonts w:hint="eastAsia" w:ascii="宋体" w:hAnsi="宋体"/>
          <w:color w:val="auto"/>
          <w:kern w:val="2"/>
          <w:highlight w:val="none"/>
        </w:rPr>
        <w:t>（2）甲方单位的企业标准</w:t>
      </w:r>
      <w:r>
        <w:rPr>
          <w:rFonts w:hint="eastAsia" w:ascii="宋体" w:hAnsi="宋体"/>
          <w:color w:val="auto"/>
          <w:kern w:val="2"/>
          <w:highlight w:val="none"/>
          <w:lang w:eastAsia="zh-CN"/>
        </w:rPr>
        <w:t>。</w:t>
      </w:r>
    </w:p>
    <w:p>
      <w:pPr>
        <w:widowControl w:val="0"/>
        <w:spacing w:before="0" w:after="0" w:afterAutospacing="0"/>
        <w:ind w:left="0" w:right="0" w:firstLine="420" w:firstLineChars="200"/>
        <w:rPr>
          <w:rFonts w:hint="eastAsia" w:ascii="宋体" w:hAnsi="宋体" w:eastAsia="宋体"/>
          <w:color w:val="auto"/>
          <w:kern w:val="2"/>
          <w:highlight w:val="none"/>
          <w:lang w:eastAsia="zh-CN"/>
        </w:rPr>
      </w:pPr>
      <w:r>
        <w:rPr>
          <w:rFonts w:hint="eastAsia" w:ascii="宋体" w:hAnsi="宋体"/>
          <w:color w:val="auto"/>
          <w:kern w:val="2"/>
          <w:highlight w:val="none"/>
        </w:rPr>
        <w:t>（3）甲方单位的规章制度</w:t>
      </w:r>
      <w:r>
        <w:rPr>
          <w:rFonts w:hint="eastAsia" w:ascii="宋体" w:hAnsi="宋体"/>
          <w:color w:val="auto"/>
          <w:kern w:val="2"/>
          <w:highlight w:val="none"/>
          <w:lang w:eastAsia="zh-CN"/>
        </w:rPr>
        <w:t>。</w:t>
      </w:r>
    </w:p>
    <w:p>
      <w:pPr>
        <w:widowControl w:val="0"/>
        <w:spacing w:before="0" w:after="0" w:afterAutospacing="0"/>
        <w:ind w:left="0" w:right="0" w:firstLine="420" w:firstLineChars="200"/>
        <w:rPr>
          <w:rFonts w:hint="eastAsia" w:ascii="宋体" w:hAnsi="宋体" w:eastAsia="宋体"/>
          <w:color w:val="auto"/>
          <w:kern w:val="2"/>
          <w:highlight w:val="none"/>
          <w:lang w:eastAsia="zh-CN"/>
        </w:rPr>
      </w:pPr>
      <w:r>
        <w:rPr>
          <w:rFonts w:hint="eastAsia" w:ascii="宋体" w:hAnsi="宋体"/>
          <w:color w:val="auto"/>
          <w:kern w:val="2"/>
          <w:highlight w:val="none"/>
        </w:rPr>
        <w:t>（4）行业规范</w:t>
      </w:r>
      <w:r>
        <w:rPr>
          <w:rFonts w:hint="eastAsia" w:ascii="宋体" w:hAnsi="宋体"/>
          <w:color w:val="auto"/>
          <w:kern w:val="2"/>
          <w:highlight w:val="none"/>
          <w:lang w:eastAsia="zh-CN"/>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（5）以上均未涉及的，由甲方与乙方共同商定。</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（6）甲方相关标准于乙方中</w:t>
      </w:r>
      <w:r>
        <w:rPr>
          <w:rFonts w:hint="eastAsia" w:ascii="宋体" w:hAnsi="宋体"/>
          <w:color w:val="auto"/>
          <w:kern w:val="2"/>
          <w:highlight w:val="none"/>
          <w:lang w:val="en-US" w:eastAsia="zh-CN"/>
        </w:rPr>
        <w:t>选</w:t>
      </w:r>
      <w:r>
        <w:rPr>
          <w:rFonts w:hint="eastAsia" w:ascii="宋体" w:hAnsi="宋体"/>
          <w:color w:val="auto"/>
          <w:kern w:val="2"/>
          <w:highlight w:val="none"/>
        </w:rPr>
        <w:t>后提供。</w:t>
      </w:r>
    </w:p>
    <w:p>
      <w:pPr>
        <w:pStyle w:val="6"/>
        <w:spacing w:before="0" w:after="0" w:afterAutospacing="0"/>
        <w:ind w:left="422" w:right="0" w:firstLine="0"/>
        <w:rPr>
          <w:rFonts w:ascii="宋体" w:hAnsi="宋体"/>
          <w:color w:val="auto"/>
          <w:sz w:val="21"/>
          <w:szCs w:val="21"/>
          <w:highlight w:val="none"/>
        </w:rPr>
      </w:pPr>
      <w:bookmarkStart w:id="2272" w:name="_Toc39606604"/>
      <w:bookmarkStart w:id="2273" w:name="_Toc34758762"/>
      <w:bookmarkStart w:id="2274" w:name="_Toc7936600"/>
      <w:r>
        <w:rPr>
          <w:rFonts w:hint="eastAsia" w:ascii="宋体" w:hAnsi="宋体"/>
          <w:color w:val="auto"/>
          <w:sz w:val="21"/>
          <w:szCs w:val="21"/>
          <w:highlight w:val="none"/>
        </w:rPr>
        <w:t>3.2服务人员需求</w:t>
      </w:r>
      <w:bookmarkEnd w:id="2272"/>
      <w:bookmarkEnd w:id="2273"/>
      <w:bookmarkEnd w:id="227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s="宋体"/>
          <w:color w:val="auto"/>
          <w:highlight w:val="none"/>
        </w:rPr>
        <w:t>按照满足需求，精简合理的原则，</w:t>
      </w:r>
      <w:r>
        <w:rPr>
          <w:rFonts w:hint="eastAsia" w:ascii="宋体" w:hAnsi="宋体" w:cs="宋体"/>
          <w:color w:val="auto"/>
          <w:highlight w:val="none"/>
          <w:lang w:val="en-US" w:eastAsia="zh-CN"/>
        </w:rPr>
        <w:t>甲方</w:t>
      </w:r>
      <w:r>
        <w:rPr>
          <w:rFonts w:hint="eastAsia" w:ascii="宋体" w:hAnsi="宋体" w:cs="宋体"/>
          <w:color w:val="auto"/>
          <w:highlight w:val="none"/>
        </w:rPr>
        <w:t>拟通过</w:t>
      </w:r>
      <w:r>
        <w:rPr>
          <w:rFonts w:hint="eastAsia" w:ascii="宋体" w:hAnsi="宋体" w:cs="宋体"/>
          <w:color w:val="auto"/>
          <w:highlight w:val="none"/>
          <w:lang w:val="en-US" w:eastAsia="zh-CN"/>
        </w:rPr>
        <w:t>比选的</w:t>
      </w:r>
      <w:r>
        <w:rPr>
          <w:rFonts w:hint="eastAsia" w:ascii="宋体" w:hAnsi="宋体" w:cs="宋体"/>
          <w:color w:val="auto"/>
          <w:highlight w:val="none"/>
        </w:rPr>
        <w:t>方式选取一家符合资质的公司提供运营公司安全生产标准化建设一级达标</w:t>
      </w:r>
      <w:r>
        <w:rPr>
          <w:rFonts w:hint="eastAsia" w:ascii="宋体" w:hAnsi="宋体" w:cs="宋体"/>
          <w:color w:val="auto"/>
          <w:highlight w:val="none"/>
          <w:lang w:val="en-US" w:eastAsia="zh-CN"/>
        </w:rPr>
        <w:t>评价工作</w:t>
      </w:r>
      <w:r>
        <w:rPr>
          <w:rFonts w:hint="eastAsia" w:ascii="宋体" w:hAnsi="宋体" w:cs="宋体"/>
          <w:color w:val="auto"/>
          <w:highlight w:val="none"/>
        </w:rPr>
        <w:t>，</w:t>
      </w:r>
      <w:r>
        <w:rPr>
          <w:rFonts w:hint="eastAsia" w:ascii="宋体" w:hAnsi="宋体" w:cs="宋体"/>
          <w:color w:val="auto"/>
          <w:highlight w:val="none"/>
          <w:lang w:val="en-US" w:eastAsia="zh-CN"/>
        </w:rPr>
        <w:t>乙方需针对</w:t>
      </w:r>
      <w:r>
        <w:rPr>
          <w:rFonts w:hint="eastAsia" w:ascii="宋体" w:hAnsi="宋体"/>
          <w:color w:val="auto"/>
          <w:kern w:val="2"/>
          <w:highlight w:val="none"/>
        </w:rPr>
        <w:t>本项目成立“</w:t>
      </w:r>
      <w:r>
        <w:rPr>
          <w:rFonts w:hint="eastAsia" w:ascii="宋体" w:hAnsi="宋体" w:cs="宋体"/>
          <w:color w:val="auto"/>
          <w:highlight w:val="none"/>
        </w:rPr>
        <w:t>运营公司安全生产标准化建设一级达标</w:t>
      </w:r>
      <w:r>
        <w:rPr>
          <w:rFonts w:hint="eastAsia" w:ascii="宋体" w:hAnsi="宋体"/>
          <w:color w:val="auto"/>
          <w:kern w:val="2"/>
          <w:highlight w:val="none"/>
          <w:lang w:val="en-US" w:eastAsia="zh-CN"/>
        </w:rPr>
        <w:t>评价工作小组</w:t>
      </w:r>
      <w:r>
        <w:rPr>
          <w:rFonts w:hint="eastAsia" w:ascii="宋体" w:hAnsi="宋体"/>
          <w:color w:val="auto"/>
          <w:kern w:val="2"/>
          <w:highlight w:val="none"/>
        </w:rPr>
        <w:t>”</w:t>
      </w:r>
      <w:r>
        <w:rPr>
          <w:rFonts w:hint="eastAsia" w:ascii="宋体" w:hAnsi="宋体"/>
          <w:color w:val="auto"/>
          <w:kern w:val="2"/>
          <w:highlight w:val="none"/>
          <w:lang w:val="en-US" w:eastAsia="zh-CN"/>
        </w:rPr>
        <w:t>对我司开展一级安全生产标准化评价。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275" w:name="_Toc534279537"/>
      <w:bookmarkStart w:id="2276" w:name="_Toc534279500"/>
      <w:bookmarkStart w:id="2277" w:name="_Toc34758763"/>
      <w:bookmarkStart w:id="2278" w:name="_Toc7936601"/>
      <w:bookmarkStart w:id="2279" w:name="_Toc39606605"/>
      <w:bookmarkStart w:id="2280" w:name="_Toc29767"/>
      <w:bookmarkStart w:id="2281" w:name="_Toc14821"/>
      <w:r>
        <w:rPr>
          <w:rFonts w:hint="eastAsia" w:ascii="宋体" w:hAnsi="宋体" w:eastAsia="宋体"/>
          <w:color w:val="auto"/>
          <w:sz w:val="24"/>
          <w:szCs w:val="24"/>
          <w:highlight w:val="none"/>
        </w:rPr>
        <w:t>4服务项目管理</w:t>
      </w:r>
      <w:bookmarkEnd w:id="2275"/>
      <w:bookmarkEnd w:id="2276"/>
      <w:r>
        <w:rPr>
          <w:rFonts w:hint="eastAsia" w:ascii="宋体" w:hAnsi="宋体" w:eastAsia="宋体"/>
          <w:color w:val="auto"/>
          <w:sz w:val="24"/>
          <w:szCs w:val="24"/>
          <w:highlight w:val="none"/>
        </w:rPr>
        <w:t>及要求</w:t>
      </w:r>
      <w:bookmarkEnd w:id="2277"/>
      <w:bookmarkEnd w:id="2278"/>
      <w:bookmarkEnd w:id="2279"/>
      <w:bookmarkEnd w:id="2280"/>
      <w:bookmarkEnd w:id="2281"/>
    </w:p>
    <w:p>
      <w:pPr>
        <w:pStyle w:val="6"/>
        <w:spacing w:before="0" w:after="0" w:afterAutospacing="0"/>
        <w:ind w:left="422" w:right="0" w:firstLine="0"/>
        <w:rPr>
          <w:rFonts w:ascii="宋体" w:hAnsi="宋体"/>
          <w:color w:val="auto"/>
          <w:sz w:val="21"/>
          <w:szCs w:val="21"/>
          <w:highlight w:val="none"/>
        </w:rPr>
      </w:pPr>
      <w:bookmarkStart w:id="2282" w:name="_Toc534279538"/>
      <w:bookmarkStart w:id="2283" w:name="_Toc19016_WPSOffice_Level2"/>
      <w:bookmarkStart w:id="2284" w:name="_Toc34758764"/>
      <w:bookmarkStart w:id="2285" w:name="_Toc534279501"/>
      <w:bookmarkStart w:id="2286" w:name="_Toc39606606"/>
      <w:bookmarkStart w:id="2287" w:name="_Toc7936602"/>
      <w:bookmarkStart w:id="2288" w:name="_Toc24757"/>
      <w:bookmarkStart w:id="2289" w:name="_Toc3976_WPSOffice_Level2"/>
      <w:r>
        <w:rPr>
          <w:rFonts w:hint="eastAsia" w:ascii="宋体" w:hAnsi="宋体"/>
          <w:color w:val="auto"/>
          <w:sz w:val="21"/>
          <w:szCs w:val="21"/>
          <w:highlight w:val="none"/>
        </w:rPr>
        <w:t>4.1乙方资质、组织</w:t>
      </w:r>
      <w:r>
        <w:rPr>
          <w:rFonts w:ascii="宋体" w:hAnsi="宋体"/>
          <w:color w:val="auto"/>
          <w:sz w:val="21"/>
          <w:szCs w:val="21"/>
          <w:highlight w:val="none"/>
        </w:rPr>
        <w:t>框架</w:t>
      </w:r>
      <w:r>
        <w:rPr>
          <w:rFonts w:hint="eastAsia" w:ascii="宋体" w:hAnsi="宋体"/>
          <w:color w:val="auto"/>
          <w:sz w:val="21"/>
          <w:szCs w:val="21"/>
          <w:highlight w:val="none"/>
        </w:rPr>
        <w:t>要求</w:t>
      </w:r>
      <w:bookmarkEnd w:id="2282"/>
      <w:bookmarkEnd w:id="2283"/>
      <w:bookmarkEnd w:id="2284"/>
      <w:bookmarkEnd w:id="2285"/>
      <w:bookmarkEnd w:id="2286"/>
      <w:bookmarkEnd w:id="2287"/>
      <w:bookmarkEnd w:id="2288"/>
      <w:bookmarkEnd w:id="2289"/>
    </w:p>
    <w:p>
      <w:pPr>
        <w:widowControl w:val="0"/>
        <w:spacing w:before="0" w:after="0" w:afterAutospacing="0"/>
        <w:ind w:left="0" w:right="0" w:firstLine="420" w:firstLineChars="200"/>
        <w:rPr>
          <w:rFonts w:ascii="宋体" w:hAnsi="宋体"/>
          <w:color w:val="auto"/>
          <w:kern w:val="2"/>
          <w:highlight w:val="none"/>
        </w:rPr>
      </w:pPr>
      <w:bookmarkStart w:id="2290" w:name="_Toc7936603"/>
      <w:bookmarkStart w:id="2291" w:name="_Toc534279503"/>
      <w:bookmarkStart w:id="2292" w:name="_Toc534279540"/>
      <w:r>
        <w:rPr>
          <w:rFonts w:hint="eastAsia" w:ascii="宋体" w:hAnsi="宋体"/>
          <w:color w:val="auto"/>
          <w:kern w:val="2"/>
          <w:highlight w:val="none"/>
        </w:rPr>
        <w:t>4.1.1乙方资质要求</w:t>
      </w:r>
      <w:bookmarkEnd w:id="2290"/>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420" w:firstLineChars="200"/>
        <w:textAlignment w:val="auto"/>
        <w:rPr>
          <w:rFonts w:hint="eastAsia" w:ascii="宋体" w:hAnsi="宋体" w:eastAsia="宋体"/>
          <w:color w:val="auto"/>
          <w:highlight w:val="none"/>
          <w:lang w:eastAsia="zh-CN"/>
        </w:rPr>
      </w:pPr>
      <w:r>
        <w:rPr>
          <w:rFonts w:hint="eastAsia" w:ascii="宋体" w:hAnsi="宋体" w:cs="宋体"/>
          <w:color w:val="auto"/>
          <w:highlight w:val="none"/>
        </w:rPr>
        <w:t>4.1.1.1比选申请人为中华人民共和国境内依法设立的法人或其他组织（若以分公司名义参与</w:t>
      </w:r>
      <w:r>
        <w:rPr>
          <w:rFonts w:hint="eastAsia" w:ascii="宋体" w:hAnsi="宋体" w:cs="宋体"/>
          <w:color w:val="auto"/>
          <w:highlight w:val="none"/>
          <w:lang w:val="en-US" w:eastAsia="zh-CN"/>
        </w:rPr>
        <w:t>比选</w:t>
      </w:r>
      <w:r>
        <w:rPr>
          <w:rFonts w:hint="eastAsia" w:ascii="宋体" w:hAnsi="宋体" w:cs="宋体"/>
          <w:color w:val="auto"/>
          <w:highlight w:val="none"/>
        </w:rPr>
        <w:t>申请，必须出具总公司授权参与的证明）</w:t>
      </w:r>
      <w:r>
        <w:rPr>
          <w:rFonts w:hint="eastAsia" w:ascii="宋体" w:hAnsi="宋体"/>
          <w:color w:val="auto"/>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420" w:firstLineChars="200"/>
        <w:textAlignment w:val="auto"/>
        <w:rPr>
          <w:rFonts w:hint="eastAsia" w:ascii="宋体" w:hAnsi="宋体" w:cs="宋体"/>
          <w:color w:val="auto"/>
          <w:highlight w:val="none"/>
        </w:rPr>
      </w:pPr>
      <w:r>
        <w:rPr>
          <w:rFonts w:hint="eastAsia" w:ascii="宋体" w:hAnsi="宋体" w:cs="宋体"/>
          <w:color w:val="auto"/>
          <w:highlight w:val="none"/>
        </w:rPr>
        <w:t>4.1.1.2</w:t>
      </w:r>
      <w:r>
        <w:rPr>
          <w:rFonts w:hint="eastAsia" w:ascii="宋体" w:hAnsi="宋体" w:eastAsia="宋体"/>
          <w:color w:val="auto"/>
          <w:highlight w:val="none"/>
          <w:lang w:eastAsia="zh-CN"/>
        </w:rPr>
        <w:t>单位负责人为同一人或者存在控股、管理关系的不同单位，不得参加同一标段比选申请或者未划分标段的同一比选项目比选申请</w:t>
      </w:r>
      <w:r>
        <w:rPr>
          <w:rFonts w:hint="eastAsia" w:ascii="宋体" w:hAnsi="宋体"/>
          <w:color w:val="auto"/>
          <w:highlight w:val="none"/>
          <w:lang w:eastAsia="zh-CN"/>
        </w:rPr>
        <w:t>。</w:t>
      </w:r>
    </w:p>
    <w:p>
      <w:pPr>
        <w:widowControl w:val="0"/>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rPr>
        <w:t>4.1.1.</w:t>
      </w:r>
      <w:r>
        <w:rPr>
          <w:rFonts w:hint="eastAsia" w:ascii="宋体" w:hAnsi="宋体" w:cs="宋体"/>
          <w:color w:val="auto"/>
          <w:highlight w:val="none"/>
          <w:lang w:val="en-US" w:eastAsia="zh-CN"/>
        </w:rPr>
        <w:t>3</w:t>
      </w:r>
      <w:r>
        <w:rPr>
          <w:rFonts w:hint="eastAsia" w:ascii="宋体" w:hAnsi="宋体" w:eastAsia="宋体"/>
          <w:color w:val="auto"/>
          <w:sz w:val="21"/>
          <w:szCs w:val="21"/>
          <w:highlight w:val="none"/>
        </w:rPr>
        <w:t>比选申请人没有处于被责令停业，或资格被住建部、</w:t>
      </w:r>
      <w:r>
        <w:rPr>
          <w:rFonts w:hint="eastAsia" w:ascii="宋体" w:hAnsi="宋体"/>
          <w:color w:val="auto"/>
          <w:sz w:val="21"/>
          <w:szCs w:val="21"/>
          <w:highlight w:val="none"/>
          <w:lang w:val="en-US" w:eastAsia="zh-CN"/>
        </w:rPr>
        <w:t>应急管理部</w:t>
      </w:r>
      <w:r>
        <w:rPr>
          <w:rFonts w:hint="eastAsia" w:ascii="宋体" w:hAnsi="宋体" w:eastAsia="宋体"/>
          <w:color w:val="auto"/>
          <w:sz w:val="21"/>
          <w:szCs w:val="21"/>
          <w:highlight w:val="none"/>
        </w:rPr>
        <w:t>、广西区或南宁市建设行政主管部门取消，或财产被接管、破产状态；在</w:t>
      </w:r>
      <w:r>
        <w:rPr>
          <w:rFonts w:hint="eastAsia" w:ascii="宋体" w:hAnsi="宋体"/>
          <w:color w:val="auto"/>
          <w:sz w:val="21"/>
          <w:szCs w:val="21"/>
          <w:highlight w:val="none"/>
          <w:lang w:val="en-US" w:eastAsia="zh-CN"/>
        </w:rPr>
        <w:t>比选申请</w:t>
      </w:r>
      <w:r>
        <w:rPr>
          <w:rFonts w:hint="eastAsia" w:ascii="宋体" w:hAnsi="宋体" w:eastAsia="宋体"/>
          <w:color w:val="auto"/>
          <w:sz w:val="21"/>
          <w:szCs w:val="21"/>
          <w:highlight w:val="none"/>
        </w:rPr>
        <w:t>截止</w:t>
      </w:r>
      <w:r>
        <w:rPr>
          <w:rFonts w:hint="eastAsia" w:ascii="宋体" w:hAnsi="宋体"/>
          <w:color w:val="auto"/>
          <w:sz w:val="21"/>
          <w:szCs w:val="21"/>
          <w:highlight w:val="none"/>
          <w:lang w:val="en-US" w:eastAsia="zh-CN"/>
        </w:rPr>
        <w:t>时间</w:t>
      </w:r>
      <w:r>
        <w:rPr>
          <w:rFonts w:hint="eastAsia" w:ascii="宋体" w:hAnsi="宋体" w:eastAsia="宋体"/>
          <w:color w:val="auto"/>
          <w:sz w:val="21"/>
          <w:szCs w:val="21"/>
          <w:highlight w:val="none"/>
        </w:rPr>
        <w:t>前3年内没有骗取中标</w:t>
      </w:r>
      <w:r>
        <w:rPr>
          <w:rFonts w:hint="eastAsia" w:ascii="宋体" w:hAnsi="宋体"/>
          <w:color w:val="auto"/>
          <w:sz w:val="21"/>
          <w:szCs w:val="21"/>
          <w:highlight w:val="none"/>
          <w:lang w:val="en-US" w:eastAsia="zh-CN"/>
        </w:rPr>
        <w:t>/选</w:t>
      </w:r>
      <w:r>
        <w:rPr>
          <w:rFonts w:hint="eastAsia" w:ascii="宋体" w:hAnsi="宋体" w:eastAsia="宋体"/>
          <w:color w:val="auto"/>
          <w:sz w:val="21"/>
          <w:szCs w:val="21"/>
          <w:highlight w:val="none"/>
        </w:rPr>
        <w:t>、严重违约或重大安全质量事故</w:t>
      </w:r>
      <w:r>
        <w:rPr>
          <w:rFonts w:hint="eastAsia" w:ascii="宋体" w:hAnsi="宋体" w:eastAsia="宋体"/>
          <w:color w:val="auto"/>
          <w:highlight w:val="none"/>
        </w:rPr>
        <w:t>；</w:t>
      </w:r>
      <w:r>
        <w:rPr>
          <w:rFonts w:hint="eastAsia" w:ascii="宋体" w:hAnsi="宋体" w:eastAsia="宋体" w:cs="宋体"/>
          <w:color w:val="auto"/>
          <w:highlight w:val="none"/>
          <w:lang w:val="en-US" w:eastAsia="zh-CN"/>
        </w:rPr>
        <w:t>近3年内未受到交通行业主管部门违规评价处理通报</w:t>
      </w:r>
      <w:r>
        <w:rPr>
          <w:rFonts w:hint="eastAsia" w:ascii="宋体" w:hAnsi="宋体" w:cs="宋体"/>
          <w:color w:val="auto"/>
          <w:highlight w:val="none"/>
          <w:lang w:val="en-US" w:eastAsia="zh-CN"/>
        </w:rPr>
        <w:t>。</w:t>
      </w:r>
    </w:p>
    <w:p>
      <w:pPr>
        <w:widowControl w:val="0"/>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rPr>
        <w:t>4.1.1.</w:t>
      </w:r>
      <w:r>
        <w:rPr>
          <w:rFonts w:hint="eastAsia" w:ascii="宋体" w:hAnsi="宋体" w:cs="宋体"/>
          <w:color w:val="auto"/>
          <w:highlight w:val="none"/>
          <w:lang w:val="en-US" w:eastAsia="zh-CN"/>
        </w:rPr>
        <w:t>4比选申请人需要具备城市客运专业资质类型，并向交通运输部备案的一级评价资质（</w:t>
      </w:r>
      <w:r>
        <w:rPr>
          <w:rFonts w:hint="eastAsia" w:ascii="宋体" w:hAnsi="宋体" w:eastAsia="宋体" w:cs="宋体"/>
          <w:color w:val="auto"/>
          <w:kern w:val="0"/>
          <w:sz w:val="21"/>
          <w:szCs w:val="21"/>
          <w:highlight w:val="none"/>
          <w:lang w:val="en-US" w:eastAsia="zh-CN" w:bidi="ar"/>
        </w:rPr>
        <w:t>如提供“交通运输企业安全生产标</w:t>
      </w:r>
      <w:r>
        <w:rPr>
          <w:rFonts w:hint="eastAsia" w:ascii="宋体" w:hAnsi="宋体" w:eastAsia="宋体" w:cs="宋体"/>
          <w:color w:val="auto"/>
          <w:highlight w:val="none"/>
          <w:lang w:val="en-US" w:eastAsia="zh-CN"/>
        </w:rPr>
        <w:t>准化建设信用信息管理系统”截图，能显示专业类型为城市客运、等级为一级的资质备案截图等其他的证明材料</w:t>
      </w:r>
      <w:r>
        <w:rPr>
          <w:rFonts w:hint="eastAsia" w:ascii="宋体" w:hAnsi="宋体" w:cs="宋体"/>
          <w:color w:val="auto"/>
          <w:highlight w:val="none"/>
          <w:lang w:val="en-US" w:eastAsia="zh-CN"/>
        </w:rPr>
        <w:t>）。</w:t>
      </w:r>
    </w:p>
    <w:p>
      <w:pPr>
        <w:widowControl w:val="0"/>
        <w:spacing w:before="0" w:after="0" w:afterAutospacing="0"/>
        <w:ind w:left="0" w:right="0"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rPr>
        <w:t>4.1.1.</w:t>
      </w:r>
      <w:r>
        <w:rPr>
          <w:rFonts w:hint="eastAsia" w:ascii="宋体" w:hAnsi="宋体" w:cs="宋体"/>
          <w:color w:val="auto"/>
          <w:highlight w:val="none"/>
          <w:lang w:val="en-US" w:eastAsia="zh-CN"/>
        </w:rPr>
        <w:t>5比选申请人</w:t>
      </w:r>
      <w:r>
        <w:rPr>
          <w:rFonts w:hint="eastAsia" w:ascii="宋体" w:hAnsi="宋体" w:cs="宋体"/>
          <w:color w:val="auto"/>
          <w:highlight w:val="none"/>
        </w:rPr>
        <w:t>自20</w:t>
      </w:r>
      <w:r>
        <w:rPr>
          <w:rFonts w:hint="eastAsia" w:ascii="宋体" w:hAnsi="宋体" w:cs="宋体"/>
          <w:color w:val="auto"/>
          <w:highlight w:val="none"/>
          <w:lang w:val="en-US" w:eastAsia="zh-CN"/>
        </w:rPr>
        <w:t>19</w:t>
      </w:r>
      <w:r>
        <w:rPr>
          <w:rFonts w:hint="eastAsia" w:ascii="宋体" w:hAnsi="宋体" w:cs="宋体"/>
          <w:color w:val="auto"/>
          <w:highlight w:val="none"/>
        </w:rPr>
        <w:t>年1月1日至比选申请截止时间前至少具有</w:t>
      </w:r>
      <w:r>
        <w:rPr>
          <w:rFonts w:hint="eastAsia" w:ascii="宋体" w:hAnsi="宋体" w:cs="宋体"/>
          <w:color w:val="auto"/>
          <w:highlight w:val="none"/>
          <w:lang w:val="en-US" w:eastAsia="zh-CN"/>
        </w:rPr>
        <w:t>1</w:t>
      </w:r>
      <w:r>
        <w:rPr>
          <w:rFonts w:hint="eastAsia" w:ascii="宋体" w:hAnsi="宋体" w:cs="宋体"/>
          <w:color w:val="auto"/>
          <w:highlight w:val="none"/>
        </w:rPr>
        <w:t>项在中华人民共和国境内的类似项目业绩</w:t>
      </w:r>
      <w:r>
        <w:rPr>
          <w:rFonts w:hint="eastAsia" w:ascii="宋体" w:hAnsi="宋体" w:cs="宋体"/>
          <w:color w:val="auto"/>
          <w:highlight w:val="none"/>
          <w:lang w:eastAsia="zh-CN"/>
        </w:rPr>
        <w:t>。</w:t>
      </w:r>
    </w:p>
    <w:p>
      <w:pPr>
        <w:widowControl w:val="0"/>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4.1.1.</w:t>
      </w:r>
      <w:r>
        <w:rPr>
          <w:rFonts w:hint="eastAsia" w:ascii="宋体" w:hAnsi="宋体" w:cs="宋体"/>
          <w:color w:val="auto"/>
          <w:highlight w:val="none"/>
          <w:lang w:val="en-US" w:eastAsia="zh-CN"/>
        </w:rPr>
        <w:t>6</w:t>
      </w:r>
      <w:r>
        <w:rPr>
          <w:rFonts w:hint="eastAsia" w:ascii="宋体" w:hAnsi="宋体" w:cs="宋体"/>
          <w:color w:val="auto"/>
          <w:highlight w:val="none"/>
        </w:rPr>
        <w:t>本项目不接受联合体</w:t>
      </w:r>
      <w:r>
        <w:rPr>
          <w:rFonts w:hint="eastAsia" w:ascii="宋体" w:hAnsi="宋体" w:cs="宋体"/>
          <w:color w:val="auto"/>
          <w:highlight w:val="none"/>
          <w:lang w:val="en-US" w:eastAsia="zh-CN"/>
        </w:rPr>
        <w:t>比选申请</w:t>
      </w:r>
      <w:r>
        <w:rPr>
          <w:rFonts w:hint="eastAsia" w:ascii="宋体" w:hAnsi="宋体" w:cs="宋体"/>
          <w:color w:val="auto"/>
          <w:highlight w:val="none"/>
        </w:rPr>
        <w:t>，不允许分包或转包。</w:t>
      </w:r>
    </w:p>
    <w:p>
      <w:pPr>
        <w:widowControl w:val="0"/>
        <w:spacing w:before="0" w:after="0" w:afterAutospacing="0"/>
        <w:ind w:left="0" w:right="0" w:firstLine="420" w:firstLineChars="200"/>
        <w:rPr>
          <w:rFonts w:hint="eastAsia" w:ascii="宋体" w:hAnsi="宋体" w:cs="宋体"/>
          <w:color w:val="auto"/>
          <w:highlight w:val="none"/>
        </w:rPr>
      </w:pPr>
      <w:bookmarkStart w:id="2293" w:name="_Toc7936604"/>
      <w:r>
        <w:rPr>
          <w:rFonts w:hint="eastAsia" w:ascii="宋体" w:hAnsi="宋体" w:cs="宋体"/>
          <w:color w:val="auto"/>
          <w:highlight w:val="none"/>
        </w:rPr>
        <w:t>4.1.2</w:t>
      </w:r>
      <w:r>
        <w:rPr>
          <w:rFonts w:hint="eastAsia" w:ascii="宋体" w:hAnsi="宋体" w:cs="宋体"/>
          <w:color w:val="auto"/>
          <w:highlight w:val="none"/>
          <w:lang w:val="en-US" w:eastAsia="zh-CN"/>
        </w:rPr>
        <w:t xml:space="preserve"> </w:t>
      </w:r>
      <w:r>
        <w:rPr>
          <w:rFonts w:hint="eastAsia" w:ascii="宋体" w:hAnsi="宋体" w:cs="宋体"/>
          <w:color w:val="auto"/>
          <w:highlight w:val="none"/>
        </w:rPr>
        <w:t>乙方需配置的组织架构及人员要求</w:t>
      </w:r>
      <w:bookmarkEnd w:id="2291"/>
      <w:bookmarkEnd w:id="2292"/>
      <w:bookmarkEnd w:id="2293"/>
    </w:p>
    <w:p>
      <w:pPr>
        <w:widowControl w:val="0"/>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4.1.2.1项目负责人应具有城市轨道交通运输企业安全生产标准化一级考评项目负责人的经验，项目工作组成员不得少于3人。如甲方认为具体岗位人员配置不合理需要变动，可要求乙方进行调整乙方应积极配合，不得拒绝。</w:t>
      </w:r>
    </w:p>
    <w:p>
      <w:pPr>
        <w:widowControl w:val="0"/>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4.1.2.2项目工作组成员需具有城市轨道交通运输企业一级安全生产标准化考评资格</w:t>
      </w:r>
      <w:r>
        <w:rPr>
          <w:rFonts w:hint="default" w:ascii="宋体" w:hAnsi="宋体" w:cs="宋体"/>
          <w:color w:val="auto"/>
          <w:highlight w:val="none"/>
        </w:rPr>
        <w:t>（可提供之前的评审员编号等）</w:t>
      </w:r>
      <w:r>
        <w:rPr>
          <w:rFonts w:hint="eastAsia" w:ascii="宋体" w:hAnsi="宋体" w:cs="宋体"/>
          <w:color w:val="auto"/>
          <w:highlight w:val="none"/>
        </w:rPr>
        <w:t>。</w:t>
      </w:r>
    </w:p>
    <w:p>
      <w:pPr>
        <w:widowControl w:val="0"/>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4.1.2.</w:t>
      </w:r>
      <w:r>
        <w:rPr>
          <w:rFonts w:hint="eastAsia" w:ascii="宋体" w:hAnsi="宋体" w:cs="宋体"/>
          <w:color w:val="auto"/>
          <w:highlight w:val="none"/>
          <w:lang w:val="en-US" w:eastAsia="zh-CN"/>
        </w:rPr>
        <w:t>3</w:t>
      </w:r>
      <w:r>
        <w:rPr>
          <w:rFonts w:hint="eastAsia" w:ascii="宋体" w:hAnsi="宋体" w:cs="宋体"/>
          <w:color w:val="auto"/>
          <w:highlight w:val="none"/>
        </w:rPr>
        <w:t>项目工作组成员需满足安全生产标准化建设要求，需熟悉城市轨道交通系统的基本工作流程和安全生产管理情况，熟悉城市轨道交通运营的各专业工作。</w:t>
      </w:r>
    </w:p>
    <w:p>
      <w:pPr>
        <w:pStyle w:val="6"/>
        <w:spacing w:before="0" w:after="0" w:afterAutospacing="0"/>
        <w:ind w:left="422" w:right="0" w:firstLine="0"/>
        <w:rPr>
          <w:rFonts w:ascii="宋体" w:hAnsi="宋体"/>
          <w:color w:val="auto"/>
          <w:sz w:val="21"/>
          <w:szCs w:val="21"/>
          <w:highlight w:val="none"/>
        </w:rPr>
      </w:pPr>
      <w:bookmarkStart w:id="2294" w:name="_Toc39606607"/>
      <w:bookmarkStart w:id="2295" w:name="_Toc34758765"/>
      <w:bookmarkStart w:id="2296" w:name="_Toc7936606"/>
      <w:bookmarkStart w:id="2297" w:name="_Toc534279505"/>
      <w:bookmarkStart w:id="2298" w:name="_Toc534279542"/>
      <w:r>
        <w:rPr>
          <w:rFonts w:hint="eastAsia" w:ascii="宋体" w:hAnsi="宋体"/>
          <w:color w:val="auto"/>
          <w:sz w:val="21"/>
          <w:szCs w:val="21"/>
          <w:highlight w:val="none"/>
        </w:rPr>
        <w:t>4.2</w:t>
      </w:r>
      <w:r>
        <w:rPr>
          <w:rFonts w:hint="eastAsia" w:ascii="宋体" w:hAnsi="宋体"/>
          <w:color w:val="auto"/>
          <w:sz w:val="21"/>
          <w:szCs w:val="21"/>
          <w:highlight w:val="none"/>
          <w:lang w:val="en-US" w:eastAsia="zh-CN"/>
        </w:rPr>
        <w:t>安全生产标准化评价项目</w:t>
      </w:r>
      <w:bookmarkEnd w:id="2294"/>
      <w:bookmarkEnd w:id="2295"/>
      <w:bookmarkEnd w:id="2296"/>
      <w:bookmarkEnd w:id="2297"/>
      <w:bookmarkEnd w:id="2298"/>
      <w:r>
        <w:rPr>
          <w:rFonts w:hint="eastAsia" w:ascii="宋体" w:hAnsi="宋体"/>
          <w:color w:val="auto"/>
          <w:sz w:val="21"/>
          <w:szCs w:val="21"/>
          <w:highlight w:val="none"/>
          <w:lang w:val="en-US" w:eastAsia="zh-CN"/>
        </w:rPr>
        <w:t>要求</w:t>
      </w:r>
    </w:p>
    <w:p>
      <w:pPr>
        <w:widowControl w:val="0"/>
        <w:adjustRightInd w:val="0"/>
        <w:snapToGrid w:val="0"/>
        <w:spacing w:before="0" w:after="0" w:afterAutospacing="0"/>
        <w:ind w:left="0" w:right="0" w:firstLine="420" w:firstLineChars="200"/>
        <w:rPr>
          <w:rFonts w:ascii="宋体" w:hAnsi="宋体" w:cs="宋体"/>
          <w:color w:val="auto"/>
          <w:kern w:val="2"/>
          <w:szCs w:val="24"/>
          <w:highlight w:val="none"/>
        </w:rPr>
      </w:pPr>
      <w:bookmarkStart w:id="2299" w:name="_Toc21403_WPSOffice_Level2"/>
      <w:bookmarkStart w:id="2300" w:name="_Toc14518"/>
      <w:bookmarkStart w:id="2301" w:name="_Toc534279506"/>
      <w:bookmarkStart w:id="2302" w:name="_Toc534279543"/>
      <w:bookmarkStart w:id="2303" w:name="_Toc7936607"/>
      <w:bookmarkStart w:id="2304" w:name="_Toc12692"/>
      <w:r>
        <w:rPr>
          <w:rFonts w:hint="eastAsia" w:ascii="宋体" w:hAnsi="宋体" w:cs="宋体"/>
          <w:color w:val="auto"/>
          <w:kern w:val="2"/>
          <w:szCs w:val="24"/>
          <w:highlight w:val="none"/>
          <w:lang w:val="en-US" w:eastAsia="zh-CN"/>
        </w:rPr>
        <w:t>4.2.1</w:t>
      </w:r>
      <w:r>
        <w:rPr>
          <w:rFonts w:hint="eastAsia" w:ascii="宋体" w:hAnsi="宋体" w:cs="宋体"/>
          <w:color w:val="auto"/>
          <w:highlight w:val="none"/>
          <w:lang w:val="en-US" w:eastAsia="zh-CN"/>
        </w:rPr>
        <w:t>乙方</w:t>
      </w:r>
      <w:r>
        <w:rPr>
          <w:rFonts w:hint="eastAsia" w:ascii="宋体" w:hAnsi="宋体" w:cs="宋体"/>
          <w:color w:val="auto"/>
          <w:highlight w:val="none"/>
        </w:rPr>
        <w:t>应该组建专门的</w:t>
      </w:r>
      <w:r>
        <w:rPr>
          <w:rFonts w:hint="eastAsia" w:ascii="宋体" w:hAnsi="宋体" w:cs="宋体"/>
          <w:color w:val="auto"/>
          <w:highlight w:val="none"/>
          <w:lang w:val="en-US" w:eastAsia="zh-CN"/>
        </w:rPr>
        <w:t>评价组</w:t>
      </w:r>
      <w:r>
        <w:rPr>
          <w:rFonts w:hint="eastAsia" w:ascii="宋体" w:hAnsi="宋体" w:cs="宋体"/>
          <w:color w:val="auto"/>
          <w:highlight w:val="none"/>
        </w:rPr>
        <w:t>，</w:t>
      </w:r>
      <w:r>
        <w:rPr>
          <w:rFonts w:hint="eastAsia" w:ascii="宋体" w:hAnsi="宋体" w:cs="宋体"/>
          <w:color w:val="auto"/>
          <w:highlight w:val="none"/>
          <w:lang w:val="en-US" w:eastAsia="zh-CN"/>
        </w:rPr>
        <w:t>评价组</w:t>
      </w:r>
      <w:r>
        <w:rPr>
          <w:rFonts w:hint="eastAsia" w:ascii="宋体" w:hAnsi="宋体" w:cs="宋体"/>
          <w:color w:val="auto"/>
          <w:highlight w:val="none"/>
        </w:rPr>
        <w:t>成员应该包括</w:t>
      </w:r>
      <w:r>
        <w:rPr>
          <w:rFonts w:hint="eastAsia" w:ascii="宋体" w:hAnsi="宋体" w:cs="宋体"/>
          <w:color w:val="auto"/>
          <w:highlight w:val="none"/>
          <w:lang w:val="en-US" w:eastAsia="zh-CN"/>
        </w:rPr>
        <w:t>组长</w:t>
      </w:r>
      <w:r>
        <w:rPr>
          <w:rFonts w:hint="eastAsia" w:ascii="宋体" w:hAnsi="宋体" w:cs="宋体"/>
          <w:color w:val="auto"/>
          <w:highlight w:val="none"/>
        </w:rPr>
        <w:t>、</w:t>
      </w:r>
      <w:r>
        <w:rPr>
          <w:rFonts w:hint="eastAsia" w:ascii="宋体" w:hAnsi="宋体" w:cs="宋体"/>
          <w:color w:val="auto"/>
          <w:highlight w:val="none"/>
          <w:lang w:val="en-US" w:eastAsia="zh-CN"/>
        </w:rPr>
        <w:t>组员2人（含1名组长和2名组员），所有人员从业资质须通过招标方审查备案。</w:t>
      </w:r>
    </w:p>
    <w:p>
      <w:pPr>
        <w:adjustRightInd w:val="0"/>
        <w:snapToGrid w:val="0"/>
        <w:spacing w:before="0" w:after="0" w:afterAutospacing="0"/>
        <w:ind w:left="0" w:right="0" w:firstLine="420" w:firstLineChars="200"/>
        <w:jc w:val="left"/>
        <w:rPr>
          <w:rFonts w:hint="eastAsia" w:ascii="宋体" w:hAnsi="宋体" w:eastAsia="宋体" w:cs="宋体"/>
          <w:color w:val="auto"/>
          <w:kern w:val="2"/>
          <w:szCs w:val="24"/>
          <w:highlight w:val="none"/>
          <w:lang w:eastAsia="zh-CN"/>
        </w:rPr>
      </w:pPr>
      <w:r>
        <w:rPr>
          <w:rFonts w:hint="eastAsia" w:ascii="宋体" w:hAnsi="宋体" w:cs="宋体"/>
          <w:color w:val="auto"/>
          <w:kern w:val="2"/>
          <w:szCs w:val="24"/>
          <w:highlight w:val="none"/>
          <w:lang w:val="en-US" w:eastAsia="zh-CN"/>
        </w:rPr>
        <w:t>4.2.2</w:t>
      </w:r>
      <w:r>
        <w:rPr>
          <w:rFonts w:hint="eastAsia" w:ascii="宋体" w:hAnsi="宋体" w:cs="宋体"/>
          <w:color w:val="auto"/>
          <w:kern w:val="2"/>
          <w:szCs w:val="24"/>
          <w:highlight w:val="none"/>
        </w:rPr>
        <w:t>遵守合同协议，</w:t>
      </w:r>
      <w:r>
        <w:rPr>
          <w:rFonts w:hint="eastAsia" w:ascii="宋体" w:hAnsi="宋体" w:cs="宋体"/>
          <w:color w:val="auto"/>
          <w:kern w:val="2"/>
          <w:szCs w:val="24"/>
          <w:highlight w:val="none"/>
          <w:lang w:val="en-US" w:eastAsia="zh-CN"/>
        </w:rPr>
        <w:t>按照和甲方约定的时间求，</w:t>
      </w:r>
      <w:r>
        <w:rPr>
          <w:rFonts w:hint="eastAsia" w:ascii="宋体" w:hAnsi="宋体" w:cs="宋体"/>
          <w:color w:val="auto"/>
          <w:kern w:val="2"/>
          <w:szCs w:val="24"/>
          <w:highlight w:val="none"/>
        </w:rPr>
        <w:t>组织足够力量的技术人员、评价人员完成评价工作</w:t>
      </w:r>
      <w:r>
        <w:rPr>
          <w:rFonts w:hint="eastAsia" w:ascii="宋体" w:hAnsi="宋体" w:cs="宋体"/>
          <w:color w:val="auto"/>
          <w:kern w:val="2"/>
          <w:szCs w:val="24"/>
          <w:highlight w:val="none"/>
          <w:lang w:val="en-US" w:eastAsia="zh-CN"/>
        </w:rPr>
        <w:t>和培训工作</w:t>
      </w:r>
      <w:r>
        <w:rPr>
          <w:rFonts w:hint="eastAsia" w:ascii="宋体" w:hAnsi="宋体" w:cs="宋体"/>
          <w:color w:val="auto"/>
          <w:kern w:val="2"/>
          <w:szCs w:val="24"/>
          <w:highlight w:val="none"/>
          <w:lang w:eastAsia="zh-CN"/>
        </w:rPr>
        <w:t>。</w:t>
      </w:r>
    </w:p>
    <w:p>
      <w:pPr>
        <w:adjustRightInd w:val="0"/>
        <w:snapToGrid w:val="0"/>
        <w:spacing w:before="0" w:after="0" w:afterAutospacing="0"/>
        <w:ind w:left="0" w:right="0" w:firstLine="420" w:firstLineChars="200"/>
        <w:jc w:val="left"/>
        <w:rPr>
          <w:rFonts w:hint="eastAsia" w:ascii="宋体" w:hAnsi="宋体" w:cs="宋体"/>
          <w:color w:val="auto"/>
          <w:kern w:val="2"/>
          <w:szCs w:val="24"/>
          <w:highlight w:val="none"/>
        </w:rPr>
      </w:pPr>
      <w:r>
        <w:rPr>
          <w:rFonts w:hint="eastAsia" w:ascii="宋体" w:hAnsi="宋体" w:cs="宋体"/>
          <w:color w:val="auto"/>
          <w:kern w:val="2"/>
          <w:szCs w:val="24"/>
          <w:highlight w:val="none"/>
          <w:lang w:val="en-US" w:eastAsia="zh-CN"/>
        </w:rPr>
        <w:t>4.2</w:t>
      </w:r>
      <w:r>
        <w:rPr>
          <w:rFonts w:hint="eastAsia" w:ascii="宋体" w:hAnsi="宋体" w:cs="宋体"/>
          <w:color w:val="auto"/>
          <w:kern w:val="2"/>
          <w:szCs w:val="24"/>
          <w:highlight w:val="none"/>
        </w:rPr>
        <w:t xml:space="preserve">.3 </w:t>
      </w:r>
      <w:r>
        <w:rPr>
          <w:rFonts w:hint="eastAsia" w:ascii="宋体" w:hAnsi="宋体" w:cs="宋体"/>
          <w:color w:val="auto"/>
          <w:kern w:val="2"/>
          <w:szCs w:val="24"/>
          <w:highlight w:val="none"/>
          <w:lang w:val="en-US" w:eastAsia="zh-CN"/>
        </w:rPr>
        <w:t>乙方</w:t>
      </w:r>
      <w:r>
        <w:rPr>
          <w:rFonts w:hint="eastAsia" w:ascii="宋体" w:hAnsi="宋体" w:cs="宋体"/>
          <w:color w:val="auto"/>
          <w:kern w:val="2"/>
          <w:szCs w:val="24"/>
          <w:highlight w:val="none"/>
        </w:rPr>
        <w:t>应保证评价过程符合规范及提供的评价资料真实可靠。</w:t>
      </w:r>
    </w:p>
    <w:p>
      <w:pPr>
        <w:adjustRightInd w:val="0"/>
        <w:snapToGrid w:val="0"/>
        <w:spacing w:before="0" w:after="0" w:afterAutospacing="0"/>
        <w:ind w:left="0" w:right="0" w:firstLine="420" w:firstLineChars="200"/>
        <w:jc w:val="left"/>
        <w:rPr>
          <w:rFonts w:hint="eastAsia" w:ascii="宋体" w:hAnsi="宋体" w:cs="宋体"/>
          <w:color w:val="auto"/>
          <w:kern w:val="2"/>
          <w:szCs w:val="24"/>
          <w:highlight w:val="none"/>
        </w:rPr>
      </w:pPr>
      <w:r>
        <w:rPr>
          <w:rFonts w:hint="eastAsia" w:ascii="宋体" w:hAnsi="宋体" w:cs="宋体"/>
          <w:color w:val="auto"/>
          <w:kern w:val="2"/>
          <w:szCs w:val="24"/>
          <w:highlight w:val="none"/>
          <w:lang w:val="en-US" w:eastAsia="zh-CN"/>
        </w:rPr>
        <w:t>4.2</w:t>
      </w:r>
      <w:r>
        <w:rPr>
          <w:rFonts w:hint="eastAsia" w:ascii="宋体" w:hAnsi="宋体" w:cs="宋体"/>
          <w:color w:val="auto"/>
          <w:kern w:val="2"/>
          <w:szCs w:val="24"/>
          <w:highlight w:val="none"/>
        </w:rPr>
        <w:t>.4 评价完成通过后无需再次评审，</w:t>
      </w:r>
      <w:r>
        <w:rPr>
          <w:rFonts w:hint="eastAsia" w:ascii="宋体" w:hAnsi="宋体" w:cs="宋体"/>
          <w:color w:val="auto"/>
          <w:kern w:val="2"/>
          <w:szCs w:val="24"/>
          <w:highlight w:val="none"/>
          <w:lang w:val="en-US" w:eastAsia="zh-CN"/>
        </w:rPr>
        <w:t>乙方</w:t>
      </w:r>
      <w:r>
        <w:rPr>
          <w:rFonts w:hint="eastAsia" w:ascii="宋体" w:hAnsi="宋体" w:cs="宋体"/>
          <w:color w:val="auto"/>
          <w:kern w:val="2"/>
          <w:szCs w:val="24"/>
          <w:highlight w:val="none"/>
        </w:rPr>
        <w:t>出具公平、科学、准确的评价结果和不符合项报告，告知整改期限。</w:t>
      </w:r>
    </w:p>
    <w:p>
      <w:pPr>
        <w:adjustRightInd w:val="0"/>
        <w:snapToGrid w:val="0"/>
        <w:spacing w:before="0" w:after="0" w:afterAutospacing="0"/>
        <w:ind w:left="0" w:right="0" w:firstLine="420" w:firstLineChars="200"/>
        <w:jc w:val="left"/>
        <w:rPr>
          <w:rFonts w:hint="eastAsia" w:ascii="宋体" w:hAnsi="宋体" w:cs="宋体"/>
          <w:color w:val="auto"/>
          <w:kern w:val="2"/>
          <w:szCs w:val="24"/>
          <w:highlight w:val="none"/>
        </w:rPr>
      </w:pPr>
      <w:r>
        <w:rPr>
          <w:rFonts w:hint="eastAsia" w:ascii="宋体" w:hAnsi="宋体" w:cs="宋体"/>
          <w:color w:val="auto"/>
          <w:kern w:val="2"/>
          <w:szCs w:val="24"/>
          <w:highlight w:val="none"/>
          <w:lang w:val="en-US" w:eastAsia="zh-CN"/>
        </w:rPr>
        <w:t>4.2</w:t>
      </w:r>
      <w:r>
        <w:rPr>
          <w:rFonts w:hint="eastAsia" w:ascii="宋体" w:hAnsi="宋体" w:cs="宋体"/>
          <w:color w:val="auto"/>
          <w:kern w:val="2"/>
          <w:szCs w:val="24"/>
          <w:highlight w:val="none"/>
        </w:rPr>
        <w:t xml:space="preserve">.5 </w:t>
      </w:r>
      <w:r>
        <w:rPr>
          <w:rFonts w:hint="eastAsia" w:ascii="宋体" w:hAnsi="宋体" w:cs="宋体"/>
          <w:color w:val="auto"/>
          <w:kern w:val="2"/>
          <w:szCs w:val="24"/>
          <w:highlight w:val="none"/>
          <w:lang w:val="en-US" w:eastAsia="zh-CN"/>
        </w:rPr>
        <w:t>甲方</w:t>
      </w:r>
      <w:r>
        <w:rPr>
          <w:rFonts w:hint="eastAsia" w:ascii="宋体" w:hAnsi="宋体" w:cs="宋体"/>
          <w:color w:val="auto"/>
          <w:kern w:val="2"/>
          <w:szCs w:val="24"/>
          <w:highlight w:val="none"/>
        </w:rPr>
        <w:t>按要求开展年度自评，并上报自评报告和证明资料，由</w:t>
      </w:r>
      <w:r>
        <w:rPr>
          <w:rFonts w:hint="eastAsia" w:ascii="宋体" w:hAnsi="宋体" w:cs="宋体"/>
          <w:color w:val="auto"/>
          <w:kern w:val="2"/>
          <w:szCs w:val="24"/>
          <w:highlight w:val="none"/>
          <w:lang w:val="en-US" w:eastAsia="zh-CN"/>
        </w:rPr>
        <w:t>乙方</w:t>
      </w:r>
      <w:r>
        <w:rPr>
          <w:rFonts w:hint="eastAsia" w:ascii="宋体" w:hAnsi="宋体" w:cs="宋体"/>
          <w:color w:val="auto"/>
          <w:kern w:val="2"/>
          <w:szCs w:val="24"/>
          <w:highlight w:val="none"/>
        </w:rPr>
        <w:t>项目负责人安排人员对自评报告和证明资料进行核查，核查通过后颁发年度稽核合格证明标签。</w:t>
      </w:r>
    </w:p>
    <w:bookmarkEnd w:id="2299"/>
    <w:bookmarkEnd w:id="2300"/>
    <w:bookmarkEnd w:id="2301"/>
    <w:bookmarkEnd w:id="2302"/>
    <w:bookmarkEnd w:id="2303"/>
    <w:bookmarkEnd w:id="2304"/>
    <w:p>
      <w:pPr>
        <w:pStyle w:val="5"/>
        <w:spacing w:after="0" w:afterAutospacing="0" w:line="360" w:lineRule="auto"/>
        <w:ind w:left="0" w:right="0" w:firstLine="482" w:firstLineChars="200"/>
        <w:rPr>
          <w:rFonts w:hint="eastAsia" w:ascii="宋体" w:hAnsi="宋体" w:eastAsia="宋体"/>
          <w:color w:val="auto"/>
          <w:sz w:val="24"/>
          <w:szCs w:val="24"/>
          <w:highlight w:val="none"/>
          <w:lang w:val="en-US" w:eastAsia="zh-CN"/>
        </w:rPr>
      </w:pPr>
      <w:bookmarkStart w:id="2305" w:name="_Toc21403_WPSOffice_Level1"/>
      <w:bookmarkStart w:id="2306" w:name="_Toc29"/>
      <w:bookmarkStart w:id="2307" w:name="_Toc7936612"/>
      <w:bookmarkStart w:id="2308" w:name="_Toc34758767"/>
      <w:bookmarkStart w:id="2309" w:name="_Toc534613589"/>
      <w:bookmarkStart w:id="2310" w:name="_Toc39606609"/>
      <w:bookmarkStart w:id="2311" w:name="_Toc28218"/>
      <w:bookmarkStart w:id="2312" w:name="_Toc20841"/>
      <w:bookmarkStart w:id="2313" w:name="_Toc15769_WPSOffice_Level1"/>
      <w:bookmarkStart w:id="2314" w:name="_Toc7456"/>
      <w:bookmarkStart w:id="2315" w:name="_Toc534279524"/>
      <w:bookmarkStart w:id="2316" w:name="_Toc22777"/>
      <w:bookmarkStart w:id="2317" w:name="_Toc1872_WPSOffice_Level1"/>
      <w:bookmarkStart w:id="2318" w:name="_Toc534279561"/>
      <w:r>
        <w:rPr>
          <w:rFonts w:hint="eastAsia" w:ascii="宋体" w:hAnsi="宋体" w:eastAsia="宋体"/>
          <w:color w:val="auto"/>
          <w:sz w:val="24"/>
          <w:szCs w:val="24"/>
          <w:highlight w:val="none"/>
        </w:rPr>
        <w:t>5</w:t>
      </w:r>
      <w:bookmarkEnd w:id="2305"/>
      <w:bookmarkEnd w:id="2306"/>
      <w:bookmarkEnd w:id="2307"/>
      <w:bookmarkEnd w:id="2308"/>
      <w:bookmarkEnd w:id="2309"/>
      <w:bookmarkEnd w:id="2310"/>
      <w:r>
        <w:rPr>
          <w:rFonts w:hint="eastAsia" w:ascii="宋体" w:hAnsi="宋体" w:eastAsia="宋体"/>
          <w:color w:val="auto"/>
          <w:sz w:val="24"/>
          <w:szCs w:val="24"/>
          <w:highlight w:val="none"/>
          <w:lang w:val="en-US" w:eastAsia="zh-CN"/>
        </w:rPr>
        <w:t>项目验收</w:t>
      </w:r>
      <w:bookmarkEnd w:id="2311"/>
      <w:bookmarkEnd w:id="2312"/>
    </w:p>
    <w:bookmarkEnd w:id="2313"/>
    <w:bookmarkEnd w:id="2314"/>
    <w:bookmarkEnd w:id="2315"/>
    <w:bookmarkEnd w:id="2316"/>
    <w:bookmarkEnd w:id="2317"/>
    <w:bookmarkEnd w:id="2318"/>
    <w:p>
      <w:pPr>
        <w:spacing w:before="0" w:after="0" w:afterAutospacing="0"/>
        <w:ind w:left="0" w:right="0" w:firstLine="420" w:firstLineChars="200"/>
        <w:rPr>
          <w:rFonts w:hint="eastAsia" w:ascii="宋体" w:hAnsi="宋体"/>
          <w:color w:val="auto"/>
          <w:szCs w:val="24"/>
          <w:highlight w:val="none"/>
          <w:lang w:val="en-US" w:eastAsia="zh-CN"/>
        </w:rPr>
      </w:pPr>
      <w:bookmarkStart w:id="2319" w:name="_Toc7936613"/>
      <w:bookmarkStart w:id="2320" w:name="_Toc39606610"/>
      <w:bookmarkStart w:id="2321" w:name="_Toc34758768"/>
      <w:r>
        <w:rPr>
          <w:rFonts w:hint="eastAsia" w:ascii="宋体" w:hAnsi="宋体"/>
          <w:color w:val="auto"/>
          <w:szCs w:val="24"/>
          <w:highlight w:val="none"/>
          <w:lang w:val="en-US" w:eastAsia="zh-CN"/>
        </w:rPr>
        <w:t>5.1乙方按照甲方的要求在现场换证评价工作</w:t>
      </w:r>
      <w:r>
        <w:rPr>
          <w:rFonts w:hint="default" w:ascii="宋体" w:hAnsi="宋体"/>
          <w:color w:val="auto"/>
          <w:szCs w:val="24"/>
          <w:highlight w:val="none"/>
          <w:lang w:eastAsia="zh-CN"/>
        </w:rPr>
        <w:t>当年期间</w:t>
      </w:r>
      <w:r>
        <w:rPr>
          <w:rFonts w:hint="eastAsia" w:ascii="宋体" w:hAnsi="宋体"/>
          <w:color w:val="auto"/>
          <w:szCs w:val="24"/>
          <w:highlight w:val="none"/>
          <w:lang w:val="en-US" w:eastAsia="zh-CN"/>
        </w:rPr>
        <w:t>进行为期1天的安全生产标准化培训（线上）。</w:t>
      </w:r>
    </w:p>
    <w:p>
      <w:pPr>
        <w:spacing w:before="0" w:after="0" w:afterAutospacing="0"/>
        <w:ind w:left="0" w:right="0" w:firstLine="420" w:firstLineChars="200"/>
        <w:rPr>
          <w:rFonts w:hint="eastAsia" w:ascii="宋体" w:hAnsi="宋体"/>
          <w:color w:val="auto"/>
          <w:szCs w:val="24"/>
          <w:highlight w:val="none"/>
          <w:lang w:val="en-US" w:eastAsia="zh-CN"/>
        </w:rPr>
      </w:pPr>
      <w:r>
        <w:rPr>
          <w:rFonts w:hint="eastAsia" w:ascii="宋体" w:hAnsi="宋体"/>
          <w:color w:val="auto"/>
          <w:szCs w:val="24"/>
          <w:highlight w:val="none"/>
          <w:lang w:val="en-US" w:eastAsia="zh-CN"/>
        </w:rPr>
        <w:t>5.2乙方完成现场换证评价工作并在甲方完成不符合项整改后30个工作日内发放证书。</w:t>
      </w:r>
    </w:p>
    <w:p>
      <w:pPr>
        <w:spacing w:before="0" w:after="0" w:afterAutospacing="0"/>
        <w:ind w:left="0" w:right="0" w:firstLine="420" w:firstLineChars="200"/>
        <w:rPr>
          <w:rFonts w:hint="eastAsia" w:ascii="宋体" w:hAnsi="宋体"/>
          <w:color w:val="auto"/>
          <w:szCs w:val="24"/>
          <w:highlight w:val="none"/>
          <w:lang w:val="en-US" w:eastAsia="zh-CN"/>
        </w:rPr>
      </w:pPr>
      <w:r>
        <w:rPr>
          <w:rFonts w:hint="eastAsia" w:ascii="宋体" w:hAnsi="宋体"/>
          <w:color w:val="auto"/>
          <w:szCs w:val="24"/>
          <w:highlight w:val="none"/>
          <w:lang w:val="en-US" w:eastAsia="zh-CN"/>
        </w:rPr>
        <w:t>5.3 乙方在甲方提交年度自评报告和相关证明文件后于30个工作日内发放稽查合格标签。</w:t>
      </w:r>
    </w:p>
    <w:p>
      <w:pPr>
        <w:pStyle w:val="5"/>
        <w:spacing w:after="0" w:afterAutospacing="0" w:line="360" w:lineRule="auto"/>
        <w:ind w:left="0" w:right="0" w:firstLine="482" w:firstLineChars="200"/>
        <w:rPr>
          <w:rFonts w:hint="eastAsia" w:ascii="宋体" w:hAnsi="宋体" w:eastAsia="宋体"/>
          <w:color w:val="auto"/>
          <w:sz w:val="24"/>
          <w:szCs w:val="24"/>
          <w:highlight w:val="none"/>
        </w:rPr>
      </w:pPr>
      <w:bookmarkStart w:id="2322" w:name="_Toc10958"/>
      <w:bookmarkStart w:id="2323" w:name="_Toc16305"/>
      <w:r>
        <w:rPr>
          <w:rFonts w:hint="eastAsia" w:ascii="宋体" w:hAnsi="宋体" w:eastAsia="宋体"/>
          <w:color w:val="auto"/>
          <w:sz w:val="24"/>
          <w:szCs w:val="24"/>
          <w:highlight w:val="none"/>
        </w:rPr>
        <w:t>6</w:t>
      </w:r>
      <w:bookmarkEnd w:id="2319"/>
      <w:bookmarkEnd w:id="2320"/>
      <w:bookmarkEnd w:id="2321"/>
      <w:r>
        <w:rPr>
          <w:rFonts w:hint="eastAsia" w:ascii="宋体" w:hAnsi="宋体" w:eastAsia="宋体"/>
          <w:color w:val="auto"/>
          <w:sz w:val="24"/>
          <w:szCs w:val="24"/>
          <w:highlight w:val="none"/>
        </w:rPr>
        <w:t>考核条款</w:t>
      </w:r>
      <w:bookmarkEnd w:id="2322"/>
      <w:bookmarkEnd w:id="2323"/>
    </w:p>
    <w:p>
      <w:pPr>
        <w:pStyle w:val="8"/>
        <w:numPr>
          <w:ilvl w:val="0"/>
          <w:numId w:val="0"/>
        </w:numPr>
        <w:snapToGrid w:val="0"/>
        <w:spacing w:line="360" w:lineRule="auto"/>
        <w:ind w:right="0" w:rightChars="0" w:firstLine="420" w:firstLineChars="200"/>
        <w:jc w:val="both"/>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6.1 若乙方不按合同履行职责，甲方有权撤销同</w:t>
      </w:r>
      <w:r>
        <w:rPr>
          <w:rFonts w:hint="eastAsia" w:ascii="宋体" w:hAnsi="宋体"/>
          <w:color w:val="auto"/>
          <w:sz w:val="21"/>
          <w:szCs w:val="21"/>
          <w:highlight w:val="none"/>
          <w:lang w:val="en-US" w:eastAsia="zh-CN"/>
        </w:rPr>
        <w:t>乙方</w:t>
      </w:r>
      <w:r>
        <w:rPr>
          <w:rFonts w:hint="eastAsia" w:ascii="宋体" w:hAnsi="宋体" w:eastAsia="宋体"/>
          <w:color w:val="auto"/>
          <w:sz w:val="21"/>
          <w:szCs w:val="21"/>
          <w:highlight w:val="none"/>
          <w:lang w:val="en-US" w:eastAsia="zh-CN"/>
        </w:rPr>
        <w:t>合同关系；乙方须补偿甲方的损失，并且甲方有权扣除应支付给乙方的费用作为处罚。</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szCs w:val="24"/>
          <w:highlight w:val="none"/>
          <w:lang w:val="en-US" w:eastAsia="zh-CN"/>
        </w:rPr>
        <w:t xml:space="preserve">6.2 </w:t>
      </w:r>
      <w:r>
        <w:rPr>
          <w:rFonts w:hint="eastAsia" w:ascii="宋体" w:hAnsi="宋体" w:eastAsia="宋体"/>
          <w:color w:val="auto"/>
          <w:sz w:val="21"/>
          <w:szCs w:val="21"/>
          <w:highlight w:val="none"/>
          <w:lang w:val="en-US" w:eastAsia="zh-CN"/>
        </w:rPr>
        <w:t>乙方</w:t>
      </w:r>
      <w:r>
        <w:rPr>
          <w:rFonts w:hint="eastAsia" w:ascii="宋体" w:hAnsi="宋体"/>
          <w:color w:val="auto"/>
          <w:szCs w:val="24"/>
          <w:highlight w:val="none"/>
          <w:lang w:val="en-US" w:eastAsia="zh-CN"/>
        </w:rPr>
        <w:t>对评价的质量和结果的准确性负完全责任,如果因</w:t>
      </w:r>
      <w:r>
        <w:rPr>
          <w:rFonts w:hint="eastAsia" w:ascii="宋体" w:hAnsi="宋体" w:eastAsia="宋体"/>
          <w:color w:val="auto"/>
          <w:sz w:val="21"/>
          <w:szCs w:val="21"/>
          <w:highlight w:val="none"/>
          <w:lang w:val="en-US" w:eastAsia="zh-CN"/>
        </w:rPr>
        <w:t>乙方</w:t>
      </w:r>
      <w:r>
        <w:rPr>
          <w:rFonts w:hint="eastAsia" w:ascii="宋体" w:hAnsi="宋体"/>
          <w:color w:val="auto"/>
          <w:szCs w:val="24"/>
          <w:highlight w:val="none"/>
          <w:lang w:val="en-US" w:eastAsia="zh-CN"/>
        </w:rPr>
        <w:t>过失或服务水平低下、评价错误</w:t>
      </w:r>
      <w:r>
        <w:rPr>
          <w:rFonts w:hint="eastAsia" w:ascii="宋体" w:hAnsi="宋体" w:eastAsia="宋体" w:cs="Times New Roman"/>
          <w:color w:val="auto"/>
          <w:sz w:val="21"/>
          <w:szCs w:val="21"/>
          <w:highlight w:val="none"/>
          <w:lang w:val="en-US" w:eastAsia="zh-CN" w:bidi="ar-SA"/>
        </w:rPr>
        <w:t>而造成</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损失的，</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有权要求</w:t>
      </w:r>
      <w:r>
        <w:rPr>
          <w:rFonts w:hint="eastAsia" w:ascii="宋体" w:hAnsi="宋体" w:cs="Times New Roman"/>
          <w:color w:val="auto"/>
          <w:sz w:val="21"/>
          <w:szCs w:val="21"/>
          <w:highlight w:val="none"/>
          <w:lang w:val="en-US" w:eastAsia="zh-CN" w:bidi="ar-SA"/>
        </w:rPr>
        <w:t>乙方</w:t>
      </w:r>
      <w:r>
        <w:rPr>
          <w:rFonts w:hint="eastAsia" w:ascii="宋体" w:hAnsi="宋体" w:eastAsia="宋体" w:cs="Times New Roman"/>
          <w:color w:val="auto"/>
          <w:sz w:val="21"/>
          <w:szCs w:val="21"/>
          <w:highlight w:val="none"/>
          <w:lang w:val="en-US" w:eastAsia="zh-CN" w:bidi="ar-SA"/>
        </w:rPr>
        <w:t>赔偿。</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6.3由于</w:t>
      </w:r>
      <w:r>
        <w:rPr>
          <w:rFonts w:hint="eastAsia" w:ascii="宋体" w:hAnsi="宋体" w:eastAsia="宋体"/>
          <w:color w:val="auto"/>
          <w:sz w:val="21"/>
          <w:szCs w:val="21"/>
          <w:highlight w:val="none"/>
          <w:lang w:val="en-US" w:eastAsia="zh-CN"/>
        </w:rPr>
        <w:t>乙方</w:t>
      </w:r>
      <w:r>
        <w:rPr>
          <w:rFonts w:hint="eastAsia" w:ascii="宋体" w:hAnsi="宋体" w:eastAsia="宋体" w:cs="Times New Roman"/>
          <w:color w:val="auto"/>
          <w:sz w:val="21"/>
          <w:szCs w:val="21"/>
          <w:highlight w:val="none"/>
          <w:lang w:val="en-US" w:eastAsia="zh-CN" w:bidi="ar-SA"/>
        </w:rPr>
        <w:t>不能按双方约定的时间和要求完全完成评价工作，</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有权委托其他评价单位参与本项目评价，发生的评价费用高于</w:t>
      </w:r>
      <w:r>
        <w:rPr>
          <w:rFonts w:hint="eastAsia" w:ascii="宋体" w:hAnsi="宋体" w:cs="Times New Roman"/>
          <w:color w:val="auto"/>
          <w:sz w:val="21"/>
          <w:szCs w:val="21"/>
          <w:highlight w:val="none"/>
          <w:lang w:val="en-US" w:eastAsia="zh-CN" w:bidi="ar-SA"/>
        </w:rPr>
        <w:t>乙方</w:t>
      </w:r>
      <w:r>
        <w:rPr>
          <w:rFonts w:hint="eastAsia" w:ascii="宋体" w:hAnsi="宋体" w:eastAsia="宋体" w:cs="Times New Roman"/>
          <w:color w:val="auto"/>
          <w:sz w:val="21"/>
          <w:szCs w:val="21"/>
          <w:highlight w:val="none"/>
          <w:lang w:val="en-US" w:eastAsia="zh-CN" w:bidi="ar-SA"/>
        </w:rPr>
        <w:t>报价的，则该多出部分由</w:t>
      </w:r>
      <w:r>
        <w:rPr>
          <w:rFonts w:hint="eastAsia" w:ascii="宋体" w:hAnsi="宋体" w:eastAsia="宋体"/>
          <w:color w:val="auto"/>
          <w:sz w:val="21"/>
          <w:szCs w:val="21"/>
          <w:highlight w:val="none"/>
          <w:lang w:val="en-US" w:eastAsia="zh-CN"/>
        </w:rPr>
        <w:t>乙方</w:t>
      </w:r>
      <w:r>
        <w:rPr>
          <w:rFonts w:hint="eastAsia" w:ascii="宋体" w:hAnsi="宋体" w:eastAsia="宋体" w:cs="Times New Roman"/>
          <w:color w:val="auto"/>
          <w:sz w:val="21"/>
          <w:szCs w:val="21"/>
          <w:highlight w:val="none"/>
          <w:lang w:val="en-US" w:eastAsia="zh-CN" w:bidi="ar-SA"/>
        </w:rPr>
        <w:t>承担。</w:t>
      </w:r>
    </w:p>
    <w:p>
      <w:pPr>
        <w:pStyle w:val="8"/>
        <w:snapToGrid w:val="0"/>
        <w:spacing w:line="360" w:lineRule="auto"/>
        <w:ind w:firstLine="420" w:firstLineChars="200"/>
        <w:jc w:val="both"/>
        <w:rPr>
          <w:rFonts w:hint="default"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6.4 在评价过程中由于乙方原因，或未经甲方同意，擅自公开甲方相关信息、数据的，造成社会不良影响，或引起负面影响的，</w:t>
      </w:r>
      <w:r>
        <w:rPr>
          <w:rFonts w:hint="eastAsia" w:ascii="宋体" w:hAnsi="宋体" w:eastAsia="宋体"/>
          <w:color w:val="auto"/>
          <w:sz w:val="21"/>
          <w:szCs w:val="21"/>
          <w:highlight w:val="none"/>
          <w:lang w:val="en-US" w:eastAsia="zh-CN"/>
        </w:rPr>
        <w:t>甲方</w:t>
      </w:r>
      <w:r>
        <w:rPr>
          <w:rFonts w:hint="eastAsia" w:ascii="宋体" w:hAnsi="宋体" w:eastAsia="宋体" w:cs="Times New Roman"/>
          <w:color w:val="auto"/>
          <w:sz w:val="21"/>
          <w:szCs w:val="21"/>
          <w:highlight w:val="none"/>
          <w:lang w:val="en-US" w:eastAsia="zh-CN" w:bidi="ar-SA"/>
        </w:rPr>
        <w:t>有权单方面解除合同，并按照相关法律规定，对甲方造成的损失进行赔偿。</w:t>
      </w:r>
    </w:p>
    <w:p>
      <w:pPr>
        <w:pStyle w:val="8"/>
        <w:snapToGrid w:val="0"/>
        <w:spacing w:line="360" w:lineRule="auto"/>
        <w:ind w:firstLine="420" w:firstLineChars="200"/>
        <w:jc w:val="both"/>
        <w:rPr>
          <w:rFonts w:hint="default" w:ascii="宋体" w:hAnsi="宋体" w:eastAsia="宋体"/>
          <w:color w:val="auto"/>
          <w:sz w:val="21"/>
          <w:szCs w:val="21"/>
          <w:highlight w:val="none"/>
          <w:lang w:val="en-US" w:eastAsia="zh-CN"/>
        </w:rPr>
      </w:pPr>
    </w:p>
    <w:p>
      <w:pPr>
        <w:rPr>
          <w:color w:val="auto"/>
          <w:highlight w:val="none"/>
        </w:rPr>
      </w:pPr>
    </w:p>
    <w:p>
      <w:pPr>
        <w:pStyle w:val="2"/>
        <w:pageBreakBefore/>
        <w:ind w:right="-57" w:firstLine="0"/>
        <w:jc w:val="center"/>
        <w:outlineLvl w:val="0"/>
        <w:rPr>
          <w:rStyle w:val="46"/>
          <w:rFonts w:ascii="宋体" w:hAnsi="宋体" w:eastAsia="宋体"/>
          <w:color w:val="auto"/>
          <w:highlight w:val="none"/>
        </w:rPr>
      </w:pPr>
      <w:bookmarkStart w:id="2324" w:name="_Toc27605"/>
      <w:bookmarkStart w:id="2325" w:name="_Toc2636"/>
      <w:r>
        <w:rPr>
          <w:rStyle w:val="46"/>
          <w:rFonts w:hint="eastAsia" w:ascii="宋体" w:hAnsi="宋体" w:eastAsia="宋体"/>
          <w:color w:val="auto"/>
          <w:highlight w:val="none"/>
        </w:rPr>
        <w:t>第六章</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46"/>
          <w:rFonts w:hint="eastAsia" w:hAnsi="宋体"/>
          <w:color w:val="auto"/>
          <w:highlight w:val="none"/>
        </w:rPr>
        <w:t>评审办法</w:t>
      </w:r>
      <w:bookmarkEnd w:id="2206"/>
      <w:bookmarkEnd w:id="2207"/>
      <w:bookmarkEnd w:id="2208"/>
      <w:bookmarkEnd w:id="2209"/>
      <w:bookmarkEnd w:id="2324"/>
      <w:bookmarkEnd w:id="2325"/>
    </w:p>
    <w:p>
      <w:pPr>
        <w:spacing w:before="0" w:after="0" w:afterAutospacing="0"/>
        <w:ind w:left="0" w:right="0" w:firstLine="562" w:firstLineChars="200"/>
        <w:outlineLvl w:val="1"/>
        <w:rPr>
          <w:rFonts w:ascii="宋体" w:hAnsi="宋体" w:cs="Arial"/>
          <w:b/>
          <w:bCs/>
          <w:color w:val="auto"/>
          <w:sz w:val="28"/>
          <w:szCs w:val="28"/>
          <w:highlight w:val="none"/>
        </w:rPr>
      </w:pPr>
      <w:bookmarkStart w:id="2326" w:name="_Toc32002"/>
      <w:bookmarkStart w:id="2327" w:name="_Toc43737801"/>
      <w:bookmarkStart w:id="2328" w:name="_Toc8237"/>
      <w:r>
        <w:rPr>
          <w:rFonts w:hint="eastAsia" w:ascii="宋体" w:hAnsi="宋体" w:cs="Arial"/>
          <w:b/>
          <w:bCs/>
          <w:color w:val="auto"/>
          <w:sz w:val="28"/>
          <w:szCs w:val="28"/>
          <w:highlight w:val="none"/>
        </w:rPr>
        <w:t>一、评审原则</w:t>
      </w:r>
      <w:bookmarkEnd w:id="2326"/>
      <w:bookmarkEnd w:id="2327"/>
      <w:bookmarkEnd w:id="2328"/>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329" w:name="_Toc5136"/>
      <w:bookmarkStart w:id="2330" w:name="_Toc11240"/>
      <w:bookmarkStart w:id="2331" w:name="_Toc29000"/>
      <w:bookmarkStart w:id="2332" w:name="_Toc10781"/>
      <w:bookmarkStart w:id="2333" w:name="_Toc15880"/>
      <w:bookmarkStart w:id="2334" w:name="_Toc478566177"/>
      <w:bookmarkStart w:id="2335" w:name="_Toc43737802"/>
      <w:bookmarkStart w:id="2336" w:name="_Toc22637"/>
      <w:r>
        <w:rPr>
          <w:rFonts w:hint="eastAsia" w:ascii="宋体" w:hAnsi="宋体" w:cs="Arial"/>
          <w:b/>
          <w:bCs/>
          <w:color w:val="auto"/>
          <w:sz w:val="28"/>
          <w:szCs w:val="28"/>
          <w:highlight w:val="none"/>
        </w:rPr>
        <w:t>二、评定方法</w:t>
      </w:r>
      <w:bookmarkEnd w:id="2329"/>
      <w:bookmarkEnd w:id="2330"/>
      <w:bookmarkEnd w:id="2331"/>
      <w:bookmarkEnd w:id="2332"/>
      <w:bookmarkEnd w:id="2333"/>
      <w:bookmarkEnd w:id="2334"/>
      <w:bookmarkEnd w:id="2335"/>
      <w:bookmarkEnd w:id="2336"/>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2.1对资格性和符合性检查合格的比选申请文件，采用综合评分法进行评审。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比委员会首先对比选申请人进行资格审查，评比委员会对通过资格审查的比选申请人按评分细则对技术部分、商务部分各自进行打分后进行汇总，比选申请人的最终得分是评比委员会每一位成员综合得分计算出来的算术平均值。</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评审委员会将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 评审委员会以比选文件为依据，对比选文件进行评审，满分100分，其中技术</w:t>
      </w:r>
      <w:r>
        <w:rPr>
          <w:rFonts w:hint="eastAsia" w:ascii="宋体" w:hAnsi="宋体" w:cs="Arial"/>
          <w:color w:val="auto"/>
          <w:highlight w:val="none"/>
          <w:lang w:val="en-US" w:eastAsia="zh-CN"/>
        </w:rPr>
        <w:t>得</w:t>
      </w:r>
      <w:r>
        <w:rPr>
          <w:rFonts w:hint="eastAsia" w:ascii="宋体" w:hAnsi="宋体" w:cs="Arial"/>
          <w:color w:val="auto"/>
          <w:highlight w:val="none"/>
        </w:rPr>
        <w:t>分</w:t>
      </w:r>
      <w:r>
        <w:rPr>
          <w:rFonts w:hint="eastAsia" w:ascii="宋体" w:hAnsi="宋体" w:cs="Arial"/>
          <w:color w:val="auto"/>
          <w:highlight w:val="none"/>
          <w:lang w:val="en-US" w:eastAsia="zh-CN"/>
        </w:rPr>
        <w:t>70</w:t>
      </w:r>
      <w:r>
        <w:rPr>
          <w:rFonts w:hint="eastAsia" w:ascii="宋体" w:hAnsi="宋体" w:cs="Arial"/>
          <w:color w:val="auto"/>
          <w:highlight w:val="none"/>
        </w:rPr>
        <w:t>分，商务</w:t>
      </w:r>
      <w:r>
        <w:rPr>
          <w:rFonts w:hint="eastAsia" w:ascii="宋体" w:hAnsi="宋体" w:cs="Arial"/>
          <w:color w:val="auto"/>
          <w:highlight w:val="none"/>
          <w:lang w:val="en-US" w:eastAsia="zh-CN"/>
        </w:rPr>
        <w:t>得</w:t>
      </w:r>
      <w:r>
        <w:rPr>
          <w:rFonts w:hint="eastAsia" w:ascii="宋体" w:hAnsi="宋体" w:cs="Arial"/>
          <w:color w:val="auto"/>
          <w:highlight w:val="none"/>
        </w:rPr>
        <w:t>分</w:t>
      </w:r>
      <w:r>
        <w:rPr>
          <w:rFonts w:hint="eastAsia" w:ascii="宋体" w:hAnsi="宋体" w:cs="Arial"/>
          <w:color w:val="auto"/>
          <w:highlight w:val="none"/>
          <w:lang w:val="en-US" w:eastAsia="zh-CN"/>
        </w:rPr>
        <w:t>30</w:t>
      </w:r>
      <w:r>
        <w:rPr>
          <w:rFonts w:hint="eastAsia" w:ascii="宋体" w:hAnsi="宋体" w:cs="Arial"/>
          <w:color w:val="auto"/>
          <w:highlight w:val="none"/>
        </w:rPr>
        <w:t>分。（评标时，对于带有主观因素的评分，由各评委独立进行评价、打分，不允许讨论。）</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资格审查采用定性评审法，评审小组对比选申请人的资格条件、比选申请文件的完整性和有效性、比选申请文件的有效期等方面进行审查。通过资格评审的比选申请文件进入技术、商务评审。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firstLineChars="0"/>
        <w:rPr>
          <w:rFonts w:ascii="宋体" w:hAnsi="宋体"/>
          <w:b/>
          <w:color w:val="auto"/>
          <w:highlight w:val="none"/>
        </w:rPr>
      </w:pPr>
      <w:r>
        <w:rPr>
          <w:rFonts w:ascii="宋体" w:hAnsi="宋体"/>
          <w:b/>
          <w:color w:val="auto"/>
          <w:highlight w:val="none"/>
          <w:u w:val="none"/>
        </w:rPr>
        <w:t>3.2技术、商务评审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u w:val="none"/>
        </w:rPr>
        <w:t>3.2.1</w:t>
      </w:r>
      <w:r>
        <w:rPr>
          <w:rFonts w:hint="eastAsia" w:ascii="宋体" w:hAnsi="宋体" w:eastAsia="宋体"/>
          <w:color w:val="auto"/>
          <w:sz w:val="21"/>
          <w:szCs w:val="21"/>
          <w:highlight w:val="none"/>
          <w:u w:val="none"/>
          <w:shd w:val="clear" w:color="auto" w:fill="auto"/>
        </w:rPr>
        <w:t>评审小组按照比选文件的要求，对比选申请文件的响应进行比较，</w:t>
      </w:r>
      <w:r>
        <w:rPr>
          <w:rFonts w:hint="eastAsia" w:ascii="宋体" w:hAnsi="宋体"/>
          <w:color w:val="auto"/>
          <w:highlight w:val="none"/>
        </w:rPr>
        <w:t>参照“第六章</w:t>
      </w:r>
      <w:r>
        <w:rPr>
          <w:rFonts w:ascii="宋体" w:hAnsi="宋体" w:eastAsia="宋体"/>
          <w:color w:val="auto"/>
          <w:sz w:val="21"/>
          <w:szCs w:val="21"/>
          <w:highlight w:val="none"/>
          <w:u w:val="none"/>
          <w:shd w:val="clear" w:color="auto" w:fill="auto"/>
        </w:rPr>
        <w:t>3.2.8</w:t>
      </w:r>
      <w:r>
        <w:rPr>
          <w:rFonts w:hint="eastAsia" w:ascii="宋体" w:hAnsi="宋体" w:eastAsia="宋体"/>
          <w:color w:val="auto"/>
          <w:sz w:val="21"/>
          <w:szCs w:val="21"/>
          <w:highlight w:val="none"/>
          <w:u w:val="none"/>
          <w:shd w:val="clear" w:color="auto" w:fill="auto"/>
        </w:rPr>
        <w:t>综合评分法细则”对技术、商务内容进行评审、打分。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2.2</w:t>
      </w:r>
      <w:r>
        <w:rPr>
          <w:rFonts w:ascii="宋体" w:hAnsi="宋体" w:eastAsia="宋体"/>
          <w:color w:val="auto"/>
          <w:sz w:val="21"/>
          <w:szCs w:val="21"/>
          <w:highlight w:val="none"/>
          <w:u w:val="none"/>
          <w:shd w:val="clear" w:color="auto" w:fill="auto"/>
        </w:rPr>
        <w:t xml:space="preserve"> 商务报价评审应以报价口径范围一致的评审价为依据。评审价应在报价的基础上，按照下列约定的因素和方法进行计算（比选申请人如拒绝下述修正的，则属重大偏差，按无效报价处理）：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 xml:space="preserve"> 如果数字表示的金额和用文字表示的金额不一致时，应以文字表示的金额为准；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4</w:t>
      </w:r>
      <w:r>
        <w:rPr>
          <w:rFonts w:ascii="宋体" w:hAnsi="宋体" w:eastAsia="宋体"/>
          <w:color w:val="auto"/>
          <w:sz w:val="21"/>
          <w:szCs w:val="21"/>
          <w:highlight w:val="none"/>
          <w:u w:val="none"/>
          <w:shd w:val="clear" w:color="auto" w:fill="auto"/>
        </w:rPr>
        <w:t xml:space="preserve"> 当单价与数量的乘积与合价不一致时，以合价为准，并调整单价；</w:t>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5</w:t>
      </w:r>
      <w:r>
        <w:rPr>
          <w:rFonts w:ascii="宋体" w:hAnsi="宋体" w:eastAsia="宋体"/>
          <w:color w:val="auto"/>
          <w:sz w:val="21"/>
          <w:szCs w:val="21"/>
          <w:highlight w:val="none"/>
          <w:u w:val="none"/>
          <w:shd w:val="clear" w:color="auto" w:fill="auto"/>
        </w:rPr>
        <w:t xml:space="preserve"> 当合价与总价不一致时，以总价为准，调整相关合价；</w:t>
      </w:r>
      <w:r>
        <w:rPr>
          <w:rFonts w:ascii="宋体" w:hAnsi="宋体"/>
          <w:color w:val="auto"/>
          <w:highlight w:val="none"/>
        </w:rPr>
        <w:tab/>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6</w:t>
      </w:r>
      <w:r>
        <w:rPr>
          <w:rFonts w:ascii="宋体" w:hAnsi="宋体" w:eastAsia="宋体"/>
          <w:color w:val="auto"/>
          <w:sz w:val="21"/>
          <w:szCs w:val="21"/>
          <w:highlight w:val="none"/>
          <w:u w:val="none"/>
          <w:shd w:val="clear" w:color="auto" w:fill="auto"/>
        </w:rPr>
        <w:t xml:space="preserve"> 评审期间不接受任何比选申请人主动提出的对单价、合价及总价的调整；</w:t>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7</w:t>
      </w:r>
      <w:r>
        <w:rPr>
          <w:rFonts w:ascii="宋体" w:hAnsi="宋体" w:eastAsia="宋体"/>
          <w:color w:val="auto"/>
          <w:sz w:val="21"/>
          <w:szCs w:val="21"/>
          <w:highlight w:val="none"/>
          <w:u w:val="none"/>
          <w:shd w:val="clear" w:color="auto" w:fill="auto"/>
        </w:rPr>
        <w:t xml:space="preserve"> 其它未尽事宜，由评审小组审议确定；如意见不一致时，以记名方式投票确定。</w:t>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eastAsia="宋体"/>
          <w:color w:val="auto"/>
          <w:sz w:val="21"/>
          <w:szCs w:val="21"/>
          <w:highlight w:val="none"/>
          <w:u w:val="none"/>
          <w:shd w:val="clear" w:color="auto" w:fill="auto"/>
        </w:rPr>
        <w:t>.</w:t>
      </w:r>
      <w:r>
        <w:rPr>
          <w:rFonts w:hint="eastAsia" w:ascii="宋体" w:hAnsi="宋体"/>
          <w:color w:val="auto"/>
          <w:highlight w:val="none"/>
        </w:rPr>
        <w:t>2.8</w:t>
      </w:r>
      <w:r>
        <w:rPr>
          <w:rFonts w:hint="eastAsia" w:ascii="宋体" w:hAnsi="宋体" w:eastAsia="宋体"/>
          <w:color w:val="auto"/>
          <w:sz w:val="21"/>
          <w:szCs w:val="21"/>
          <w:highlight w:val="none"/>
          <w:u w:val="none"/>
          <w:shd w:val="clear" w:color="auto" w:fill="auto"/>
        </w:rPr>
        <w:t>综合评分法细则：</w:t>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eastAsia="宋体"/>
          <w:color w:val="auto"/>
          <w:sz w:val="21"/>
          <w:szCs w:val="21"/>
          <w:highlight w:val="none"/>
          <w:u w:val="none"/>
          <w:shd w:val="clear" w:color="auto" w:fill="auto"/>
        </w:rPr>
        <w:t>（一）评审委员会以比选文件为依据，对比选文件进行评审，满分100分，其中技术</w:t>
      </w:r>
      <w:r>
        <w:rPr>
          <w:rFonts w:hint="eastAsia" w:ascii="宋体" w:hAnsi="宋体"/>
          <w:color w:val="auto"/>
          <w:sz w:val="21"/>
          <w:szCs w:val="21"/>
          <w:highlight w:val="none"/>
          <w:u w:val="none"/>
          <w:shd w:val="clear" w:color="auto" w:fill="auto"/>
          <w:lang w:val="en-US" w:eastAsia="zh-CN"/>
        </w:rPr>
        <w:t>得</w:t>
      </w:r>
      <w:r>
        <w:rPr>
          <w:rFonts w:hint="eastAsia" w:ascii="宋体" w:hAnsi="宋体" w:eastAsia="宋体"/>
          <w:color w:val="auto"/>
          <w:sz w:val="21"/>
          <w:szCs w:val="21"/>
          <w:highlight w:val="none"/>
          <w:u w:val="none"/>
          <w:shd w:val="clear" w:color="auto" w:fill="auto"/>
        </w:rPr>
        <w:t>分</w:t>
      </w:r>
      <w:r>
        <w:rPr>
          <w:rFonts w:hint="eastAsia" w:ascii="宋体" w:hAnsi="宋体"/>
          <w:color w:val="auto"/>
          <w:highlight w:val="none"/>
          <w:lang w:val="en-US" w:eastAsia="zh-CN"/>
        </w:rPr>
        <w:t>70</w:t>
      </w:r>
      <w:r>
        <w:rPr>
          <w:rFonts w:hint="eastAsia" w:ascii="宋体" w:hAnsi="宋体" w:eastAsia="宋体"/>
          <w:color w:val="auto"/>
          <w:sz w:val="21"/>
          <w:szCs w:val="21"/>
          <w:highlight w:val="none"/>
          <w:u w:val="none"/>
          <w:shd w:val="clear" w:color="auto" w:fill="auto"/>
        </w:rPr>
        <w:t>分，商务</w:t>
      </w:r>
      <w:r>
        <w:rPr>
          <w:rFonts w:hint="eastAsia" w:ascii="宋体" w:hAnsi="宋体"/>
          <w:color w:val="auto"/>
          <w:sz w:val="21"/>
          <w:szCs w:val="21"/>
          <w:highlight w:val="none"/>
          <w:u w:val="none"/>
          <w:shd w:val="clear" w:color="auto" w:fill="auto"/>
          <w:lang w:val="en-US" w:eastAsia="zh-CN"/>
        </w:rPr>
        <w:t>得</w:t>
      </w:r>
      <w:r>
        <w:rPr>
          <w:rFonts w:hint="eastAsia" w:ascii="宋体" w:hAnsi="宋体" w:eastAsia="宋体"/>
          <w:color w:val="auto"/>
          <w:sz w:val="21"/>
          <w:szCs w:val="21"/>
          <w:highlight w:val="none"/>
          <w:u w:val="none"/>
          <w:shd w:val="clear" w:color="auto" w:fill="auto"/>
        </w:rPr>
        <w:t>分</w:t>
      </w:r>
      <w:r>
        <w:rPr>
          <w:rFonts w:hint="eastAsia" w:ascii="宋体" w:hAnsi="宋体"/>
          <w:color w:val="auto"/>
          <w:highlight w:val="none"/>
          <w:lang w:val="en-US" w:eastAsia="zh-CN"/>
        </w:rPr>
        <w:t>30</w:t>
      </w:r>
      <w:r>
        <w:rPr>
          <w:rFonts w:hint="eastAsia" w:ascii="宋体" w:hAnsi="宋体" w:eastAsia="宋体"/>
          <w:color w:val="auto"/>
          <w:sz w:val="21"/>
          <w:szCs w:val="21"/>
          <w:highlight w:val="none"/>
          <w:u w:val="none"/>
          <w:shd w:val="clear" w:color="auto" w:fill="auto"/>
        </w:rPr>
        <w:t>分，（评标时，对于带有主观因素的评分，由各评委独立进行评价、打分，不允许讨论。）</w:t>
      </w:r>
    </w:p>
    <w:p>
      <w:pPr>
        <w:tabs>
          <w:tab w:val="left" w:pos="7125"/>
        </w:tabs>
        <w:spacing w:before="0" w:after="0" w:afterAutospacing="0"/>
        <w:ind w:left="0" w:right="0" w:firstLine="420" w:firstLineChars="200"/>
        <w:rPr>
          <w:rFonts w:ascii="宋体" w:hAnsi="宋体"/>
          <w:color w:val="auto"/>
          <w:highlight w:val="none"/>
        </w:rPr>
      </w:pPr>
      <w:r>
        <w:rPr>
          <w:rFonts w:hint="eastAsia" w:ascii="宋体" w:hAnsi="宋体" w:eastAsia="宋体"/>
          <w:color w:val="auto"/>
          <w:sz w:val="21"/>
          <w:szCs w:val="21"/>
          <w:highlight w:val="none"/>
          <w:u w:val="none"/>
          <w:shd w:val="clear" w:color="auto" w:fill="auto"/>
        </w:rPr>
        <w:t>（二）评分细则：（按四舍五入取至小数点后两位）</w:t>
      </w:r>
    </w:p>
    <w:p>
      <w:pPr>
        <w:tabs>
          <w:tab w:val="left" w:pos="567"/>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3.3</w:t>
      </w:r>
      <w:r>
        <w:rPr>
          <w:rFonts w:ascii="宋体" w:hAnsi="宋体"/>
          <w:b/>
          <w:color w:val="auto"/>
          <w:highlight w:val="none"/>
        </w:rPr>
        <w:t>澄清或补正</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tabs>
          <w:tab w:val="left" w:pos="851"/>
          <w:tab w:val="left" w:pos="113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3.4评审结果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通过商务评审及技术评审计算出比选申请人的实际评审得分，填写《比选申请最终评分表》（见附表四），由评审委员根据通过资格审查及符合性评审的比选申请人</w:t>
      </w:r>
      <w:r>
        <w:rPr>
          <w:rFonts w:hint="eastAsia" w:ascii="宋体" w:hAnsi="宋体" w:eastAsia="宋体" w:cs="宋体"/>
          <w:color w:val="auto"/>
          <w:kern w:val="0"/>
          <w:sz w:val="21"/>
          <w:szCs w:val="21"/>
          <w:highlight w:val="none"/>
          <w:lang w:val="en-US" w:eastAsia="zh-CN" w:bidi="ar"/>
        </w:rPr>
        <w:t>得分</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）评审委员会根据评分按由高到低的顺序进行排序。</w:t>
      </w:r>
      <w:r>
        <w:rPr>
          <w:rFonts w:ascii="宋体" w:hAnsi="宋体"/>
          <w:color w:val="auto"/>
          <w:highlight w:val="none"/>
        </w:rPr>
        <w:t>并在评审报告中</w:t>
      </w:r>
      <w:r>
        <w:rPr>
          <w:rFonts w:hint="eastAsia" w:ascii="宋体" w:hAnsi="宋体"/>
          <w:color w:val="auto"/>
          <w:highlight w:val="none"/>
        </w:rPr>
        <w:t>推荐评分最高的比选申请人为第一中选候选人，推荐第二高者为第二中选候选人，第三高者为第三中选候选人。如果有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个以上的比选申请人得分且比选申请报价相同的，由评标委员会以不记名投票的方式按少数服从多数的原则决定其排名顺序。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u w:val="none"/>
        </w:rPr>
        <w:t>（</w:t>
      </w:r>
      <w:r>
        <w:rPr>
          <w:rFonts w:ascii="宋体" w:hAnsi="宋体"/>
          <w:b/>
          <w:color w:val="auto"/>
          <w:highlight w:val="none"/>
          <w:u w:val="none"/>
        </w:rPr>
        <w:t>1）</w:t>
      </w:r>
      <w:r>
        <w:rPr>
          <w:rFonts w:hint="eastAsia" w:ascii="宋体" w:hAnsi="宋体"/>
          <w:b/>
          <w:color w:val="auto"/>
          <w:highlight w:val="none"/>
        </w:rPr>
        <w:t>不符合附表一《资格审查表》规定的</w:t>
      </w:r>
      <w:r>
        <w:rPr>
          <w:rFonts w:ascii="宋体" w:hAnsi="宋体"/>
          <w:b/>
          <w:color w:val="auto"/>
          <w:highlight w:val="none"/>
          <w:u w:val="none"/>
        </w:rPr>
        <w:t>；</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（5）比选申请文件实质上不符合比选文件的要求的；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（6）比选申请人以经评审委员会评审认定为低于成本的报价竞标；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r>
        <w:rPr>
          <w:rFonts w:hint="eastAsia" w:ascii="宋体" w:hAnsi="宋体"/>
          <w:b/>
          <w:color w:val="auto"/>
          <w:highlight w:val="none"/>
        </w:rPr>
        <w:t>（9）比选申请人以他人的名义比选申请、串通比选申请、以行贿手段谋取中选或者以其他弄虚作假方式比选申请的。</w:t>
      </w:r>
    </w:p>
    <w:p>
      <w:pPr>
        <w:keepNext w:val="0"/>
        <w:keepLines w:val="0"/>
        <w:widowControl/>
        <w:suppressLineNumbers w:val="0"/>
        <w:spacing w:before="0" w:beforeAutospacing="0" w:after="0" w:afterAutospacing="1" w:line="360" w:lineRule="auto"/>
        <w:ind w:left="0" w:right="0" w:firstLine="0"/>
        <w:jc w:val="left"/>
        <w:rPr>
          <w:rFonts w:hint="default" w:ascii="Times New Roman" w:hAnsi="Times New Roman"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附表一：资格审查表</w:t>
      </w:r>
    </w:p>
    <w:p>
      <w:pPr>
        <w:keepNext w:val="0"/>
        <w:keepLines w:val="0"/>
        <w:widowControl/>
        <w:suppressLineNumbers w:val="0"/>
        <w:spacing w:before="0" w:beforeAutospacing="0" w:after="0" w:afterAutospacing="0" w:line="360" w:lineRule="auto"/>
        <w:ind w:left="0" w:right="0" w:firstLine="422" w:firstLineChars="200"/>
        <w:jc w:val="left"/>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0" w:line="360" w:lineRule="auto"/>
        <w:ind w:left="0" w:right="0" w:firstLine="422" w:firstLineChars="20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资格审查表</w:t>
      </w:r>
    </w:p>
    <w:p>
      <w:pPr>
        <w:keepNext w:val="0"/>
        <w:keepLines w:val="0"/>
        <w:widowControl/>
        <w:suppressLineNumbers w:val="0"/>
        <w:spacing w:before="0" w:beforeAutospacing="0" w:after="0" w:afterAutospacing="0" w:line="360" w:lineRule="auto"/>
        <w:ind w:left="0" w:right="0" w:firstLine="422" w:firstLineChars="200"/>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kern w:val="0"/>
          <w:sz w:val="21"/>
          <w:szCs w:val="21"/>
          <w:highlight w:val="none"/>
          <w:lang w:val="en-US" w:eastAsia="zh-CN" w:bidi="ar"/>
        </w:rPr>
        <w:t xml:space="preserve"> </w:t>
      </w:r>
    </w:p>
    <w:tbl>
      <w:tblPr>
        <w:tblStyle w:val="3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15"/>
        <w:gridCol w:w="708"/>
        <w:gridCol w:w="2691"/>
        <w:gridCol w:w="1700"/>
        <w:gridCol w:w="990"/>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序号</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项目内容</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合格条件标准</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评审依据</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评审结果（合格</w:t>
            </w:r>
            <w:r>
              <w:rPr>
                <w:rFonts w:hint="eastAsia" w:ascii="宋体" w:hAnsi="宋体" w:eastAsia="宋体" w:cs="Times New 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不合格）</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身份证明材料</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法定代表人授权书及法定代表人资格证明书（如无授权时，只需提供法定代表人资格证明书）、法定代表人及被授权人身份证复印件。</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法定代表人授权书，法定代表人资格证明书和身份证复印件</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提供法定代表人授权书及法定代表人资格证明书（如无授权时，只需提供法定代表人资格证明书），法人及被授权人身份证复印件加盖公章。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比选申请人资格</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cs="宋体"/>
                <w:color w:val="auto"/>
                <w:kern w:val="0"/>
                <w:sz w:val="21"/>
                <w:szCs w:val="21"/>
                <w:highlight w:val="none"/>
                <w:lang w:val="en-US" w:eastAsia="zh-CN" w:bidi="ar"/>
              </w:rPr>
              <w:t>比选</w:t>
            </w:r>
            <w:r>
              <w:rPr>
                <w:rFonts w:hint="eastAsia" w:ascii="宋体" w:hAnsi="宋体" w:eastAsia="宋体" w:cs="宋体"/>
                <w:color w:val="auto"/>
                <w:kern w:val="0"/>
                <w:sz w:val="21"/>
                <w:szCs w:val="21"/>
                <w:highlight w:val="none"/>
                <w:lang w:val="en-US" w:eastAsia="zh-CN" w:bidi="ar"/>
              </w:rPr>
              <w:t>申请人为中华人民共和国境内</w:t>
            </w:r>
            <w:r>
              <w:rPr>
                <w:rFonts w:hint="default" w:ascii="Malgun Gothic" w:hAnsi="Malgun Gothic" w:eastAsia="Malgun Gothic" w:cs="Malgun Gothic"/>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不含香港</w:t>
            </w:r>
            <w:r>
              <w:rPr>
                <w:rFonts w:hint="default" w:ascii="Malgun Gothic" w:hAnsi="Malgun Gothic" w:eastAsia="Malgun Gothic" w:cs="Malgun Gothic"/>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澳门及台湾地区</w:t>
            </w:r>
            <w:r>
              <w:rPr>
                <w:rFonts w:hint="default" w:ascii="Malgun Gothic" w:hAnsi="Malgun Gothic" w:eastAsia="Malgun Gothic" w:cs="Malgun Gothic"/>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依法设立的法人或其他组织</w:t>
            </w:r>
            <w:r>
              <w:rPr>
                <w:rFonts w:hint="default" w:ascii="Malgun Gothic" w:hAnsi="Malgun Gothic" w:eastAsia="Malgun Gothic" w:cs="Malgun Gothic"/>
                <w:color w:val="auto"/>
                <w:kern w:val="0"/>
                <w:sz w:val="21"/>
                <w:szCs w:val="21"/>
                <w:highlight w:val="none"/>
                <w:lang w:val="en-US" w:eastAsia="zh-CN" w:bidi="ar"/>
              </w:rPr>
              <w:t>。</w:t>
            </w:r>
            <w:r>
              <w:rPr>
                <w:rFonts w:hint="eastAsia" w:ascii="宋体" w:hAnsi="宋体" w:eastAsia="宋体"/>
                <w:color w:val="auto"/>
                <w:highlight w:val="none"/>
                <w:lang w:eastAsia="zh-CN"/>
              </w:rPr>
              <w:t>单位负责人为同一人或者存在控股、管理关系的不同单位，不得参加同一标段比选申请或者未划分标段的同一比选项目比选申请</w:t>
            </w:r>
            <w:r>
              <w:rPr>
                <w:rFonts w:hint="eastAsia" w:ascii="宋体" w:hAnsi="宋体"/>
                <w:color w:val="auto"/>
                <w:highlight w:val="none"/>
                <w:lang w:eastAsia="zh-CN"/>
              </w:rPr>
              <w:t>。</w:t>
            </w:r>
            <w:r>
              <w:rPr>
                <w:rFonts w:hint="eastAsia" w:ascii="宋体" w:hAnsi="宋体" w:eastAsia="宋体" w:cs="宋体"/>
                <w:color w:val="auto"/>
                <w:kern w:val="0"/>
                <w:sz w:val="21"/>
                <w:szCs w:val="21"/>
                <w:highlight w:val="none"/>
                <w:lang w:val="en-US" w:eastAsia="zh-CN" w:bidi="ar"/>
              </w:rPr>
              <w:t>需要具备城市客运专业资质类型，并向交通运输部备案的一级评价资质</w:t>
            </w:r>
            <w:r>
              <w:rPr>
                <w:rFonts w:hint="default" w:ascii="Malgun Gothic" w:hAnsi="Malgun Gothic" w:eastAsia="Malgun Gothic" w:cs="Malgun Gothic"/>
                <w:color w:val="auto"/>
                <w:kern w:val="0"/>
                <w:sz w:val="21"/>
                <w:szCs w:val="21"/>
                <w:highlight w:val="none"/>
                <w:lang w:val="en-US" w:eastAsia="zh-CN" w:bidi="ar"/>
              </w:rPr>
              <w:t>。</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营业执照副本或事业单位法人证书等证明文件、安全生产标准化一级评价资质文件</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比选申请人有效的营业执照或事业单位法人证书复印件、安全生产标准化一级评价资质文件（如提供“交通运输企业安全生产标</w:t>
            </w:r>
            <w:r>
              <w:rPr>
                <w:rFonts w:hint="eastAsia" w:ascii="宋体" w:hAnsi="宋体" w:eastAsia="宋体" w:cs="宋体"/>
                <w:color w:val="auto"/>
                <w:highlight w:val="none"/>
                <w:lang w:val="en-US" w:eastAsia="zh-CN"/>
              </w:rPr>
              <w:t>准化建设信用信息管理系统”截图，能显示专业类型为城市客运、等级为一级的资质备案截图等其他的证明材料</w:t>
            </w:r>
            <w:r>
              <w:rPr>
                <w:rFonts w:hint="eastAsia" w:ascii="宋体" w:hAnsi="宋体" w:eastAsia="宋体" w:cs="宋体"/>
                <w:color w:val="auto"/>
                <w:kern w:val="0"/>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承诺书</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1.比选申请人没有处于被责令停业，或资格被住建部、应急</w:t>
            </w:r>
            <w:r>
              <w:rPr>
                <w:rFonts w:hint="eastAsia" w:ascii="宋体" w:hAnsi="宋体" w:cs="宋体"/>
                <w:color w:val="auto"/>
                <w:kern w:val="0"/>
                <w:sz w:val="21"/>
                <w:szCs w:val="21"/>
                <w:highlight w:val="none"/>
                <w:lang w:val="en-US" w:eastAsia="zh-CN" w:bidi="ar"/>
              </w:rPr>
              <w:t>管理</w:t>
            </w:r>
            <w:r>
              <w:rPr>
                <w:rFonts w:hint="eastAsia" w:ascii="宋体" w:hAnsi="宋体" w:eastAsia="宋体" w:cs="宋体"/>
                <w:color w:val="auto"/>
                <w:kern w:val="0"/>
                <w:sz w:val="21"/>
                <w:szCs w:val="21"/>
                <w:highlight w:val="none"/>
                <w:lang w:val="en-US" w:eastAsia="zh-CN" w:bidi="ar"/>
              </w:rPr>
              <w:t>部、广西或南宁市建设行政主管部门取消，或财产被接管、破产状态；在</w:t>
            </w:r>
            <w:r>
              <w:rPr>
                <w:rFonts w:hint="eastAsia" w:ascii="宋体" w:hAnsi="宋体" w:cs="宋体"/>
                <w:color w:val="auto"/>
                <w:kern w:val="0"/>
                <w:sz w:val="21"/>
                <w:szCs w:val="21"/>
                <w:highlight w:val="none"/>
                <w:lang w:val="en-US" w:eastAsia="zh-CN" w:bidi="ar"/>
              </w:rPr>
              <w:t>比选申请</w:t>
            </w:r>
            <w:r>
              <w:rPr>
                <w:rFonts w:hint="eastAsia" w:ascii="宋体" w:hAnsi="宋体" w:eastAsia="宋体" w:cs="宋体"/>
                <w:color w:val="auto"/>
                <w:kern w:val="0"/>
                <w:sz w:val="21"/>
                <w:szCs w:val="21"/>
                <w:highlight w:val="none"/>
                <w:lang w:val="en-US" w:eastAsia="zh-CN" w:bidi="ar"/>
              </w:rPr>
              <w:t>截止</w:t>
            </w:r>
            <w:r>
              <w:rPr>
                <w:rFonts w:hint="eastAsia" w:ascii="宋体" w:hAnsi="宋体" w:cs="宋体"/>
                <w:color w:val="auto"/>
                <w:kern w:val="0"/>
                <w:sz w:val="21"/>
                <w:szCs w:val="21"/>
                <w:highlight w:val="none"/>
                <w:lang w:val="en-US" w:eastAsia="zh-CN" w:bidi="ar"/>
              </w:rPr>
              <w:t>时间</w:t>
            </w:r>
            <w:r>
              <w:rPr>
                <w:rFonts w:hint="eastAsia" w:ascii="宋体" w:hAnsi="宋体" w:eastAsia="宋体" w:cs="宋体"/>
                <w:color w:val="auto"/>
                <w:kern w:val="0"/>
                <w:sz w:val="21"/>
                <w:szCs w:val="21"/>
                <w:highlight w:val="none"/>
                <w:lang w:val="en-US" w:eastAsia="zh-CN" w:bidi="ar"/>
              </w:rPr>
              <w:t>前</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年内没有骗取中标</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、严重违约或被拉入黑名单的记录。</w:t>
            </w:r>
          </w:p>
          <w:p>
            <w:pPr>
              <w:keepNext w:val="0"/>
              <w:keepLines w:val="0"/>
              <w:widowControl/>
              <w:suppressLineNumbers w:val="0"/>
              <w:spacing w:before="0" w:beforeAutospacing="0" w:after="0" w:afterAutospacing="0" w:line="360" w:lineRule="auto"/>
              <w:ind w:left="0" w:right="0" w:firstLine="0"/>
              <w:jc w:val="both"/>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2. 近</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年内未受到交通行业主管部门违规评价处理通报</w:t>
            </w:r>
            <w:r>
              <w:rPr>
                <w:rFonts w:hint="eastAsia" w:ascii="宋体" w:hAnsi="宋体" w:cs="宋体"/>
                <w:color w:val="auto"/>
                <w:kern w:val="0"/>
                <w:sz w:val="21"/>
                <w:szCs w:val="21"/>
                <w:highlight w:val="none"/>
                <w:lang w:val="en-US" w:eastAsia="zh-CN" w:bidi="ar"/>
              </w:rPr>
              <w:t>。</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承诺书原件</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按规定格式提供承诺书</w:t>
            </w:r>
          </w:p>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企业业绩</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r>
              <w:rPr>
                <w:rFonts w:hint="eastAsia" w:ascii="宋体" w:hAnsi="宋体" w:cs="宋体"/>
                <w:color w:val="auto"/>
                <w:kern w:val="0"/>
                <w:sz w:val="21"/>
                <w:szCs w:val="21"/>
                <w:highlight w:val="none"/>
                <w:lang w:val="en-US" w:eastAsia="zh-CN" w:bidi="ar"/>
              </w:rPr>
              <w:t>比选</w:t>
            </w:r>
            <w:r>
              <w:rPr>
                <w:rFonts w:hint="eastAsia" w:ascii="宋体" w:hAnsi="宋体" w:eastAsia="宋体" w:cs="宋体"/>
                <w:color w:val="auto"/>
                <w:kern w:val="0"/>
                <w:sz w:val="21"/>
                <w:szCs w:val="21"/>
                <w:highlight w:val="none"/>
                <w:lang w:val="en-US" w:eastAsia="zh-CN" w:bidi="ar"/>
              </w:rPr>
              <w:t>申请人自2019年1月1日至</w:t>
            </w:r>
            <w:r>
              <w:rPr>
                <w:rFonts w:hint="eastAsia" w:ascii="宋体" w:hAnsi="宋体" w:cs="宋体"/>
                <w:color w:val="auto"/>
                <w:highlight w:val="none"/>
                <w:lang w:bidi="ar"/>
              </w:rPr>
              <w:t>比选申请截止时间前</w:t>
            </w:r>
            <w:r>
              <w:rPr>
                <w:rFonts w:hint="eastAsia" w:ascii="宋体" w:hAnsi="宋体" w:eastAsia="宋体" w:cs="宋体"/>
                <w:color w:val="auto"/>
                <w:kern w:val="0"/>
                <w:sz w:val="21"/>
                <w:szCs w:val="21"/>
                <w:highlight w:val="none"/>
                <w:lang w:val="en-US" w:eastAsia="zh-CN" w:bidi="ar"/>
              </w:rPr>
              <w:t>至少具有1项在中华人民共和国境内的类似项目业绩，类似业绩是指城市轨道交通运营企业安全生产标准化一级达标项目业绩。</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spacing w:beforeAutospacing="0"/>
              <w:ind w:left="0" w:leftChars="0" w:firstLine="0" w:firstLineChars="0"/>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比选申请人类似项目业绩表，同时比选申请人须提供业绩证明文件：合同复印件，证明文件中须体现出合同双方、合同签订时间、合同金额（或数量）、反映业绩特征的内容等，否则视为无效证明文件。</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b/>
                <w:bCs w:val="0"/>
                <w:color w:val="auto"/>
                <w:sz w:val="21"/>
                <w:szCs w:val="21"/>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spacing w:beforeAutospacing="0"/>
              <w:ind w:leftChars="200"/>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73"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73" w:lineRule="auto"/>
              <w:ind w:left="0" w:right="0" w:firstLine="0"/>
              <w:jc w:val="both"/>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联合体</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73" w:lineRule="auto"/>
              <w:ind w:left="0" w:right="0"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比选申请人非联合体比选申请</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73" w:lineRule="auto"/>
              <w:ind w:left="0" w:right="0" w:firstLine="0"/>
              <w:jc w:val="both"/>
              <w:rPr>
                <w:rFonts w:hint="default" w:ascii="Times New Roman"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本项目不接受联合体比选申请</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b/>
                <w:bCs w:val="0"/>
                <w:color w:val="auto"/>
                <w:sz w:val="21"/>
                <w:szCs w:val="21"/>
                <w:highlight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highlight w:val="none"/>
              </w:rPr>
            </w:pPr>
          </w:p>
        </w:tc>
      </w:tr>
    </w:tbl>
    <w:p>
      <w:pPr>
        <w:rPr>
          <w:rFonts w:hint="eastAsia" w:ascii="宋体" w:hAnsi="宋体" w:eastAsia="宋体" w:cs="Times New Roman"/>
          <w:b/>
          <w:color w:val="auto"/>
          <w:sz w:val="21"/>
          <w:szCs w:val="21"/>
          <w:highlight w:val="none"/>
        </w:rPr>
        <w:sectPr>
          <w:pgSz w:w="11905" w:h="16838" w:orient="landscape"/>
          <w:pgMar w:top="1417" w:right="1417" w:bottom="1304" w:left="1417" w:header="454" w:footer="567" w:gutter="0"/>
          <w:pgNumType w:fmt="decimal"/>
          <w:cols w:space="0" w:num="1"/>
          <w:rtlGutter w:val="0"/>
          <w:docGrid w:type="lines" w:linePitch="312" w:charSpace="0"/>
        </w:sectPr>
      </w:pPr>
    </w:p>
    <w:p>
      <w:pPr>
        <w:keepNext w:val="0"/>
        <w:keepLines w:val="0"/>
        <w:widowControl/>
        <w:suppressLineNumbers w:val="0"/>
        <w:spacing w:before="0" w:beforeAutospacing="0" w:after="0" w:afterAutospacing="1" w:line="360" w:lineRule="auto"/>
        <w:ind w:left="0" w:right="0" w:firstLine="0"/>
        <w:jc w:val="left"/>
        <w:rPr>
          <w:rFonts w:hint="default" w:ascii="Times New Roman" w:hAnsi="Times New Roman"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附表二：技术部分评分表</w:t>
      </w:r>
    </w:p>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技术部分评分表（满分</w:t>
      </w:r>
      <w:r>
        <w:rPr>
          <w:rFonts w:hint="default" w:ascii="Times New Roman" w:hAnsi="Times New Roman" w:eastAsia="宋体" w:cs="Times New Roman"/>
          <w:b/>
          <w:bCs w:val="0"/>
          <w:color w:val="auto"/>
          <w:kern w:val="0"/>
          <w:sz w:val="21"/>
          <w:szCs w:val="21"/>
          <w:highlight w:val="none"/>
          <w:lang w:val="en-US" w:eastAsia="zh-CN" w:bidi="ar"/>
        </w:rPr>
        <w:t>70</w:t>
      </w:r>
      <w:r>
        <w:rPr>
          <w:rFonts w:hint="eastAsia" w:ascii="宋体" w:hAnsi="宋体" w:eastAsia="宋体" w:cs="宋体"/>
          <w:b/>
          <w:bCs w:val="0"/>
          <w:color w:val="auto"/>
          <w:kern w:val="0"/>
          <w:sz w:val="21"/>
          <w:szCs w:val="21"/>
          <w:highlight w:val="none"/>
          <w:lang w:val="en-US" w:eastAsia="zh-CN" w:bidi="ar"/>
        </w:rPr>
        <w:t>分）</w:t>
      </w:r>
    </w:p>
    <w:p>
      <w:pPr>
        <w:keepNext w:val="0"/>
        <w:keepLines w:val="0"/>
        <w:widowControl/>
        <w:suppressLineNumbers w:val="0"/>
        <w:spacing w:before="120" w:beforeAutospacing="0" w:after="0" w:afterAutospacing="1" w:line="360" w:lineRule="auto"/>
        <w:ind w:left="709" w:right="-27" w:hanging="709"/>
        <w:jc w:val="center"/>
        <w:rPr>
          <w:rFonts w:hint="default" w:ascii="Times New Roman" w:hAnsi="宋体" w:eastAsia="宋体" w:cs="Times New Roman"/>
          <w:b/>
          <w:bCs w:val="0"/>
          <w:color w:val="auto"/>
          <w:sz w:val="24"/>
          <w:szCs w:val="24"/>
          <w:highlight w:val="none"/>
        </w:rPr>
      </w:pPr>
      <w:r>
        <w:rPr>
          <w:rFonts w:hint="default" w:ascii="Times New Roman" w:hAnsi="宋体" w:eastAsia="宋体" w:cs="Times New Roman"/>
          <w:b/>
          <w:bCs w:val="0"/>
          <w:color w:val="auto"/>
          <w:kern w:val="0"/>
          <w:sz w:val="24"/>
          <w:szCs w:val="24"/>
          <w:highlight w:val="none"/>
          <w:lang w:val="en-US" w:eastAsia="zh-CN" w:bidi="ar"/>
        </w:rPr>
        <w:t xml:space="preserve"> </w:t>
      </w:r>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57" w:type="dxa"/>
          <w:bottom w:w="0" w:type="dxa"/>
          <w:right w:w="57" w:type="dxa"/>
        </w:tblCellMar>
      </w:tblPr>
      <w:tblGrid>
        <w:gridCol w:w="1007"/>
        <w:gridCol w:w="1007"/>
        <w:gridCol w:w="1007"/>
        <w:gridCol w:w="5153"/>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466" w:hRule="atLeast"/>
          <w:jc w:val="center"/>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序号</w:t>
            </w:r>
          </w:p>
        </w:tc>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评分项目</w:t>
            </w:r>
          </w:p>
        </w:tc>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满分</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评分细则（m）</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4" w:hRule="atLeast"/>
          <w:jc w:val="center"/>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1</w:t>
            </w:r>
          </w:p>
        </w:tc>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项目业绩</w:t>
            </w:r>
          </w:p>
        </w:tc>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30</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2019</w:t>
            </w:r>
            <w:r>
              <w:rPr>
                <w:rFonts w:hint="eastAsia" w:ascii="宋体" w:hAnsi="宋体" w:eastAsia="宋体" w:cs="宋体"/>
                <w:color w:val="auto"/>
                <w:kern w:val="0"/>
                <w:sz w:val="21"/>
                <w:szCs w:val="21"/>
                <w:highlight w:val="none"/>
                <w:lang w:val="en-US" w:eastAsia="zh-CN" w:bidi="ar"/>
              </w:rPr>
              <w:t>年</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月</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日至</w:t>
            </w:r>
            <w:r>
              <w:rPr>
                <w:rFonts w:hint="eastAsia" w:ascii="宋体" w:hAnsi="宋体" w:cs="宋体"/>
                <w:color w:val="auto"/>
                <w:highlight w:val="none"/>
                <w:lang w:bidi="ar"/>
              </w:rPr>
              <w:t>比选申请截止时间前</w:t>
            </w:r>
            <w:r>
              <w:rPr>
                <w:rFonts w:hint="eastAsia" w:ascii="宋体" w:hAnsi="宋体" w:eastAsia="宋体" w:cs="宋体"/>
                <w:color w:val="auto"/>
                <w:kern w:val="0"/>
                <w:sz w:val="21"/>
                <w:szCs w:val="21"/>
                <w:highlight w:val="none"/>
                <w:lang w:val="en-US" w:eastAsia="zh-CN" w:bidi="ar"/>
              </w:rPr>
              <w:t>，每承担完成</w:t>
            </w:r>
            <w:r>
              <w:rPr>
                <w:rFonts w:hint="default" w:ascii="Times New Roman" w:hAnsi="Times New Roman" w:eastAsia="宋体" w:cs="Times New Roman"/>
                <w:color w:val="auto"/>
                <w:kern w:val="0"/>
                <w:sz w:val="21"/>
                <w:szCs w:val="21"/>
                <w:highlight w:val="none"/>
                <w:lang w:val="en-US" w:eastAsia="zh-CN" w:bidi="ar"/>
              </w:rPr>
              <w:t>1</w:t>
            </w:r>
            <w:r>
              <w:rPr>
                <w:rFonts w:hint="default" w:cs="Times New Roman"/>
                <w:color w:val="auto"/>
                <w:kern w:val="0"/>
                <w:sz w:val="21"/>
                <w:szCs w:val="21"/>
                <w:highlight w:val="none"/>
                <w:lang w:eastAsia="zh-CN" w:bidi="ar"/>
              </w:rPr>
              <w:t>个</w:t>
            </w:r>
            <w:r>
              <w:rPr>
                <w:rFonts w:hint="eastAsia" w:ascii="宋体" w:hAnsi="宋体" w:eastAsia="宋体" w:cs="宋体"/>
                <w:color w:val="auto"/>
                <w:kern w:val="0"/>
                <w:sz w:val="21"/>
                <w:szCs w:val="21"/>
                <w:highlight w:val="none"/>
                <w:lang w:val="en-US" w:eastAsia="zh-CN" w:bidi="ar"/>
              </w:rPr>
              <w:t>轨道交通的一级安全生产标准化建设评价项目得</w:t>
            </w:r>
            <w:r>
              <w:rPr>
                <w:rFonts w:hint="default" w:ascii="Times New Roman" w:hAnsi="Times New Roman" w:eastAsia="宋体" w:cs="Times New Roman"/>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分</w:t>
            </w:r>
            <w:r>
              <w:rPr>
                <w:rFonts w:hint="default" w:ascii="Times New Roman" w:hAnsi="Times New Roman" w:eastAsia="宋体" w:cs="Times New Roman"/>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本项总计最高满分得</w:t>
            </w:r>
            <w:r>
              <w:rPr>
                <w:rFonts w:hint="default" w:ascii="Times New Roman" w:hAnsi="Times New Roman" w:eastAsia="宋体" w:cs="Times New Roman"/>
                <w:color w:val="auto"/>
                <w:kern w:val="0"/>
                <w:sz w:val="21"/>
                <w:szCs w:val="21"/>
                <w:highlight w:val="none"/>
                <w:lang w:val="en-US" w:eastAsia="zh-CN" w:bidi="ar"/>
              </w:rPr>
              <w:t>30</w:t>
            </w:r>
            <w:r>
              <w:rPr>
                <w:rFonts w:hint="eastAsia" w:ascii="宋体" w:hAnsi="宋体" w:eastAsia="宋体" w:cs="宋体"/>
                <w:color w:val="auto"/>
                <w:kern w:val="0"/>
                <w:sz w:val="21"/>
                <w:szCs w:val="21"/>
                <w:highlight w:val="none"/>
                <w:lang w:val="en-US" w:eastAsia="zh-CN" w:bidi="ar"/>
              </w:rPr>
              <w:t>分。</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both"/>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2</w:t>
            </w:r>
          </w:p>
        </w:tc>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培训能力</w:t>
            </w:r>
          </w:p>
        </w:tc>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15</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28" w:firstLine="0"/>
              <w:jc w:val="both"/>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评价机构培训经验丰富，举办过全国范围内交通安全生产标准化培训班。培训的内容是否全面、准确、实用，是否体现轨道交通行业特点。</w:t>
            </w:r>
          </w:p>
          <w:p>
            <w:pPr>
              <w:keepNext w:val="0"/>
              <w:keepLines w:val="0"/>
              <w:widowControl/>
              <w:suppressLineNumbers w:val="0"/>
              <w:spacing w:before="0" w:beforeAutospacing="0" w:after="0" w:afterAutospacing="0" w:line="360" w:lineRule="auto"/>
              <w:ind w:left="0" w:right="-28" w:firstLine="0"/>
              <w:jc w:val="both"/>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2019</w:t>
            </w:r>
            <w:r>
              <w:rPr>
                <w:rFonts w:hint="eastAsia" w:ascii="宋体" w:hAnsi="宋体" w:eastAsia="宋体" w:cs="宋体"/>
                <w:color w:val="auto"/>
                <w:kern w:val="0"/>
                <w:sz w:val="21"/>
                <w:szCs w:val="21"/>
                <w:highlight w:val="none"/>
                <w:lang w:val="en-US" w:eastAsia="zh-CN" w:bidi="ar"/>
              </w:rPr>
              <w:t>年</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月</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日起至</w:t>
            </w:r>
            <w:r>
              <w:rPr>
                <w:rFonts w:hint="eastAsia" w:ascii="宋体" w:hAnsi="宋体" w:cs="宋体"/>
                <w:color w:val="auto"/>
                <w:highlight w:val="none"/>
                <w:lang w:bidi="ar"/>
              </w:rPr>
              <w:t>比选申请截止时间前</w:t>
            </w:r>
            <w:r>
              <w:rPr>
                <w:rFonts w:hint="eastAsia" w:ascii="宋体" w:hAnsi="宋体" w:eastAsia="宋体" w:cs="宋体"/>
                <w:color w:val="auto"/>
                <w:kern w:val="0"/>
                <w:sz w:val="21"/>
                <w:szCs w:val="21"/>
                <w:highlight w:val="none"/>
                <w:lang w:val="en-US" w:eastAsia="zh-CN" w:bidi="ar"/>
              </w:rPr>
              <w:t>每进行</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次的得</w:t>
            </w:r>
            <w:r>
              <w:rPr>
                <w:rFonts w:hint="default" w:ascii="Times New Roman" w:hAnsi="Times New Roman" w:eastAsia="宋体" w:cs="Times New Roman"/>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分，最高</w:t>
            </w:r>
            <w:r>
              <w:rPr>
                <w:rFonts w:hint="default" w:ascii="Times New Roman" w:hAnsi="Times New Roman" w:eastAsia="宋体" w:cs="Times New Roman"/>
                <w:color w:val="auto"/>
                <w:kern w:val="0"/>
                <w:sz w:val="21"/>
                <w:szCs w:val="21"/>
                <w:highlight w:val="none"/>
                <w:lang w:val="en-US" w:eastAsia="zh-CN" w:bidi="ar"/>
              </w:rPr>
              <w:t>15</w:t>
            </w:r>
            <w:r>
              <w:rPr>
                <w:rFonts w:hint="eastAsia" w:ascii="宋体" w:hAnsi="宋体" w:eastAsia="宋体" w:cs="宋体"/>
                <w:color w:val="auto"/>
                <w:kern w:val="0"/>
                <w:sz w:val="21"/>
                <w:szCs w:val="21"/>
                <w:highlight w:val="none"/>
                <w:lang w:val="en-US" w:eastAsia="zh-CN" w:bidi="ar"/>
              </w:rPr>
              <w:t>分。</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both"/>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2" w:hRule="atLeast"/>
          <w:jc w:val="center"/>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3</w:t>
            </w:r>
          </w:p>
        </w:tc>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评价人员组成</w:t>
            </w:r>
          </w:p>
        </w:tc>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20</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28"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评价组成员：</w:t>
            </w:r>
          </w:p>
          <w:p>
            <w:pPr>
              <w:keepNext w:val="0"/>
              <w:keepLines w:val="0"/>
              <w:widowControl/>
              <w:suppressLineNumbers w:val="0"/>
              <w:spacing w:before="0" w:beforeAutospacing="0" w:after="0" w:afterAutospacing="0" w:line="360" w:lineRule="auto"/>
              <w:ind w:left="0" w:right="-28"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（1）评价组组长具备城市轨道交通运营标准化评价组长经验的，每1</w:t>
            </w:r>
            <w:r>
              <w:rPr>
                <w:rFonts w:hint="eastAsia" w:ascii="宋体" w:hAnsi="宋体" w:cs="宋体"/>
                <w:color w:val="auto"/>
                <w:kern w:val="0"/>
                <w:sz w:val="21"/>
                <w:szCs w:val="21"/>
                <w:highlight w:val="none"/>
                <w:lang w:val="en-US" w:eastAsia="zh-CN" w:bidi="ar"/>
              </w:rPr>
              <w:t>次</w:t>
            </w:r>
            <w:r>
              <w:rPr>
                <w:rFonts w:hint="eastAsia" w:ascii="宋体" w:hAnsi="宋体" w:eastAsia="宋体" w:cs="宋体"/>
                <w:color w:val="auto"/>
                <w:kern w:val="0"/>
                <w:sz w:val="21"/>
                <w:szCs w:val="21"/>
                <w:highlight w:val="none"/>
                <w:lang w:val="en-US" w:eastAsia="zh-CN" w:bidi="ar"/>
              </w:rPr>
              <w:t>得2分 ，最高得10分；</w:t>
            </w:r>
          </w:p>
          <w:p>
            <w:pPr>
              <w:keepNext w:val="0"/>
              <w:keepLines w:val="0"/>
              <w:widowControl/>
              <w:suppressLineNumbers w:val="0"/>
              <w:spacing w:before="0" w:beforeAutospacing="0" w:after="0" w:afterAutospacing="0" w:line="360" w:lineRule="auto"/>
              <w:ind w:left="0" w:right="-28"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（2）评价组两位组员，参与过1次及以上同类评价项目且能提供相应证明文件的，每参与过1次得1分，每人最高5分，按两名组员计算最高得10分</w:t>
            </w:r>
            <w:r>
              <w:rPr>
                <w:rFonts w:hint="eastAsia" w:ascii="宋体" w:hAnsi="宋体" w:cs="宋体"/>
                <w:color w:val="auto"/>
                <w:kern w:val="0"/>
                <w:sz w:val="21"/>
                <w:szCs w:val="21"/>
                <w:highlight w:val="none"/>
                <w:lang w:val="en-US" w:eastAsia="zh-CN" w:bidi="ar"/>
              </w:rPr>
              <w:t>。</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both"/>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2" w:hRule="atLeast"/>
          <w:jc w:val="center"/>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4</w:t>
            </w:r>
          </w:p>
        </w:tc>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资源投入</w:t>
            </w:r>
          </w:p>
        </w:tc>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5</w:t>
            </w:r>
          </w:p>
        </w:tc>
        <w:tc>
          <w:tcPr>
            <w:tcW w:w="31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28"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1.评价计划的内容是否全面性，符合轨道交通行业特点，采用标准及规范是否合理、完整。</w:t>
            </w:r>
          </w:p>
          <w:p>
            <w:pPr>
              <w:keepNext w:val="0"/>
              <w:keepLines w:val="0"/>
              <w:widowControl/>
              <w:suppressLineNumbers w:val="0"/>
              <w:spacing w:before="0" w:beforeAutospacing="0" w:after="0" w:afterAutospacing="0" w:line="360" w:lineRule="auto"/>
              <w:ind w:left="0" w:right="-28"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2.项目团队的组织分工是否明确，安全管理、应急救援及轨道交通重点专业领域人员等项目人员是否能满足本项目的需要。</w:t>
            </w:r>
          </w:p>
          <w:p>
            <w:pPr>
              <w:keepNext w:val="0"/>
              <w:keepLines w:val="0"/>
              <w:widowControl/>
              <w:suppressLineNumbers w:val="0"/>
              <w:spacing w:before="0" w:beforeAutospacing="0" w:after="0" w:afterAutospacing="0" w:line="360" w:lineRule="auto"/>
              <w:ind w:left="0" w:right="-28" w:firstLine="0"/>
              <w:jc w:val="both"/>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优，得[4-5]分；良，得[2-4]分；差，得[0-2]分。</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both"/>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jc w:val="center"/>
        </w:trPr>
        <w:tc>
          <w:tcPr>
            <w:tcW w:w="441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val="en-US" w:eastAsia="zh-CN" w:bidi="ar"/>
              </w:rPr>
              <w:t>技术总得分</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宋体"/>
                <w:b/>
                <w:bCs/>
                <w:color w:val="auto"/>
                <w:sz w:val="21"/>
                <w:szCs w:val="21"/>
                <w:highlight w:val="none"/>
              </w:rPr>
            </w:pPr>
          </w:p>
        </w:tc>
      </w:tr>
    </w:tbl>
    <w:p>
      <w:pPr>
        <w:keepNext w:val="0"/>
        <w:keepLines w:val="0"/>
        <w:widowControl/>
        <w:suppressLineNumbers w:val="0"/>
        <w:spacing w:before="120" w:beforeAutospacing="0" w:after="0" w:afterAutospacing="1" w:line="360" w:lineRule="auto"/>
        <w:ind w:left="0" w:right="-27" w:firstLine="0"/>
        <w:jc w:val="both"/>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 xml:space="preserve"> </w:t>
      </w:r>
    </w:p>
    <w:p>
      <w:pPr>
        <w:pStyle w:val="32"/>
        <w:keepNext w:val="0"/>
        <w:keepLines w:val="0"/>
        <w:widowControl/>
        <w:suppressLineNumbers w:val="0"/>
        <w:ind w:left="0" w:leftChars="0" w:firstLine="0" w:firstLineChars="0"/>
        <w:rPr>
          <w:rFonts w:hint="default" w:ascii="Times New Roman" w:hAnsi="Times New Roman"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附表三：商务部分评分表</w:t>
      </w:r>
    </w:p>
    <w:p>
      <w:pPr>
        <w:keepNext w:val="0"/>
        <w:keepLines w:val="0"/>
        <w:widowControl/>
        <w:suppressLineNumbers w:val="0"/>
        <w:spacing w:before="0" w:beforeAutospacing="0" w:after="0" w:afterAutospacing="1" w:line="360" w:lineRule="auto"/>
        <w:ind w:left="709" w:right="0" w:firstLine="0"/>
        <w:jc w:val="center"/>
        <w:rPr>
          <w:rFonts w:hint="default" w:ascii="Times New Roman" w:hAnsi="Times New Roman" w:eastAsia="宋体" w:cs="Times New Roman"/>
          <w:b/>
          <w:bCs w:val="0"/>
          <w:color w:val="auto"/>
          <w:sz w:val="24"/>
          <w:szCs w:val="24"/>
          <w:highlight w:val="none"/>
        </w:rPr>
      </w:pPr>
      <w:r>
        <w:rPr>
          <w:rFonts w:hint="eastAsia" w:ascii="宋体" w:hAnsi="宋体" w:eastAsia="宋体" w:cs="宋体"/>
          <w:b/>
          <w:bCs w:val="0"/>
          <w:color w:val="auto"/>
          <w:kern w:val="0"/>
          <w:sz w:val="24"/>
          <w:szCs w:val="24"/>
          <w:highlight w:val="none"/>
          <w:lang w:val="en-US" w:eastAsia="zh-CN" w:bidi="ar"/>
        </w:rPr>
        <w:t>商务部分评分表（满分</w:t>
      </w:r>
      <w:r>
        <w:rPr>
          <w:rFonts w:hint="default" w:ascii="Times New Roman" w:hAnsi="宋体" w:eastAsia="宋体" w:cs="Times New Roman"/>
          <w:b/>
          <w:bCs w:val="0"/>
          <w:color w:val="auto"/>
          <w:kern w:val="0"/>
          <w:sz w:val="24"/>
          <w:szCs w:val="24"/>
          <w:highlight w:val="none"/>
          <w:lang w:val="en-US" w:eastAsia="zh-CN" w:bidi="ar"/>
        </w:rPr>
        <w:t>30</w:t>
      </w:r>
      <w:r>
        <w:rPr>
          <w:rFonts w:hint="eastAsia" w:ascii="宋体" w:hAnsi="宋体" w:eastAsia="宋体" w:cs="宋体"/>
          <w:b/>
          <w:bCs w:val="0"/>
          <w:color w:val="auto"/>
          <w:kern w:val="0"/>
          <w:sz w:val="24"/>
          <w:szCs w:val="24"/>
          <w:highlight w:val="none"/>
          <w:lang w:val="en-US" w:eastAsia="zh-CN" w:bidi="ar"/>
        </w:rPr>
        <w:t>分）</w:t>
      </w:r>
    </w:p>
    <w:tbl>
      <w:tblPr>
        <w:tblStyle w:val="34"/>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29"/>
        <w:gridCol w:w="1170"/>
        <w:gridCol w:w="870"/>
        <w:gridCol w:w="4964"/>
        <w:gridCol w:w="1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Times New Roman"/>
                <w:b/>
                <w:bCs/>
                <w:color w:val="auto"/>
                <w:sz w:val="21"/>
                <w:szCs w:val="21"/>
                <w:highlight w:val="none"/>
              </w:rPr>
            </w:pPr>
            <w:bookmarkStart w:id="2337" w:name="_Toc27431"/>
            <w:r>
              <w:rPr>
                <w:rFonts w:hint="eastAsia" w:ascii="宋体" w:hAnsi="宋体" w:eastAsia="宋体" w:cs="宋体"/>
                <w:b/>
                <w:bCs/>
                <w:color w:val="auto"/>
                <w:kern w:val="0"/>
                <w:sz w:val="21"/>
                <w:szCs w:val="21"/>
                <w:highlight w:val="none"/>
                <w:lang w:val="en-US" w:eastAsia="zh-CN" w:bidi="ar"/>
              </w:rPr>
              <w:t>序号</w:t>
            </w:r>
            <w:bookmarkEnd w:id="2337"/>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项目</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满分</w:t>
            </w:r>
          </w:p>
        </w:tc>
        <w:tc>
          <w:tcPr>
            <w:tcW w:w="2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评分标准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center"/>
              <w:rPr>
                <w:rFonts w:hint="eastAsia" w:ascii="宋体" w:hAnsi="宋体" w:eastAsia="宋体" w:cs="Times New Roman"/>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1" w:line="240" w:lineRule="atLeast"/>
              <w:ind w:left="0" w:right="0" w:firstLine="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1" w:line="240" w:lineRule="atLeast"/>
              <w:ind w:left="0" w:right="0"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2"/>
                <w:szCs w:val="22"/>
                <w:highlight w:val="none"/>
                <w:lang w:val="en-US" w:eastAsia="zh-CN" w:bidi="ar"/>
              </w:rPr>
              <w:t>商务得分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1" w:line="240" w:lineRule="atLeast"/>
              <w:ind w:left="0" w:right="0" w:firstLine="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30</w:t>
            </w:r>
          </w:p>
        </w:tc>
        <w:tc>
          <w:tcPr>
            <w:tcW w:w="2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商务分计算方式：报价计算采用不含税的报价。</w:t>
            </w:r>
          </w:p>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当经评审的有效总价报价多于</w:t>
            </w:r>
            <w:r>
              <w:rPr>
                <w:rFonts w:hint="default" w:ascii="Times New Roman" w:hAnsi="Times New Roman" w:eastAsia="宋体" w:cs="Times New Roman"/>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个时（含</w:t>
            </w:r>
            <w:r>
              <w:rPr>
                <w:rFonts w:hint="default" w:ascii="Times New Roman" w:hAnsi="Times New Roman" w:eastAsia="宋体" w:cs="Times New Roman"/>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个），去掉一个最高报价和一个最低报价后的算术平均值作为基准价；</w:t>
            </w:r>
          </w:p>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当经评审的有效总价报价少于</w:t>
            </w:r>
            <w:r>
              <w:rPr>
                <w:rFonts w:hint="default" w:ascii="Times New Roman" w:hAnsi="Times New Roman" w:eastAsia="宋体" w:cs="Times New Roman"/>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个时，则以所有有效的总价报价的算术平均值作为基准价。</w:t>
            </w:r>
          </w:p>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）当总价报价等于基准价时，比选申请人此部分价格得分为</w:t>
            </w:r>
            <w:r>
              <w:rPr>
                <w:rFonts w:hint="default" w:ascii="Times New Roman" w:hAnsi="Times New Roman" w:eastAsia="宋体" w:cs="Times New Roman"/>
                <w:color w:val="auto"/>
                <w:kern w:val="0"/>
                <w:sz w:val="21"/>
                <w:szCs w:val="21"/>
                <w:highlight w:val="none"/>
                <w:lang w:val="en-US" w:eastAsia="zh-CN" w:bidi="ar"/>
              </w:rPr>
              <w:t>30</w:t>
            </w:r>
            <w:r>
              <w:rPr>
                <w:rFonts w:hint="eastAsia" w:ascii="宋体" w:hAnsi="宋体" w:eastAsia="宋体" w:cs="宋体"/>
                <w:color w:val="auto"/>
                <w:kern w:val="0"/>
                <w:sz w:val="21"/>
                <w:szCs w:val="21"/>
                <w:highlight w:val="none"/>
                <w:lang w:val="en-US" w:eastAsia="zh-CN" w:bidi="ar"/>
              </w:rPr>
              <w:t>分；</w:t>
            </w:r>
          </w:p>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）当总价报价高于基准价时，每高于基准价的</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，价格得分扣</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分，中间数按内插法计算，即：价格得分</w:t>
            </w:r>
            <w:r>
              <w:rPr>
                <w:rFonts w:hint="default" w:ascii="Times New Roman" w:hAnsi="Times New Roman" w:eastAsia="宋体" w:cs="Times New Roman"/>
                <w:color w:val="auto"/>
                <w:kern w:val="0"/>
                <w:sz w:val="21"/>
                <w:szCs w:val="21"/>
                <w:highlight w:val="none"/>
                <w:lang w:val="en-US" w:eastAsia="zh-CN" w:bidi="ar"/>
              </w:rPr>
              <w:t>m=30-</w:t>
            </w:r>
            <w:r>
              <w:rPr>
                <w:rFonts w:hint="eastAsia" w:ascii="宋体" w:hAnsi="宋体" w:eastAsia="宋体" w:cs="宋体"/>
                <w:color w:val="auto"/>
                <w:kern w:val="0"/>
                <w:sz w:val="21"/>
                <w:szCs w:val="21"/>
                <w:highlight w:val="none"/>
                <w:lang w:val="en-US" w:eastAsia="zh-CN" w:bidi="ar"/>
              </w:rPr>
              <w:t>（总价报价</w:t>
            </w:r>
            <w:r>
              <w:rPr>
                <w:rFonts w:hint="default" w:ascii="Times New Roman" w:hAnsi="Times New Roman" w:eastAsia="宋体" w:cs="Times New 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基准价）</w:t>
            </w:r>
            <w:r>
              <w:rPr>
                <w:rFonts w:hint="default" w:ascii="Times New Roman" w:hAnsi="Times New Roman" w:eastAsia="宋体" w:cs="Times New 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基准价×</w:t>
            </w:r>
            <w:r>
              <w:rPr>
                <w:rFonts w:hint="default" w:ascii="Times New Roman" w:hAnsi="Times New Roman" w:eastAsia="宋体" w:cs="Times New Roman"/>
                <w:color w:val="auto"/>
                <w:kern w:val="0"/>
                <w:sz w:val="21"/>
                <w:szCs w:val="21"/>
                <w:highlight w:val="none"/>
                <w:lang w:val="en-US" w:eastAsia="zh-CN" w:bidi="ar"/>
              </w:rPr>
              <w:t>100</w:t>
            </w:r>
            <w:r>
              <w:rPr>
                <w:rFonts w:hint="eastAsia" w:ascii="宋体" w:hAnsi="宋体"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before="0" w:beforeAutospacing="0" w:after="0" w:afterAutospacing="0" w:line="360" w:lineRule="auto"/>
              <w:ind w:left="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）当总价报价低于基准价时，每低于基准价的</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，价格得分扣</w:t>
            </w:r>
            <w:r>
              <w:rPr>
                <w:rFonts w:hint="default" w:ascii="Times New Roman" w:hAnsi="Times New Roman" w:eastAsia="宋体" w:cs="Times New Roman"/>
                <w:color w:val="auto"/>
                <w:kern w:val="0"/>
                <w:sz w:val="21"/>
                <w:szCs w:val="21"/>
                <w:highlight w:val="none"/>
                <w:lang w:val="en-US" w:eastAsia="zh-CN" w:bidi="ar"/>
              </w:rPr>
              <w:t>0.5</w:t>
            </w:r>
            <w:r>
              <w:rPr>
                <w:rFonts w:hint="eastAsia" w:ascii="宋体" w:hAnsi="宋体" w:eastAsia="宋体" w:cs="宋体"/>
                <w:color w:val="auto"/>
                <w:kern w:val="0"/>
                <w:sz w:val="21"/>
                <w:szCs w:val="21"/>
                <w:highlight w:val="none"/>
                <w:lang w:val="en-US" w:eastAsia="zh-CN" w:bidi="ar"/>
              </w:rPr>
              <w:t>分，中间数按内插法计算，即：价格得分</w:t>
            </w:r>
            <w:r>
              <w:rPr>
                <w:rFonts w:hint="default" w:ascii="Times New Roman" w:hAnsi="Times New Roman" w:eastAsia="宋体" w:cs="Times New Roman"/>
                <w:color w:val="auto"/>
                <w:kern w:val="0"/>
                <w:sz w:val="21"/>
                <w:szCs w:val="21"/>
                <w:highlight w:val="none"/>
                <w:lang w:val="en-US" w:eastAsia="zh-CN" w:bidi="ar"/>
              </w:rPr>
              <w:t>m=</w:t>
            </w:r>
            <w:r>
              <w:rPr>
                <w:rFonts w:hint="eastAsia" w:cs="Times New Roman"/>
                <w:color w:val="auto"/>
                <w:kern w:val="0"/>
                <w:sz w:val="21"/>
                <w:szCs w:val="21"/>
                <w:highlight w:val="none"/>
                <w:lang w:val="en-US" w:eastAsia="zh-CN" w:bidi="ar"/>
              </w:rPr>
              <w:t>3</w:t>
            </w:r>
            <w:r>
              <w:rPr>
                <w:rFonts w:hint="default" w:ascii="Times New Roman" w:hAnsi="Times New Roman" w:eastAsia="宋体" w:cs="Times New Roman"/>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val="en-US" w:eastAsia="zh-CN" w:bidi="ar"/>
              </w:rPr>
              <w:t>（基准价</w:t>
            </w:r>
            <w:r>
              <w:rPr>
                <w:rFonts w:hint="default" w:ascii="Times New Roman" w:hAnsi="Times New Roman" w:eastAsia="宋体" w:cs="Times New 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总价报价）</w:t>
            </w:r>
            <w:r>
              <w:rPr>
                <w:rFonts w:hint="default" w:ascii="Times New Roman" w:hAnsi="Times New Roman" w:eastAsia="宋体" w:cs="Times New 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基准价×</w:t>
            </w:r>
            <w:r>
              <w:rPr>
                <w:rFonts w:hint="default" w:ascii="Times New Roman" w:hAnsi="Times New Roman" w:eastAsia="宋体" w:cs="Times New Roman"/>
                <w:color w:val="auto"/>
                <w:kern w:val="0"/>
                <w:sz w:val="21"/>
                <w:szCs w:val="21"/>
                <w:highlight w:val="none"/>
                <w:lang w:val="en-US" w:eastAsia="zh-CN" w:bidi="ar"/>
              </w:rPr>
              <w:t>100</w:t>
            </w:r>
            <w:r>
              <w:rPr>
                <w:rFonts w:hint="eastAsia" w:ascii="宋体" w:hAnsi="宋体"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0.5</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before="0" w:beforeAutospacing="0" w:after="0" w:afterAutospacing="1" w:line="240" w:lineRule="atLeast"/>
              <w:ind w:left="0" w:right="0" w:firstLine="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基准价和总价报价得分计算结果均保留小数点后两位。报价得分最多扣</w:t>
            </w:r>
            <w:r>
              <w:rPr>
                <w:rFonts w:hint="default" w:ascii="Times New Roman" w:hAnsi="Times New Roman" w:eastAsia="宋体" w:cs="Times New Roman"/>
                <w:color w:val="auto"/>
                <w:kern w:val="0"/>
                <w:sz w:val="21"/>
                <w:szCs w:val="21"/>
                <w:highlight w:val="none"/>
                <w:lang w:val="en-US" w:eastAsia="zh-CN" w:bidi="ar"/>
              </w:rPr>
              <w:t>30</w:t>
            </w:r>
            <w:r>
              <w:rPr>
                <w:rFonts w:hint="eastAsia" w:ascii="宋体" w:hAnsi="宋体" w:eastAsia="宋体" w:cs="宋体"/>
                <w:color w:val="auto"/>
                <w:kern w:val="0"/>
                <w:sz w:val="21"/>
                <w:szCs w:val="21"/>
                <w:highlight w:val="none"/>
                <w:lang w:val="en-US" w:eastAsia="zh-CN" w:bidi="ar"/>
              </w:rPr>
              <w:t>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120" w:beforeAutospacing="0" w:after="0" w:afterAutospacing="1" w:line="360" w:lineRule="auto"/>
              <w:ind w:left="709" w:right="-27" w:hanging="709"/>
              <w:jc w:val="both"/>
              <w:rPr>
                <w:rFonts w:hint="eastAsia" w:ascii="宋体" w:hAnsi="宋体" w:eastAsia="宋体" w:cs="Times New Roman"/>
                <w:color w:val="auto"/>
                <w:sz w:val="21"/>
                <w:szCs w:val="21"/>
                <w:highlight w:val="none"/>
              </w:rPr>
            </w:pPr>
          </w:p>
        </w:tc>
      </w:tr>
    </w:tbl>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b/>
          <w:color w:val="auto"/>
          <w:sz w:val="21"/>
          <w:szCs w:val="21"/>
          <w:highlight w:val="none"/>
        </w:rPr>
        <w:sectPr>
          <w:pgSz w:w="11905" w:h="16838" w:orient="landscape"/>
          <w:pgMar w:top="1417" w:right="1417" w:bottom="1304" w:left="1417" w:header="454" w:footer="567" w:gutter="0"/>
          <w:pgNumType w:fmt="decimal"/>
          <w:cols w:space="0" w:num="1"/>
          <w:rtlGutter w:val="0"/>
          <w:docGrid w:type="lines" w:linePitch="319" w:charSpace="0"/>
        </w:sectPr>
      </w:pPr>
    </w:p>
    <w:p>
      <w:pPr>
        <w:keepNext w:val="0"/>
        <w:keepLines w:val="0"/>
        <w:widowControl/>
        <w:suppressLineNumbers w:val="0"/>
        <w:spacing w:before="0" w:beforeAutospacing="0" w:after="0" w:afterAutospacing="1" w:line="360" w:lineRule="auto"/>
        <w:ind w:left="0" w:leftChars="0" w:right="0" w:firstLine="0" w:firstLineChars="0"/>
        <w:jc w:val="both"/>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附表四</w:t>
      </w:r>
      <w:r>
        <w:rPr>
          <w:rFonts w:hint="eastAsia" w:ascii="宋体" w:hAnsi="宋体" w:eastAsia="宋体" w:cs="Times New Roman"/>
          <w:b/>
          <w:bCs w:val="0"/>
          <w:color w:val="auto"/>
          <w:kern w:val="0"/>
          <w:sz w:val="21"/>
          <w:szCs w:val="21"/>
          <w:highlight w:val="none"/>
          <w:lang w:val="en-US" w:eastAsia="zh-CN" w:bidi="ar"/>
        </w:rPr>
        <w:t xml:space="preserve"> </w:t>
      </w:r>
      <w:r>
        <w:rPr>
          <w:rFonts w:hint="eastAsia" w:ascii="宋体" w:hAnsi="宋体" w:eastAsia="宋体" w:cs="宋体"/>
          <w:b/>
          <w:bCs w:val="0"/>
          <w:color w:val="auto"/>
          <w:kern w:val="0"/>
          <w:sz w:val="21"/>
          <w:szCs w:val="21"/>
          <w:highlight w:val="none"/>
          <w:lang w:val="en-US" w:eastAsia="zh-CN" w:bidi="ar"/>
        </w:rPr>
        <w:t>比选申请最终评分表</w:t>
      </w:r>
    </w:p>
    <w:p>
      <w:pPr>
        <w:keepNext w:val="0"/>
        <w:keepLines w:val="0"/>
        <w:widowControl/>
        <w:suppressLineNumbers w:val="0"/>
        <w:spacing w:before="159" w:beforeAutospacing="0" w:after="0" w:afterAutospacing="1" w:line="360" w:lineRule="auto"/>
        <w:ind w:left="709" w:right="-57" w:firstLine="0"/>
        <w:jc w:val="center"/>
        <w:rPr>
          <w:rFonts w:hint="eastAsia" w:ascii="宋体" w:hAnsi="宋体" w:eastAsia="宋体" w:cs="Times New Roman"/>
          <w:b/>
          <w:bCs w:val="0"/>
          <w:color w:val="auto"/>
          <w:sz w:val="28"/>
          <w:szCs w:val="28"/>
          <w:highlight w:val="none"/>
        </w:rPr>
      </w:pPr>
      <w:r>
        <w:rPr>
          <w:rFonts w:hint="eastAsia" w:ascii="宋体" w:hAnsi="宋体" w:eastAsia="宋体" w:cs="宋体"/>
          <w:b/>
          <w:bCs w:val="0"/>
          <w:color w:val="auto"/>
          <w:kern w:val="0"/>
          <w:sz w:val="28"/>
          <w:szCs w:val="28"/>
          <w:highlight w:val="none"/>
          <w:lang w:val="en-US" w:eastAsia="zh-CN" w:bidi="ar"/>
        </w:rPr>
        <w:t>比选申请最终评分表</w:t>
      </w:r>
    </w:p>
    <w:tbl>
      <w:tblPr>
        <w:tblStyle w:val="33"/>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6" w:hRule="atLeast"/>
        </w:trPr>
        <w:tc>
          <w:tcPr>
            <w:tcW w:w="95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序号</w:t>
            </w:r>
          </w:p>
        </w:tc>
        <w:tc>
          <w:tcPr>
            <w:tcW w:w="4536"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比选申请人名称</w:t>
            </w:r>
          </w:p>
        </w:tc>
        <w:tc>
          <w:tcPr>
            <w:tcW w:w="226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技术评分</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商务评分</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最终得分</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eastAsia" w:ascii="宋体" w:hAnsi="宋体"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4536"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268"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4536"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26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5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4536"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268"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4536"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268"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4536"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268"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eastAsia" w:ascii="宋体" w:hAnsi="宋体" w:eastAsia="宋体" w:cs="Times New Roman"/>
                <w:color w:val="auto"/>
                <w:sz w:val="21"/>
                <w:szCs w:val="21"/>
                <w:highlight w:val="none"/>
              </w:rPr>
            </w:pPr>
          </w:p>
        </w:tc>
      </w:tr>
    </w:tbl>
    <w:p>
      <w:pPr>
        <w:keepNext w:val="0"/>
        <w:keepLines w:val="0"/>
        <w:widowControl/>
        <w:suppressLineNumbers w:val="0"/>
        <w:spacing w:before="0" w:beforeAutospacing="0" w:after="0" w:afterAutospacing="0" w:line="360" w:lineRule="auto"/>
        <w:ind w:left="420" w:right="0" w:firstLine="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0" w:line="360" w:lineRule="auto"/>
        <w:ind w:left="420" w:right="0" w:firstLine="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 </w:t>
      </w:r>
    </w:p>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 </w:t>
      </w:r>
    </w:p>
    <w:p>
      <w:pPr>
        <w:keepNext w:val="0"/>
        <w:keepLines w:val="0"/>
        <w:widowControl/>
        <w:suppressLineNumbers w:val="0"/>
        <w:spacing w:before="120" w:beforeAutospacing="0" w:after="0" w:afterAutospacing="1" w:line="360" w:lineRule="auto"/>
        <w:ind w:left="709" w:right="-27" w:hanging="709"/>
        <w:jc w:val="both"/>
        <w:rPr>
          <w:rFonts w:hint="eastAsia" w:ascii="宋体" w:hAnsi="宋体" w:eastAsia="宋体" w:cs="Times New Roman"/>
          <w:b/>
          <w:bCs w:val="0"/>
          <w:color w:val="auto"/>
          <w:sz w:val="28"/>
          <w:szCs w:val="28"/>
          <w:highlight w:val="none"/>
        </w:rPr>
      </w:pPr>
      <w:r>
        <w:rPr>
          <w:rFonts w:hint="eastAsia" w:ascii="宋体" w:hAnsi="宋体" w:eastAsia="宋体" w:cs="Times New Roman"/>
          <w:b/>
          <w:bCs w:val="0"/>
          <w:color w:val="auto"/>
          <w:kern w:val="0"/>
          <w:sz w:val="28"/>
          <w:szCs w:val="28"/>
          <w:highlight w:val="none"/>
          <w:lang w:val="en-US" w:eastAsia="zh-CN" w:bidi="ar"/>
        </w:rPr>
        <w:br w:type="page"/>
      </w:r>
    </w:p>
    <w:p>
      <w:pPr>
        <w:keepNext w:val="0"/>
        <w:keepLines w:val="0"/>
        <w:widowControl/>
        <w:suppressLineNumbers w:val="0"/>
        <w:spacing w:before="159" w:beforeAutospacing="0" w:after="0" w:afterAutospacing="1" w:line="360" w:lineRule="auto"/>
        <w:ind w:left="709" w:right="-57" w:firstLine="0"/>
        <w:jc w:val="center"/>
        <w:rPr>
          <w:rFonts w:hint="eastAsia" w:ascii="宋体" w:hAnsi="宋体" w:eastAsia="宋体" w:cs="Times New Roman"/>
          <w:b/>
          <w:bCs w:val="0"/>
          <w:color w:val="auto"/>
          <w:sz w:val="28"/>
          <w:szCs w:val="28"/>
          <w:highlight w:val="none"/>
        </w:rPr>
      </w:pPr>
      <w:r>
        <w:rPr>
          <w:rFonts w:hint="eastAsia" w:ascii="宋体" w:hAnsi="宋体" w:eastAsia="宋体" w:cs="宋体"/>
          <w:b/>
          <w:bCs w:val="0"/>
          <w:color w:val="auto"/>
          <w:kern w:val="0"/>
          <w:sz w:val="28"/>
          <w:szCs w:val="28"/>
          <w:highlight w:val="none"/>
          <w:lang w:val="en-US" w:eastAsia="zh-CN" w:bidi="ar"/>
        </w:rPr>
        <w:t>附表：比选申请报价修正表</w:t>
      </w:r>
    </w:p>
    <w:tbl>
      <w:tblPr>
        <w:tblStyle w:val="33"/>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编号</w:t>
            </w:r>
          </w:p>
        </w:tc>
        <w:tc>
          <w:tcPr>
            <w:tcW w:w="3474"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修正项目</w:t>
            </w:r>
          </w:p>
        </w:tc>
        <w:tc>
          <w:tcPr>
            <w:tcW w:w="3872"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修正前比选申请报价</w:t>
            </w:r>
          </w:p>
        </w:tc>
        <w:tc>
          <w:tcPr>
            <w:tcW w:w="4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474"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Times New Roman"/>
                <w:color w:val="auto"/>
                <w:sz w:val="21"/>
                <w:szCs w:val="21"/>
                <w:highlight w:val="none"/>
              </w:rPr>
            </w:pPr>
          </w:p>
        </w:tc>
        <w:tc>
          <w:tcPr>
            <w:tcW w:w="387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color w:val="auto"/>
                <w:sz w:val="21"/>
                <w:szCs w:val="21"/>
                <w:highlight w:val="none"/>
              </w:rPr>
            </w:pPr>
          </w:p>
        </w:tc>
        <w:tc>
          <w:tcPr>
            <w:tcW w:w="4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474"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宋体"/>
                <w:color w:val="auto"/>
                <w:sz w:val="21"/>
                <w:szCs w:val="21"/>
                <w:highlight w:val="none"/>
              </w:rPr>
            </w:pPr>
          </w:p>
        </w:tc>
        <w:tc>
          <w:tcPr>
            <w:tcW w:w="387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宋体"/>
                <w:color w:val="auto"/>
                <w:sz w:val="21"/>
                <w:szCs w:val="21"/>
                <w:highlight w:val="none"/>
              </w:rPr>
            </w:pPr>
          </w:p>
        </w:tc>
        <w:tc>
          <w:tcPr>
            <w:tcW w:w="4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474"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宋体"/>
                <w:color w:val="auto"/>
                <w:sz w:val="21"/>
                <w:szCs w:val="21"/>
                <w:highlight w:val="none"/>
              </w:rPr>
            </w:pPr>
          </w:p>
        </w:tc>
        <w:tc>
          <w:tcPr>
            <w:tcW w:w="387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宋体"/>
                <w:color w:val="auto"/>
                <w:sz w:val="21"/>
                <w:szCs w:val="21"/>
                <w:highlight w:val="none"/>
              </w:rPr>
            </w:pPr>
          </w:p>
        </w:tc>
        <w:tc>
          <w:tcPr>
            <w:tcW w:w="4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474"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宋体"/>
                <w:color w:val="auto"/>
                <w:sz w:val="21"/>
                <w:szCs w:val="21"/>
                <w:highlight w:val="none"/>
              </w:rPr>
            </w:pPr>
          </w:p>
        </w:tc>
        <w:tc>
          <w:tcPr>
            <w:tcW w:w="387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宋体"/>
                <w:color w:val="auto"/>
                <w:sz w:val="21"/>
                <w:szCs w:val="21"/>
                <w:highlight w:val="none"/>
              </w:rPr>
            </w:pPr>
          </w:p>
        </w:tc>
        <w:tc>
          <w:tcPr>
            <w:tcW w:w="4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474"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center"/>
              <w:rPr>
                <w:rFonts w:hint="eastAsia" w:ascii="宋体" w:hAnsi="宋体" w:eastAsia="宋体" w:cs="Times New Roman"/>
                <w:color w:val="auto"/>
                <w:sz w:val="21"/>
                <w:szCs w:val="21"/>
                <w:highlight w:val="none"/>
              </w:rPr>
            </w:pPr>
          </w:p>
        </w:tc>
        <w:tc>
          <w:tcPr>
            <w:tcW w:w="387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Times New Roman"/>
                <w:b/>
                <w:bCs w:val="0"/>
                <w:color w:val="auto"/>
                <w:sz w:val="21"/>
                <w:szCs w:val="21"/>
                <w:highlight w:val="none"/>
              </w:rPr>
            </w:pPr>
          </w:p>
        </w:tc>
        <w:tc>
          <w:tcPr>
            <w:tcW w:w="4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left"/>
              <w:rPr>
                <w:rFonts w:hint="eastAsia" w:ascii="宋体" w:hAnsi="宋体" w:eastAsia="宋体" w:cs="宋体"/>
                <w:b/>
                <w:b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比选申请人名称</w:t>
            </w:r>
          </w:p>
        </w:tc>
        <w:tc>
          <w:tcPr>
            <w:tcW w:w="11735"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宋体"/>
                <w:b/>
                <w:b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比选申请人声明</w:t>
            </w:r>
          </w:p>
        </w:tc>
        <w:tc>
          <w:tcPr>
            <w:tcW w:w="11735"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我单位（□接受□不接受）本评审办法第3.3款价格评审确定的评审总价和中选价。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1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比选申请人</w:t>
            </w:r>
          </w:p>
          <w:p>
            <w:pPr>
              <w:keepNext w:val="0"/>
              <w:keepLines w:val="0"/>
              <w:widowControl/>
              <w:suppressLineNumbers w:val="0"/>
              <w:spacing w:before="0" w:beforeAutospacing="0" w:after="0" w:afterAutospacing="1" w:line="360" w:lineRule="auto"/>
              <w:ind w:left="0" w:right="0" w:firstLine="0"/>
              <w:jc w:val="center"/>
              <w:rPr>
                <w:rFonts w:hint="eastAsia"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代表签字</w:t>
            </w:r>
          </w:p>
        </w:tc>
        <w:tc>
          <w:tcPr>
            <w:tcW w:w="11735"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宋体"/>
                <w:b/>
                <w:bCs w:val="0"/>
                <w:color w:val="auto"/>
                <w:sz w:val="21"/>
                <w:szCs w:val="21"/>
                <w:highlight w:val="none"/>
              </w:rPr>
            </w:pPr>
          </w:p>
          <w:p>
            <w:pPr>
              <w:keepNext w:val="0"/>
              <w:keepLines w:val="0"/>
              <w:widowControl/>
              <w:suppressLineNumbers w:val="0"/>
              <w:spacing w:before="0" w:beforeAutospacing="0" w:after="0" w:afterAutospacing="1" w:line="360" w:lineRule="auto"/>
              <w:ind w:left="709" w:right="0" w:firstLine="0"/>
              <w:jc w:val="both"/>
              <w:rPr>
                <w:rFonts w:hint="eastAsia" w:ascii="宋体" w:hAnsi="宋体" w:eastAsia="宋体" w:cs="宋体"/>
                <w:b/>
                <w:bCs w:val="0"/>
                <w:color w:val="auto"/>
                <w:sz w:val="21"/>
                <w:szCs w:val="21"/>
                <w:highlight w:val="none"/>
              </w:rPr>
            </w:pPr>
            <w:r>
              <w:rPr>
                <w:rFonts w:hint="eastAsia" w:ascii="宋体" w:hAnsi="宋体" w:eastAsia="宋体" w:cs="宋体"/>
                <w:b/>
                <w:bCs w:val="0"/>
                <w:color w:val="auto"/>
                <w:kern w:val="0"/>
                <w:sz w:val="21"/>
                <w:szCs w:val="21"/>
                <w:highlight w:val="none"/>
                <w:lang w:val="en-US" w:eastAsia="zh-CN" w:bidi="ar"/>
              </w:rPr>
              <w:t xml:space="preserve">                                                                     日期：    年  月   日</w:t>
            </w:r>
          </w:p>
        </w:tc>
      </w:tr>
    </w:tbl>
    <w:p>
      <w:pPr>
        <w:keepNext w:val="0"/>
        <w:keepLines w:val="0"/>
        <w:widowControl/>
        <w:suppressLineNumbers w:val="0"/>
        <w:spacing w:before="0" w:beforeAutospacing="0" w:after="0" w:afterAutospacing="0" w:line="360" w:lineRule="auto"/>
        <w:ind w:left="420" w:right="0" w:firstLine="0"/>
        <w:jc w:val="left"/>
        <w:rPr>
          <w:rFonts w:hint="default" w:ascii="Times New Roman" w:hAnsi="Times New Roman" w:eastAsia="宋体"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r>
        <w:rPr>
          <w:rFonts w:hint="default" w:ascii="Times New Roman" w:hAnsi="Times New Roman" w:eastAsia="宋体" w:cs="Times New Roman"/>
          <w:color w:val="auto"/>
          <w:kern w:val="0"/>
          <w:sz w:val="21"/>
          <w:szCs w:val="21"/>
          <w:highlight w:val="none"/>
          <w:lang w:val="en-US" w:eastAsia="zh-CN" w:bidi="ar"/>
        </w:rPr>
        <w:t xml:space="preserve"> </w:t>
      </w:r>
    </w:p>
    <w:p>
      <w:pPr>
        <w:keepNext w:val="0"/>
        <w:keepLines w:val="0"/>
        <w:widowControl/>
        <w:suppressLineNumbers w:val="0"/>
        <w:spacing w:before="120" w:beforeAutospacing="0" w:after="0" w:afterAutospacing="1" w:line="360" w:lineRule="auto"/>
        <w:ind w:left="0" w:leftChars="0" w:right="-27" w:firstLine="0" w:firstLineChars="0"/>
        <w:jc w:val="both"/>
        <w:rPr>
          <w:rFonts w:hint="default" w:ascii="Times New Roman" w:hAnsi="Times New Roman" w:eastAsia="宋体" w:cs="Times New Roman"/>
          <w:color w:val="auto"/>
          <w:sz w:val="21"/>
          <w:szCs w:val="21"/>
          <w:highlight w:val="none"/>
        </w:rPr>
      </w:pPr>
    </w:p>
    <w:p>
      <w:pPr>
        <w:ind w:left="0" w:leftChars="0" w:firstLine="0" w:firstLineChars="0"/>
        <w:rPr>
          <w:color w:val="auto"/>
          <w:highlight w:val="none"/>
        </w:rPr>
      </w:pPr>
    </w:p>
    <w:p>
      <w:pPr>
        <w:rPr>
          <w:color w:val="auto"/>
          <w:highlight w:val="none"/>
        </w:rPr>
      </w:pPr>
    </w:p>
    <w:sectPr>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22taQ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A1407"/>
    <w:multiLevelType w:val="singleLevel"/>
    <w:tmpl w:val="A80A1407"/>
    <w:lvl w:ilvl="0" w:tentative="0">
      <w:start w:val="7"/>
      <w:numFmt w:val="decimal"/>
      <w:lvlText w:val="%1."/>
      <w:lvlJc w:val="left"/>
      <w:pPr>
        <w:tabs>
          <w:tab w:val="left" w:pos="312"/>
        </w:tabs>
      </w:pPr>
    </w:lvl>
  </w:abstractNum>
  <w:abstractNum w:abstractNumId="1">
    <w:nsid w:val="C2AA358B"/>
    <w:multiLevelType w:val="singleLevel"/>
    <w:tmpl w:val="C2AA358B"/>
    <w:lvl w:ilvl="0" w:tentative="0">
      <w:start w:val="1"/>
      <w:numFmt w:val="decimal"/>
      <w:suff w:val="nothing"/>
      <w:lvlText w:val="（%1）"/>
      <w:lvlJc w:val="left"/>
    </w:lvl>
  </w:abstractNum>
  <w:abstractNum w:abstractNumId="2">
    <w:nsid w:val="CF17F3D2"/>
    <w:multiLevelType w:val="singleLevel"/>
    <w:tmpl w:val="CF17F3D2"/>
    <w:lvl w:ilvl="0" w:tentative="0">
      <w:start w:val="2"/>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2">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4">
    <w:nsid w:val="7D836369"/>
    <w:multiLevelType w:val="singleLevel"/>
    <w:tmpl w:val="7D836369"/>
    <w:lvl w:ilvl="0" w:tentative="0">
      <w:start w:val="6"/>
      <w:numFmt w:val="chineseCounting"/>
      <w:suff w:val="nothing"/>
      <w:lvlText w:val="%1、"/>
      <w:lvlJc w:val="left"/>
      <w:rPr>
        <w:rFonts w:hint="eastAsia"/>
      </w:rPr>
    </w:lvl>
  </w:abstractNum>
  <w:num w:numId="1">
    <w:abstractNumId w:val="1"/>
  </w:num>
  <w:num w:numId="2">
    <w:abstractNumId w:val="7"/>
  </w:num>
  <w:num w:numId="3">
    <w:abstractNumId w:val="13"/>
  </w:num>
  <w:num w:numId="4">
    <w:abstractNumId w:val="4"/>
  </w:num>
  <w:num w:numId="5">
    <w:abstractNumId w:val="3"/>
  </w:num>
  <w:num w:numId="6">
    <w:abstractNumId w:val="12"/>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0"/>
  </w:num>
  <w:num w:numId="13">
    <w:abstractNumId w:val="0"/>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ODc4ZTQxZWIzYWJkNWU0Nzc3NTc1MjQ3Mjk3YWEifQ=="/>
  </w:docVars>
  <w:rsids>
    <w:rsidRoot w:val="00172A27"/>
    <w:rsid w:val="000000F2"/>
    <w:rsid w:val="00000139"/>
    <w:rsid w:val="000045EA"/>
    <w:rsid w:val="00007C3F"/>
    <w:rsid w:val="00007D0F"/>
    <w:rsid w:val="00012671"/>
    <w:rsid w:val="00012D71"/>
    <w:rsid w:val="000143B4"/>
    <w:rsid w:val="000153C5"/>
    <w:rsid w:val="00015B06"/>
    <w:rsid w:val="00022F88"/>
    <w:rsid w:val="000246E5"/>
    <w:rsid w:val="00030F30"/>
    <w:rsid w:val="00041435"/>
    <w:rsid w:val="000437E6"/>
    <w:rsid w:val="00043E88"/>
    <w:rsid w:val="00050898"/>
    <w:rsid w:val="0005200D"/>
    <w:rsid w:val="00053430"/>
    <w:rsid w:val="0006119F"/>
    <w:rsid w:val="000645DE"/>
    <w:rsid w:val="000649D9"/>
    <w:rsid w:val="00064F62"/>
    <w:rsid w:val="00067BAA"/>
    <w:rsid w:val="00070470"/>
    <w:rsid w:val="00074337"/>
    <w:rsid w:val="00081F9C"/>
    <w:rsid w:val="0008222E"/>
    <w:rsid w:val="00092270"/>
    <w:rsid w:val="00092B1B"/>
    <w:rsid w:val="0009493E"/>
    <w:rsid w:val="0009578B"/>
    <w:rsid w:val="00095B78"/>
    <w:rsid w:val="000A0870"/>
    <w:rsid w:val="000A15C0"/>
    <w:rsid w:val="000A1767"/>
    <w:rsid w:val="000A49C9"/>
    <w:rsid w:val="000B34C7"/>
    <w:rsid w:val="000B47F0"/>
    <w:rsid w:val="000B580F"/>
    <w:rsid w:val="000B5BA2"/>
    <w:rsid w:val="000B7740"/>
    <w:rsid w:val="000C1668"/>
    <w:rsid w:val="000C1D2F"/>
    <w:rsid w:val="000C20C1"/>
    <w:rsid w:val="000C2569"/>
    <w:rsid w:val="000C32A2"/>
    <w:rsid w:val="000C53FF"/>
    <w:rsid w:val="000C56A1"/>
    <w:rsid w:val="000C68D6"/>
    <w:rsid w:val="000D2B9F"/>
    <w:rsid w:val="000D3045"/>
    <w:rsid w:val="000E072A"/>
    <w:rsid w:val="000E7DA5"/>
    <w:rsid w:val="000F56F5"/>
    <w:rsid w:val="000F5E28"/>
    <w:rsid w:val="000F6EB3"/>
    <w:rsid w:val="00100517"/>
    <w:rsid w:val="00102558"/>
    <w:rsid w:val="0011106B"/>
    <w:rsid w:val="0011296C"/>
    <w:rsid w:val="001207B4"/>
    <w:rsid w:val="00126DC2"/>
    <w:rsid w:val="00126FBA"/>
    <w:rsid w:val="001315CE"/>
    <w:rsid w:val="001315D9"/>
    <w:rsid w:val="00133115"/>
    <w:rsid w:val="00133A8C"/>
    <w:rsid w:val="00135B62"/>
    <w:rsid w:val="00135C49"/>
    <w:rsid w:val="00135CAC"/>
    <w:rsid w:val="00136FF6"/>
    <w:rsid w:val="001411F2"/>
    <w:rsid w:val="00141670"/>
    <w:rsid w:val="001445DC"/>
    <w:rsid w:val="001520D4"/>
    <w:rsid w:val="0015296D"/>
    <w:rsid w:val="00155FD4"/>
    <w:rsid w:val="00157033"/>
    <w:rsid w:val="001573CC"/>
    <w:rsid w:val="0017175E"/>
    <w:rsid w:val="0017442C"/>
    <w:rsid w:val="00180594"/>
    <w:rsid w:val="00183519"/>
    <w:rsid w:val="001847D7"/>
    <w:rsid w:val="00184CF1"/>
    <w:rsid w:val="00186A28"/>
    <w:rsid w:val="00190130"/>
    <w:rsid w:val="00190B14"/>
    <w:rsid w:val="001A37D3"/>
    <w:rsid w:val="001A3FCA"/>
    <w:rsid w:val="001A4DE3"/>
    <w:rsid w:val="001B0893"/>
    <w:rsid w:val="001B36E7"/>
    <w:rsid w:val="001B51C0"/>
    <w:rsid w:val="001C0C50"/>
    <w:rsid w:val="001C4286"/>
    <w:rsid w:val="001E0D82"/>
    <w:rsid w:val="001E0D93"/>
    <w:rsid w:val="001E5985"/>
    <w:rsid w:val="001E5F4A"/>
    <w:rsid w:val="001E6308"/>
    <w:rsid w:val="001F01A1"/>
    <w:rsid w:val="001F0F70"/>
    <w:rsid w:val="00201DC0"/>
    <w:rsid w:val="002041A6"/>
    <w:rsid w:val="00205033"/>
    <w:rsid w:val="00206D2E"/>
    <w:rsid w:val="00210D44"/>
    <w:rsid w:val="00212AF9"/>
    <w:rsid w:val="0021505D"/>
    <w:rsid w:val="00226768"/>
    <w:rsid w:val="00226771"/>
    <w:rsid w:val="00226B2E"/>
    <w:rsid w:val="00226D0E"/>
    <w:rsid w:val="00233B35"/>
    <w:rsid w:val="00235FAD"/>
    <w:rsid w:val="00237A98"/>
    <w:rsid w:val="00237B66"/>
    <w:rsid w:val="002402C4"/>
    <w:rsid w:val="0024287B"/>
    <w:rsid w:val="002441F7"/>
    <w:rsid w:val="0024741B"/>
    <w:rsid w:val="00261C13"/>
    <w:rsid w:val="00261C93"/>
    <w:rsid w:val="00265564"/>
    <w:rsid w:val="00266870"/>
    <w:rsid w:val="00272F80"/>
    <w:rsid w:val="0027764C"/>
    <w:rsid w:val="0028366D"/>
    <w:rsid w:val="00285273"/>
    <w:rsid w:val="00285531"/>
    <w:rsid w:val="002A056A"/>
    <w:rsid w:val="002A20A0"/>
    <w:rsid w:val="002B1394"/>
    <w:rsid w:val="002C556E"/>
    <w:rsid w:val="002C5B0F"/>
    <w:rsid w:val="002D23D9"/>
    <w:rsid w:val="002D2720"/>
    <w:rsid w:val="002D2931"/>
    <w:rsid w:val="002D6D0E"/>
    <w:rsid w:val="002E190D"/>
    <w:rsid w:val="002E6BE3"/>
    <w:rsid w:val="002E73CC"/>
    <w:rsid w:val="00311468"/>
    <w:rsid w:val="00313976"/>
    <w:rsid w:val="003166B6"/>
    <w:rsid w:val="00316E03"/>
    <w:rsid w:val="003207F4"/>
    <w:rsid w:val="00320BB7"/>
    <w:rsid w:val="00327148"/>
    <w:rsid w:val="00330D78"/>
    <w:rsid w:val="003354EE"/>
    <w:rsid w:val="00336F6C"/>
    <w:rsid w:val="00337C6A"/>
    <w:rsid w:val="00345B87"/>
    <w:rsid w:val="003464E7"/>
    <w:rsid w:val="00353318"/>
    <w:rsid w:val="00354E36"/>
    <w:rsid w:val="003568E4"/>
    <w:rsid w:val="00361313"/>
    <w:rsid w:val="00366002"/>
    <w:rsid w:val="0036732D"/>
    <w:rsid w:val="003706A5"/>
    <w:rsid w:val="003712A4"/>
    <w:rsid w:val="00383573"/>
    <w:rsid w:val="00393EBC"/>
    <w:rsid w:val="00395A23"/>
    <w:rsid w:val="003976C2"/>
    <w:rsid w:val="003976F0"/>
    <w:rsid w:val="003A0C71"/>
    <w:rsid w:val="003A170B"/>
    <w:rsid w:val="003A286A"/>
    <w:rsid w:val="003A7F1A"/>
    <w:rsid w:val="003B097F"/>
    <w:rsid w:val="003B2656"/>
    <w:rsid w:val="003B3099"/>
    <w:rsid w:val="003B3C51"/>
    <w:rsid w:val="003B43D3"/>
    <w:rsid w:val="003B4610"/>
    <w:rsid w:val="003B5109"/>
    <w:rsid w:val="003B6BE9"/>
    <w:rsid w:val="003C312A"/>
    <w:rsid w:val="003C4653"/>
    <w:rsid w:val="003D0506"/>
    <w:rsid w:val="003D17D8"/>
    <w:rsid w:val="003D3A75"/>
    <w:rsid w:val="003D3B2E"/>
    <w:rsid w:val="003D6118"/>
    <w:rsid w:val="003E454F"/>
    <w:rsid w:val="003E6DFB"/>
    <w:rsid w:val="003F1C69"/>
    <w:rsid w:val="003F2270"/>
    <w:rsid w:val="003F746F"/>
    <w:rsid w:val="004043A2"/>
    <w:rsid w:val="004117BD"/>
    <w:rsid w:val="00412A48"/>
    <w:rsid w:val="00414B71"/>
    <w:rsid w:val="00417574"/>
    <w:rsid w:val="004215F1"/>
    <w:rsid w:val="0042215D"/>
    <w:rsid w:val="00425513"/>
    <w:rsid w:val="0043285C"/>
    <w:rsid w:val="00436E82"/>
    <w:rsid w:val="00437188"/>
    <w:rsid w:val="00440F9A"/>
    <w:rsid w:val="00441161"/>
    <w:rsid w:val="00443ADE"/>
    <w:rsid w:val="0044418D"/>
    <w:rsid w:val="004444B9"/>
    <w:rsid w:val="004518D2"/>
    <w:rsid w:val="0045479E"/>
    <w:rsid w:val="004632AA"/>
    <w:rsid w:val="00464EF1"/>
    <w:rsid w:val="00466E82"/>
    <w:rsid w:val="00473B02"/>
    <w:rsid w:val="00476FBE"/>
    <w:rsid w:val="00483264"/>
    <w:rsid w:val="00483FD0"/>
    <w:rsid w:val="004918F3"/>
    <w:rsid w:val="00496DFD"/>
    <w:rsid w:val="004A0C16"/>
    <w:rsid w:val="004A0D30"/>
    <w:rsid w:val="004A5543"/>
    <w:rsid w:val="004A585E"/>
    <w:rsid w:val="004A6BD6"/>
    <w:rsid w:val="004B1E96"/>
    <w:rsid w:val="004B508D"/>
    <w:rsid w:val="004B62C0"/>
    <w:rsid w:val="004B6350"/>
    <w:rsid w:val="004C09AF"/>
    <w:rsid w:val="004C28A9"/>
    <w:rsid w:val="004C3243"/>
    <w:rsid w:val="004C7017"/>
    <w:rsid w:val="004D03B0"/>
    <w:rsid w:val="004D1018"/>
    <w:rsid w:val="004D449E"/>
    <w:rsid w:val="004D4C3A"/>
    <w:rsid w:val="004E0AD3"/>
    <w:rsid w:val="004E12DE"/>
    <w:rsid w:val="004E3041"/>
    <w:rsid w:val="004F6E95"/>
    <w:rsid w:val="00500C4A"/>
    <w:rsid w:val="00505261"/>
    <w:rsid w:val="00507578"/>
    <w:rsid w:val="00510E4D"/>
    <w:rsid w:val="00512701"/>
    <w:rsid w:val="00512A45"/>
    <w:rsid w:val="00517012"/>
    <w:rsid w:val="005179CA"/>
    <w:rsid w:val="00525916"/>
    <w:rsid w:val="0052634A"/>
    <w:rsid w:val="00532363"/>
    <w:rsid w:val="00541401"/>
    <w:rsid w:val="005418DB"/>
    <w:rsid w:val="0054269C"/>
    <w:rsid w:val="005448AD"/>
    <w:rsid w:val="00545844"/>
    <w:rsid w:val="00545C28"/>
    <w:rsid w:val="005470DC"/>
    <w:rsid w:val="00562190"/>
    <w:rsid w:val="005639E1"/>
    <w:rsid w:val="00564C20"/>
    <w:rsid w:val="00571D43"/>
    <w:rsid w:val="00574C3B"/>
    <w:rsid w:val="00575AB8"/>
    <w:rsid w:val="0057690D"/>
    <w:rsid w:val="00584B6B"/>
    <w:rsid w:val="00586EEC"/>
    <w:rsid w:val="00587B70"/>
    <w:rsid w:val="00590D98"/>
    <w:rsid w:val="005A1A6A"/>
    <w:rsid w:val="005A2E67"/>
    <w:rsid w:val="005A5B47"/>
    <w:rsid w:val="005B01E0"/>
    <w:rsid w:val="005B13C6"/>
    <w:rsid w:val="005B2E43"/>
    <w:rsid w:val="005B439E"/>
    <w:rsid w:val="005C0AA6"/>
    <w:rsid w:val="005C5759"/>
    <w:rsid w:val="005C5B0E"/>
    <w:rsid w:val="005C6881"/>
    <w:rsid w:val="005D0204"/>
    <w:rsid w:val="005D0BB2"/>
    <w:rsid w:val="005D1CA7"/>
    <w:rsid w:val="005D2E70"/>
    <w:rsid w:val="005D30DE"/>
    <w:rsid w:val="005D3FBE"/>
    <w:rsid w:val="005E5912"/>
    <w:rsid w:val="005F2A05"/>
    <w:rsid w:val="005F2C46"/>
    <w:rsid w:val="005F5B89"/>
    <w:rsid w:val="00606397"/>
    <w:rsid w:val="006173A4"/>
    <w:rsid w:val="00622520"/>
    <w:rsid w:val="00624673"/>
    <w:rsid w:val="00627505"/>
    <w:rsid w:val="006279E7"/>
    <w:rsid w:val="00634596"/>
    <w:rsid w:val="006425FA"/>
    <w:rsid w:val="00642B95"/>
    <w:rsid w:val="00644532"/>
    <w:rsid w:val="006457FD"/>
    <w:rsid w:val="00647559"/>
    <w:rsid w:val="00651F7F"/>
    <w:rsid w:val="006523EB"/>
    <w:rsid w:val="00653C14"/>
    <w:rsid w:val="0065460D"/>
    <w:rsid w:val="0066001D"/>
    <w:rsid w:val="0066187E"/>
    <w:rsid w:val="006679DC"/>
    <w:rsid w:val="00670400"/>
    <w:rsid w:val="006724B7"/>
    <w:rsid w:val="00672F69"/>
    <w:rsid w:val="00677925"/>
    <w:rsid w:val="00677A8A"/>
    <w:rsid w:val="00683396"/>
    <w:rsid w:val="00690FA6"/>
    <w:rsid w:val="006922EC"/>
    <w:rsid w:val="00693DF4"/>
    <w:rsid w:val="00695EDE"/>
    <w:rsid w:val="006A23E9"/>
    <w:rsid w:val="006A2F07"/>
    <w:rsid w:val="006A4D72"/>
    <w:rsid w:val="006A543A"/>
    <w:rsid w:val="006A74C5"/>
    <w:rsid w:val="006B6F3C"/>
    <w:rsid w:val="006B7962"/>
    <w:rsid w:val="006C2D0C"/>
    <w:rsid w:val="006C4DC3"/>
    <w:rsid w:val="006C77CD"/>
    <w:rsid w:val="006D4826"/>
    <w:rsid w:val="006E1C8A"/>
    <w:rsid w:val="006F48AD"/>
    <w:rsid w:val="006F51E1"/>
    <w:rsid w:val="006F56A7"/>
    <w:rsid w:val="006F629E"/>
    <w:rsid w:val="007032FC"/>
    <w:rsid w:val="00703D29"/>
    <w:rsid w:val="00703F0B"/>
    <w:rsid w:val="007076B1"/>
    <w:rsid w:val="00712A8D"/>
    <w:rsid w:val="0071330B"/>
    <w:rsid w:val="00722F66"/>
    <w:rsid w:val="00722FCE"/>
    <w:rsid w:val="007258A2"/>
    <w:rsid w:val="007325A0"/>
    <w:rsid w:val="00733600"/>
    <w:rsid w:val="007339A9"/>
    <w:rsid w:val="007345D7"/>
    <w:rsid w:val="00735BD4"/>
    <w:rsid w:val="00737A61"/>
    <w:rsid w:val="00741B8D"/>
    <w:rsid w:val="00746901"/>
    <w:rsid w:val="00750C92"/>
    <w:rsid w:val="00751CDD"/>
    <w:rsid w:val="00753178"/>
    <w:rsid w:val="00754FB0"/>
    <w:rsid w:val="00756CAA"/>
    <w:rsid w:val="007619A3"/>
    <w:rsid w:val="00762CB8"/>
    <w:rsid w:val="0077088A"/>
    <w:rsid w:val="00773380"/>
    <w:rsid w:val="007808DF"/>
    <w:rsid w:val="00781088"/>
    <w:rsid w:val="00785F88"/>
    <w:rsid w:val="00786B37"/>
    <w:rsid w:val="00792362"/>
    <w:rsid w:val="00792DB5"/>
    <w:rsid w:val="007A04DC"/>
    <w:rsid w:val="007A287A"/>
    <w:rsid w:val="007A2EB0"/>
    <w:rsid w:val="007A2F44"/>
    <w:rsid w:val="007B04FF"/>
    <w:rsid w:val="007B38CA"/>
    <w:rsid w:val="007B6DA0"/>
    <w:rsid w:val="007C15ED"/>
    <w:rsid w:val="007C19AE"/>
    <w:rsid w:val="007C2CCC"/>
    <w:rsid w:val="007C337F"/>
    <w:rsid w:val="007C5E92"/>
    <w:rsid w:val="007D0888"/>
    <w:rsid w:val="007D15E0"/>
    <w:rsid w:val="007D1BCF"/>
    <w:rsid w:val="007D2A21"/>
    <w:rsid w:val="007D2FAE"/>
    <w:rsid w:val="007D399D"/>
    <w:rsid w:val="007D47B8"/>
    <w:rsid w:val="007D59AF"/>
    <w:rsid w:val="007D7DEB"/>
    <w:rsid w:val="007F0619"/>
    <w:rsid w:val="007F28DB"/>
    <w:rsid w:val="007F4345"/>
    <w:rsid w:val="0080289D"/>
    <w:rsid w:val="00803C1E"/>
    <w:rsid w:val="00804954"/>
    <w:rsid w:val="008057F1"/>
    <w:rsid w:val="00810B98"/>
    <w:rsid w:val="0081164E"/>
    <w:rsid w:val="00813A89"/>
    <w:rsid w:val="0081520A"/>
    <w:rsid w:val="00816129"/>
    <w:rsid w:val="008177BD"/>
    <w:rsid w:val="00824189"/>
    <w:rsid w:val="008252F0"/>
    <w:rsid w:val="00825CDA"/>
    <w:rsid w:val="00826A20"/>
    <w:rsid w:val="00826EBD"/>
    <w:rsid w:val="0083668C"/>
    <w:rsid w:val="00840E0D"/>
    <w:rsid w:val="008461E9"/>
    <w:rsid w:val="008475AA"/>
    <w:rsid w:val="00852234"/>
    <w:rsid w:val="00854482"/>
    <w:rsid w:val="00856873"/>
    <w:rsid w:val="00860F02"/>
    <w:rsid w:val="00861912"/>
    <w:rsid w:val="008657A4"/>
    <w:rsid w:val="0086730C"/>
    <w:rsid w:val="00871B1E"/>
    <w:rsid w:val="00871EE6"/>
    <w:rsid w:val="00877F0C"/>
    <w:rsid w:val="0088026D"/>
    <w:rsid w:val="00881EB7"/>
    <w:rsid w:val="00884884"/>
    <w:rsid w:val="0088570D"/>
    <w:rsid w:val="00887902"/>
    <w:rsid w:val="00887983"/>
    <w:rsid w:val="00891420"/>
    <w:rsid w:val="008925F2"/>
    <w:rsid w:val="00892829"/>
    <w:rsid w:val="00895FBB"/>
    <w:rsid w:val="008A0C18"/>
    <w:rsid w:val="008A1E1B"/>
    <w:rsid w:val="008B0302"/>
    <w:rsid w:val="008B0655"/>
    <w:rsid w:val="008B0696"/>
    <w:rsid w:val="008B224C"/>
    <w:rsid w:val="008B6854"/>
    <w:rsid w:val="008B6EFB"/>
    <w:rsid w:val="008C0265"/>
    <w:rsid w:val="008C0CEF"/>
    <w:rsid w:val="008C1BE4"/>
    <w:rsid w:val="008C2226"/>
    <w:rsid w:val="008C77F8"/>
    <w:rsid w:val="008D2976"/>
    <w:rsid w:val="008D727A"/>
    <w:rsid w:val="008E500C"/>
    <w:rsid w:val="008F2A48"/>
    <w:rsid w:val="008F720F"/>
    <w:rsid w:val="009010FB"/>
    <w:rsid w:val="009021F6"/>
    <w:rsid w:val="00902910"/>
    <w:rsid w:val="00904592"/>
    <w:rsid w:val="00906D34"/>
    <w:rsid w:val="009103FB"/>
    <w:rsid w:val="009112F1"/>
    <w:rsid w:val="009120C7"/>
    <w:rsid w:val="009123C5"/>
    <w:rsid w:val="009149F0"/>
    <w:rsid w:val="00916179"/>
    <w:rsid w:val="00917615"/>
    <w:rsid w:val="00921A28"/>
    <w:rsid w:val="00925337"/>
    <w:rsid w:val="00931174"/>
    <w:rsid w:val="009352E0"/>
    <w:rsid w:val="00937B1F"/>
    <w:rsid w:val="0094110B"/>
    <w:rsid w:val="00943AAF"/>
    <w:rsid w:val="00944B82"/>
    <w:rsid w:val="00945006"/>
    <w:rsid w:val="009451A1"/>
    <w:rsid w:val="00952E2E"/>
    <w:rsid w:val="00956B31"/>
    <w:rsid w:val="00956FA8"/>
    <w:rsid w:val="00957AA0"/>
    <w:rsid w:val="009604CB"/>
    <w:rsid w:val="00961F4A"/>
    <w:rsid w:val="009620BE"/>
    <w:rsid w:val="00965538"/>
    <w:rsid w:val="0097464F"/>
    <w:rsid w:val="00984BFB"/>
    <w:rsid w:val="009912C9"/>
    <w:rsid w:val="00991B49"/>
    <w:rsid w:val="009932AA"/>
    <w:rsid w:val="00995A55"/>
    <w:rsid w:val="009A7B76"/>
    <w:rsid w:val="009B0988"/>
    <w:rsid w:val="009B66CC"/>
    <w:rsid w:val="009C5DF4"/>
    <w:rsid w:val="009C7AF9"/>
    <w:rsid w:val="009D12B7"/>
    <w:rsid w:val="009D3453"/>
    <w:rsid w:val="009D74A2"/>
    <w:rsid w:val="009E1329"/>
    <w:rsid w:val="009E28E5"/>
    <w:rsid w:val="009E4CE3"/>
    <w:rsid w:val="009E530D"/>
    <w:rsid w:val="009F1549"/>
    <w:rsid w:val="009F214A"/>
    <w:rsid w:val="009F374F"/>
    <w:rsid w:val="009F3F98"/>
    <w:rsid w:val="009F588C"/>
    <w:rsid w:val="00A02C14"/>
    <w:rsid w:val="00A03373"/>
    <w:rsid w:val="00A05ECF"/>
    <w:rsid w:val="00A07012"/>
    <w:rsid w:val="00A11C51"/>
    <w:rsid w:val="00A1337E"/>
    <w:rsid w:val="00A2023E"/>
    <w:rsid w:val="00A249A4"/>
    <w:rsid w:val="00A2528E"/>
    <w:rsid w:val="00A34C49"/>
    <w:rsid w:val="00A450AA"/>
    <w:rsid w:val="00A461C1"/>
    <w:rsid w:val="00A52C1B"/>
    <w:rsid w:val="00A53C2C"/>
    <w:rsid w:val="00A54B67"/>
    <w:rsid w:val="00A54F86"/>
    <w:rsid w:val="00A615BB"/>
    <w:rsid w:val="00A63392"/>
    <w:rsid w:val="00A722C5"/>
    <w:rsid w:val="00A8049B"/>
    <w:rsid w:val="00A83B99"/>
    <w:rsid w:val="00A859DC"/>
    <w:rsid w:val="00A872DA"/>
    <w:rsid w:val="00A9122E"/>
    <w:rsid w:val="00A91F36"/>
    <w:rsid w:val="00A93777"/>
    <w:rsid w:val="00A93A7F"/>
    <w:rsid w:val="00A94CC2"/>
    <w:rsid w:val="00AA0FB3"/>
    <w:rsid w:val="00AA140A"/>
    <w:rsid w:val="00AA64EA"/>
    <w:rsid w:val="00AB6B27"/>
    <w:rsid w:val="00AC056E"/>
    <w:rsid w:val="00AD6B25"/>
    <w:rsid w:val="00AD6ED0"/>
    <w:rsid w:val="00AD73A3"/>
    <w:rsid w:val="00AE043C"/>
    <w:rsid w:val="00AE2C17"/>
    <w:rsid w:val="00AE5333"/>
    <w:rsid w:val="00AE6F3C"/>
    <w:rsid w:val="00AF196A"/>
    <w:rsid w:val="00AF3CC8"/>
    <w:rsid w:val="00AF54E1"/>
    <w:rsid w:val="00B04E81"/>
    <w:rsid w:val="00B1360D"/>
    <w:rsid w:val="00B14E6B"/>
    <w:rsid w:val="00B16089"/>
    <w:rsid w:val="00B1754B"/>
    <w:rsid w:val="00B266B6"/>
    <w:rsid w:val="00B31CA2"/>
    <w:rsid w:val="00B327E3"/>
    <w:rsid w:val="00B448CF"/>
    <w:rsid w:val="00B457D5"/>
    <w:rsid w:val="00B47764"/>
    <w:rsid w:val="00B4784E"/>
    <w:rsid w:val="00B5294B"/>
    <w:rsid w:val="00B52D63"/>
    <w:rsid w:val="00B61E59"/>
    <w:rsid w:val="00B62476"/>
    <w:rsid w:val="00B67011"/>
    <w:rsid w:val="00B71D9B"/>
    <w:rsid w:val="00B73134"/>
    <w:rsid w:val="00B80D2F"/>
    <w:rsid w:val="00B82E58"/>
    <w:rsid w:val="00B84F33"/>
    <w:rsid w:val="00B863CD"/>
    <w:rsid w:val="00B90EB4"/>
    <w:rsid w:val="00B96A2A"/>
    <w:rsid w:val="00B97802"/>
    <w:rsid w:val="00BA0E5D"/>
    <w:rsid w:val="00BA3124"/>
    <w:rsid w:val="00BA37AA"/>
    <w:rsid w:val="00BA430E"/>
    <w:rsid w:val="00BA47FF"/>
    <w:rsid w:val="00BA55B3"/>
    <w:rsid w:val="00BB2B84"/>
    <w:rsid w:val="00BC27C8"/>
    <w:rsid w:val="00BC6146"/>
    <w:rsid w:val="00BC7F03"/>
    <w:rsid w:val="00BD228F"/>
    <w:rsid w:val="00BD389A"/>
    <w:rsid w:val="00BD67D8"/>
    <w:rsid w:val="00BE0E72"/>
    <w:rsid w:val="00BE2F9C"/>
    <w:rsid w:val="00BE3C13"/>
    <w:rsid w:val="00BE51E0"/>
    <w:rsid w:val="00BE6FF1"/>
    <w:rsid w:val="00BF3812"/>
    <w:rsid w:val="00BF4099"/>
    <w:rsid w:val="00BF5EC4"/>
    <w:rsid w:val="00C06754"/>
    <w:rsid w:val="00C07A4F"/>
    <w:rsid w:val="00C13489"/>
    <w:rsid w:val="00C244BA"/>
    <w:rsid w:val="00C254EC"/>
    <w:rsid w:val="00C25AD7"/>
    <w:rsid w:val="00C31620"/>
    <w:rsid w:val="00C35A6C"/>
    <w:rsid w:val="00C3605A"/>
    <w:rsid w:val="00C40424"/>
    <w:rsid w:val="00C4070E"/>
    <w:rsid w:val="00C446BE"/>
    <w:rsid w:val="00C46538"/>
    <w:rsid w:val="00C46568"/>
    <w:rsid w:val="00C519A3"/>
    <w:rsid w:val="00C524FA"/>
    <w:rsid w:val="00C5356C"/>
    <w:rsid w:val="00C557E5"/>
    <w:rsid w:val="00C61DF1"/>
    <w:rsid w:val="00C636A8"/>
    <w:rsid w:val="00C6379C"/>
    <w:rsid w:val="00C645B2"/>
    <w:rsid w:val="00C649A3"/>
    <w:rsid w:val="00C64C38"/>
    <w:rsid w:val="00C64D53"/>
    <w:rsid w:val="00C67B6C"/>
    <w:rsid w:val="00C716E6"/>
    <w:rsid w:val="00C738D8"/>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1E6"/>
    <w:rsid w:val="00CC6D92"/>
    <w:rsid w:val="00CD04A5"/>
    <w:rsid w:val="00CD0CA9"/>
    <w:rsid w:val="00CD3C2F"/>
    <w:rsid w:val="00CD7D67"/>
    <w:rsid w:val="00CE01EF"/>
    <w:rsid w:val="00CE69E8"/>
    <w:rsid w:val="00CF001A"/>
    <w:rsid w:val="00CF355D"/>
    <w:rsid w:val="00CF4EE2"/>
    <w:rsid w:val="00D0134F"/>
    <w:rsid w:val="00D0202D"/>
    <w:rsid w:val="00D037DA"/>
    <w:rsid w:val="00D06A07"/>
    <w:rsid w:val="00D14665"/>
    <w:rsid w:val="00D14E99"/>
    <w:rsid w:val="00D1571D"/>
    <w:rsid w:val="00D21E36"/>
    <w:rsid w:val="00D22F96"/>
    <w:rsid w:val="00D2321E"/>
    <w:rsid w:val="00D23492"/>
    <w:rsid w:val="00D26520"/>
    <w:rsid w:val="00D277F8"/>
    <w:rsid w:val="00D300DD"/>
    <w:rsid w:val="00D44F13"/>
    <w:rsid w:val="00D479CD"/>
    <w:rsid w:val="00D6035F"/>
    <w:rsid w:val="00D74E9C"/>
    <w:rsid w:val="00D829D0"/>
    <w:rsid w:val="00D83BA3"/>
    <w:rsid w:val="00D83FEB"/>
    <w:rsid w:val="00D841A1"/>
    <w:rsid w:val="00D84F11"/>
    <w:rsid w:val="00D92C17"/>
    <w:rsid w:val="00D930BB"/>
    <w:rsid w:val="00D932AD"/>
    <w:rsid w:val="00D93779"/>
    <w:rsid w:val="00D95A48"/>
    <w:rsid w:val="00D95A4C"/>
    <w:rsid w:val="00D964EF"/>
    <w:rsid w:val="00D967A2"/>
    <w:rsid w:val="00D96D37"/>
    <w:rsid w:val="00DB181C"/>
    <w:rsid w:val="00DD0759"/>
    <w:rsid w:val="00DD645E"/>
    <w:rsid w:val="00DE249D"/>
    <w:rsid w:val="00DE4CB0"/>
    <w:rsid w:val="00DE5EAC"/>
    <w:rsid w:val="00DE77B9"/>
    <w:rsid w:val="00DF13EC"/>
    <w:rsid w:val="00E02431"/>
    <w:rsid w:val="00E03C51"/>
    <w:rsid w:val="00E11081"/>
    <w:rsid w:val="00E11C3A"/>
    <w:rsid w:val="00E22781"/>
    <w:rsid w:val="00E255AC"/>
    <w:rsid w:val="00E26053"/>
    <w:rsid w:val="00E305F9"/>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67D6"/>
    <w:rsid w:val="00E8709E"/>
    <w:rsid w:val="00E93BCC"/>
    <w:rsid w:val="00E9439E"/>
    <w:rsid w:val="00E96E54"/>
    <w:rsid w:val="00EA11E5"/>
    <w:rsid w:val="00EA1ED7"/>
    <w:rsid w:val="00EA45BE"/>
    <w:rsid w:val="00EA5C66"/>
    <w:rsid w:val="00EA7D2D"/>
    <w:rsid w:val="00EB0C24"/>
    <w:rsid w:val="00EB7510"/>
    <w:rsid w:val="00EC2D7B"/>
    <w:rsid w:val="00EC4905"/>
    <w:rsid w:val="00EC5B8E"/>
    <w:rsid w:val="00EC7653"/>
    <w:rsid w:val="00ED5241"/>
    <w:rsid w:val="00ED64CD"/>
    <w:rsid w:val="00ED7DBB"/>
    <w:rsid w:val="00EE5896"/>
    <w:rsid w:val="00EE6E83"/>
    <w:rsid w:val="00EF20F4"/>
    <w:rsid w:val="00EF2D43"/>
    <w:rsid w:val="00EF2D68"/>
    <w:rsid w:val="00EF5BD9"/>
    <w:rsid w:val="00EF6456"/>
    <w:rsid w:val="00F03403"/>
    <w:rsid w:val="00F06631"/>
    <w:rsid w:val="00F115E5"/>
    <w:rsid w:val="00F121C0"/>
    <w:rsid w:val="00F1492D"/>
    <w:rsid w:val="00F2140E"/>
    <w:rsid w:val="00F21E0F"/>
    <w:rsid w:val="00F275D0"/>
    <w:rsid w:val="00F33035"/>
    <w:rsid w:val="00F331FE"/>
    <w:rsid w:val="00F344D6"/>
    <w:rsid w:val="00F35244"/>
    <w:rsid w:val="00F35F13"/>
    <w:rsid w:val="00F37250"/>
    <w:rsid w:val="00F3752A"/>
    <w:rsid w:val="00F40FBF"/>
    <w:rsid w:val="00F41ABA"/>
    <w:rsid w:val="00F43D41"/>
    <w:rsid w:val="00F502E0"/>
    <w:rsid w:val="00F52F5A"/>
    <w:rsid w:val="00F550F5"/>
    <w:rsid w:val="00F56501"/>
    <w:rsid w:val="00F603CC"/>
    <w:rsid w:val="00F70419"/>
    <w:rsid w:val="00F74EBD"/>
    <w:rsid w:val="00F80561"/>
    <w:rsid w:val="00F80DDA"/>
    <w:rsid w:val="00F82ADB"/>
    <w:rsid w:val="00F831B3"/>
    <w:rsid w:val="00F86B8B"/>
    <w:rsid w:val="00F8733F"/>
    <w:rsid w:val="00F94057"/>
    <w:rsid w:val="00FA73E0"/>
    <w:rsid w:val="00FB3AAB"/>
    <w:rsid w:val="00FC02B4"/>
    <w:rsid w:val="00FD1370"/>
    <w:rsid w:val="00FD2D14"/>
    <w:rsid w:val="00FD5F55"/>
    <w:rsid w:val="00FE3364"/>
    <w:rsid w:val="00FE4AEE"/>
    <w:rsid w:val="00FE6711"/>
    <w:rsid w:val="00FF2D5E"/>
    <w:rsid w:val="00FF3FB5"/>
    <w:rsid w:val="00FF5A2F"/>
    <w:rsid w:val="01931D25"/>
    <w:rsid w:val="01D73702"/>
    <w:rsid w:val="022C71BD"/>
    <w:rsid w:val="024014A2"/>
    <w:rsid w:val="02741B48"/>
    <w:rsid w:val="02982B8B"/>
    <w:rsid w:val="02B0261F"/>
    <w:rsid w:val="02E826FD"/>
    <w:rsid w:val="03532FA6"/>
    <w:rsid w:val="03A27FDE"/>
    <w:rsid w:val="03BD3D36"/>
    <w:rsid w:val="03DC17E3"/>
    <w:rsid w:val="041472D6"/>
    <w:rsid w:val="043467F3"/>
    <w:rsid w:val="04A258FF"/>
    <w:rsid w:val="04AB5538"/>
    <w:rsid w:val="04B56FFC"/>
    <w:rsid w:val="0590322C"/>
    <w:rsid w:val="05AA653C"/>
    <w:rsid w:val="06377F9B"/>
    <w:rsid w:val="065A06FB"/>
    <w:rsid w:val="06E774C5"/>
    <w:rsid w:val="06F24C32"/>
    <w:rsid w:val="07002189"/>
    <w:rsid w:val="07057008"/>
    <w:rsid w:val="07131EBF"/>
    <w:rsid w:val="073F410C"/>
    <w:rsid w:val="074B5DC3"/>
    <w:rsid w:val="07940BDD"/>
    <w:rsid w:val="07A15B45"/>
    <w:rsid w:val="07CA2FAC"/>
    <w:rsid w:val="07D83FA0"/>
    <w:rsid w:val="081751D4"/>
    <w:rsid w:val="081859DF"/>
    <w:rsid w:val="08487BA6"/>
    <w:rsid w:val="08597DA5"/>
    <w:rsid w:val="08971C5B"/>
    <w:rsid w:val="09062A4A"/>
    <w:rsid w:val="09077ABD"/>
    <w:rsid w:val="091B6C1C"/>
    <w:rsid w:val="09417BAA"/>
    <w:rsid w:val="098A1205"/>
    <w:rsid w:val="09DA06B8"/>
    <w:rsid w:val="09E37F70"/>
    <w:rsid w:val="0A34391E"/>
    <w:rsid w:val="0A526203"/>
    <w:rsid w:val="0AA65EBF"/>
    <w:rsid w:val="0ADF5149"/>
    <w:rsid w:val="0B1A2EE8"/>
    <w:rsid w:val="0B330FE2"/>
    <w:rsid w:val="0B380146"/>
    <w:rsid w:val="0B78744C"/>
    <w:rsid w:val="0BA2166C"/>
    <w:rsid w:val="0BDA548E"/>
    <w:rsid w:val="0BFC38B9"/>
    <w:rsid w:val="0C211877"/>
    <w:rsid w:val="0C2B27AC"/>
    <w:rsid w:val="0C341B7B"/>
    <w:rsid w:val="0C656D19"/>
    <w:rsid w:val="0C735F2D"/>
    <w:rsid w:val="0C895DCC"/>
    <w:rsid w:val="0C9E0E40"/>
    <w:rsid w:val="0CA1065F"/>
    <w:rsid w:val="0CDC0361"/>
    <w:rsid w:val="0CFE5E3A"/>
    <w:rsid w:val="0D0429D6"/>
    <w:rsid w:val="0D460BF6"/>
    <w:rsid w:val="0D850E58"/>
    <w:rsid w:val="0D9A41BC"/>
    <w:rsid w:val="0D9B7E75"/>
    <w:rsid w:val="0DA16E77"/>
    <w:rsid w:val="0DE16BD7"/>
    <w:rsid w:val="0DE25F6E"/>
    <w:rsid w:val="0E250E55"/>
    <w:rsid w:val="0EAF597E"/>
    <w:rsid w:val="0ECC12D1"/>
    <w:rsid w:val="0ED61827"/>
    <w:rsid w:val="0FA17473"/>
    <w:rsid w:val="0FBA1BF8"/>
    <w:rsid w:val="0FCB1378"/>
    <w:rsid w:val="0FD77389"/>
    <w:rsid w:val="0FDA6697"/>
    <w:rsid w:val="108A31F2"/>
    <w:rsid w:val="109F647B"/>
    <w:rsid w:val="10A357D8"/>
    <w:rsid w:val="10CB76D4"/>
    <w:rsid w:val="11524D90"/>
    <w:rsid w:val="11821433"/>
    <w:rsid w:val="11B80EC8"/>
    <w:rsid w:val="11BF6026"/>
    <w:rsid w:val="11CC6F30"/>
    <w:rsid w:val="126F4934"/>
    <w:rsid w:val="12B56815"/>
    <w:rsid w:val="12C54C55"/>
    <w:rsid w:val="136D4045"/>
    <w:rsid w:val="138B101F"/>
    <w:rsid w:val="13E36028"/>
    <w:rsid w:val="13FE76FB"/>
    <w:rsid w:val="142C45C0"/>
    <w:rsid w:val="142F43C4"/>
    <w:rsid w:val="14391EBC"/>
    <w:rsid w:val="14A61F77"/>
    <w:rsid w:val="14A83E1E"/>
    <w:rsid w:val="14C34F24"/>
    <w:rsid w:val="14D36B08"/>
    <w:rsid w:val="14D7514B"/>
    <w:rsid w:val="15143415"/>
    <w:rsid w:val="153D191B"/>
    <w:rsid w:val="15537438"/>
    <w:rsid w:val="156B7A49"/>
    <w:rsid w:val="158B78CE"/>
    <w:rsid w:val="15BC62C4"/>
    <w:rsid w:val="1604286A"/>
    <w:rsid w:val="162304A9"/>
    <w:rsid w:val="16450C97"/>
    <w:rsid w:val="165840B5"/>
    <w:rsid w:val="16C62AF7"/>
    <w:rsid w:val="16C73B21"/>
    <w:rsid w:val="16C872BC"/>
    <w:rsid w:val="16EA6AE9"/>
    <w:rsid w:val="170822A7"/>
    <w:rsid w:val="17595E53"/>
    <w:rsid w:val="178526DD"/>
    <w:rsid w:val="17E7723B"/>
    <w:rsid w:val="17FD7140"/>
    <w:rsid w:val="182072A4"/>
    <w:rsid w:val="185E0ADF"/>
    <w:rsid w:val="186837A2"/>
    <w:rsid w:val="18A73166"/>
    <w:rsid w:val="18B2778A"/>
    <w:rsid w:val="18CE0525"/>
    <w:rsid w:val="19393691"/>
    <w:rsid w:val="193E5369"/>
    <w:rsid w:val="195C3428"/>
    <w:rsid w:val="19B21125"/>
    <w:rsid w:val="19D968D8"/>
    <w:rsid w:val="1A325A0A"/>
    <w:rsid w:val="1AEB78E6"/>
    <w:rsid w:val="1AFF2475"/>
    <w:rsid w:val="1BC07C10"/>
    <w:rsid w:val="1BF8705E"/>
    <w:rsid w:val="1C416732"/>
    <w:rsid w:val="1CE87D5C"/>
    <w:rsid w:val="1CF157CF"/>
    <w:rsid w:val="1D1175F9"/>
    <w:rsid w:val="1D20640B"/>
    <w:rsid w:val="1D2652DF"/>
    <w:rsid w:val="1DA309DB"/>
    <w:rsid w:val="1DF443A0"/>
    <w:rsid w:val="1E2506ED"/>
    <w:rsid w:val="1E310D67"/>
    <w:rsid w:val="1E4E4164"/>
    <w:rsid w:val="1E4E51C2"/>
    <w:rsid w:val="1E533D00"/>
    <w:rsid w:val="1E92683A"/>
    <w:rsid w:val="1E992EA6"/>
    <w:rsid w:val="1EAB0141"/>
    <w:rsid w:val="1F2F512A"/>
    <w:rsid w:val="1F585CFC"/>
    <w:rsid w:val="1F662DBD"/>
    <w:rsid w:val="1F725BF5"/>
    <w:rsid w:val="1F7E19C3"/>
    <w:rsid w:val="1FC16504"/>
    <w:rsid w:val="202D72FE"/>
    <w:rsid w:val="20353462"/>
    <w:rsid w:val="205775A3"/>
    <w:rsid w:val="20580C17"/>
    <w:rsid w:val="20A7394C"/>
    <w:rsid w:val="20E656E0"/>
    <w:rsid w:val="21A60CA8"/>
    <w:rsid w:val="21A977C5"/>
    <w:rsid w:val="21DC7C19"/>
    <w:rsid w:val="21E84F63"/>
    <w:rsid w:val="221451BC"/>
    <w:rsid w:val="224C1304"/>
    <w:rsid w:val="231F28AF"/>
    <w:rsid w:val="233F7861"/>
    <w:rsid w:val="2384756A"/>
    <w:rsid w:val="23A06601"/>
    <w:rsid w:val="23AA6C7F"/>
    <w:rsid w:val="23C61050"/>
    <w:rsid w:val="23C864C0"/>
    <w:rsid w:val="23FE2E8A"/>
    <w:rsid w:val="24192F4D"/>
    <w:rsid w:val="242D75D2"/>
    <w:rsid w:val="24365E92"/>
    <w:rsid w:val="249E6E14"/>
    <w:rsid w:val="24C83E91"/>
    <w:rsid w:val="24E97644"/>
    <w:rsid w:val="24EF2F43"/>
    <w:rsid w:val="24F12BA4"/>
    <w:rsid w:val="24F77760"/>
    <w:rsid w:val="257505F6"/>
    <w:rsid w:val="25B00242"/>
    <w:rsid w:val="25D074A1"/>
    <w:rsid w:val="26103708"/>
    <w:rsid w:val="263E0061"/>
    <w:rsid w:val="26433F0F"/>
    <w:rsid w:val="264F4BBE"/>
    <w:rsid w:val="26A044CD"/>
    <w:rsid w:val="26E261D6"/>
    <w:rsid w:val="27455C6D"/>
    <w:rsid w:val="27FA6A57"/>
    <w:rsid w:val="281669B5"/>
    <w:rsid w:val="2831562D"/>
    <w:rsid w:val="28583F36"/>
    <w:rsid w:val="285B510C"/>
    <w:rsid w:val="28814A9F"/>
    <w:rsid w:val="298F31CF"/>
    <w:rsid w:val="29CC61D1"/>
    <w:rsid w:val="29FF65A7"/>
    <w:rsid w:val="2A2F03E4"/>
    <w:rsid w:val="2A766F12"/>
    <w:rsid w:val="2A834AE2"/>
    <w:rsid w:val="2A8555CF"/>
    <w:rsid w:val="2A9860D6"/>
    <w:rsid w:val="2AAE5141"/>
    <w:rsid w:val="2AC63E3A"/>
    <w:rsid w:val="2AD908DC"/>
    <w:rsid w:val="2BE041B6"/>
    <w:rsid w:val="2C2F3C4E"/>
    <w:rsid w:val="2C5006AD"/>
    <w:rsid w:val="2C950AFD"/>
    <w:rsid w:val="2C9B22E6"/>
    <w:rsid w:val="2CAE7E10"/>
    <w:rsid w:val="2CD177EE"/>
    <w:rsid w:val="2D68207B"/>
    <w:rsid w:val="2D9A265E"/>
    <w:rsid w:val="2DBC34F0"/>
    <w:rsid w:val="2DCA302C"/>
    <w:rsid w:val="2E4D6100"/>
    <w:rsid w:val="2E6FACE9"/>
    <w:rsid w:val="2E8D1C8D"/>
    <w:rsid w:val="2E9712D9"/>
    <w:rsid w:val="2F1E028E"/>
    <w:rsid w:val="2F59325D"/>
    <w:rsid w:val="2F6D7B0F"/>
    <w:rsid w:val="2FCA0696"/>
    <w:rsid w:val="2FDE6635"/>
    <w:rsid w:val="2FF3196F"/>
    <w:rsid w:val="30154371"/>
    <w:rsid w:val="301819E1"/>
    <w:rsid w:val="302E3EBE"/>
    <w:rsid w:val="30647C7C"/>
    <w:rsid w:val="30761B12"/>
    <w:rsid w:val="30823509"/>
    <w:rsid w:val="30B71106"/>
    <w:rsid w:val="31091261"/>
    <w:rsid w:val="310D1313"/>
    <w:rsid w:val="312A6D66"/>
    <w:rsid w:val="315B26DB"/>
    <w:rsid w:val="31CA4FA6"/>
    <w:rsid w:val="31D077C5"/>
    <w:rsid w:val="320C6026"/>
    <w:rsid w:val="32A97B6A"/>
    <w:rsid w:val="32C70DB5"/>
    <w:rsid w:val="32CF2642"/>
    <w:rsid w:val="32DF0D23"/>
    <w:rsid w:val="32F211F7"/>
    <w:rsid w:val="33133BB4"/>
    <w:rsid w:val="33280313"/>
    <w:rsid w:val="332B6461"/>
    <w:rsid w:val="33694A91"/>
    <w:rsid w:val="339B6AD5"/>
    <w:rsid w:val="33D95773"/>
    <w:rsid w:val="346B067E"/>
    <w:rsid w:val="34EB675E"/>
    <w:rsid w:val="350A3DC1"/>
    <w:rsid w:val="35C1166C"/>
    <w:rsid w:val="35DB1DA8"/>
    <w:rsid w:val="35DC7431"/>
    <w:rsid w:val="35F750FF"/>
    <w:rsid w:val="35FA576C"/>
    <w:rsid w:val="363B2FD9"/>
    <w:rsid w:val="363F7B73"/>
    <w:rsid w:val="366011AB"/>
    <w:rsid w:val="3689216E"/>
    <w:rsid w:val="368E4BD0"/>
    <w:rsid w:val="377C50FB"/>
    <w:rsid w:val="37A12A4B"/>
    <w:rsid w:val="37DD2E4D"/>
    <w:rsid w:val="38103901"/>
    <w:rsid w:val="387D5183"/>
    <w:rsid w:val="38C3368A"/>
    <w:rsid w:val="39081182"/>
    <w:rsid w:val="39291086"/>
    <w:rsid w:val="396909A8"/>
    <w:rsid w:val="397D41B6"/>
    <w:rsid w:val="39A43E9E"/>
    <w:rsid w:val="39B90C45"/>
    <w:rsid w:val="3A667F7C"/>
    <w:rsid w:val="3A72247D"/>
    <w:rsid w:val="3A9625D3"/>
    <w:rsid w:val="3AC0143A"/>
    <w:rsid w:val="3ADD63DD"/>
    <w:rsid w:val="3AEC50AC"/>
    <w:rsid w:val="3AEE5BCA"/>
    <w:rsid w:val="3AFC150B"/>
    <w:rsid w:val="3B0B3DB7"/>
    <w:rsid w:val="3B27634E"/>
    <w:rsid w:val="3B4F27BE"/>
    <w:rsid w:val="3B507960"/>
    <w:rsid w:val="3B9C1EA7"/>
    <w:rsid w:val="3C502C92"/>
    <w:rsid w:val="3C536315"/>
    <w:rsid w:val="3CC11BBD"/>
    <w:rsid w:val="3CDD7E68"/>
    <w:rsid w:val="3CEF7A5F"/>
    <w:rsid w:val="3D11278F"/>
    <w:rsid w:val="3DBD6E6B"/>
    <w:rsid w:val="3DDB2309"/>
    <w:rsid w:val="3E1C7648"/>
    <w:rsid w:val="3E7513A8"/>
    <w:rsid w:val="3E806858"/>
    <w:rsid w:val="3E93A4F3"/>
    <w:rsid w:val="3EF86FED"/>
    <w:rsid w:val="3F210EA1"/>
    <w:rsid w:val="3F7034A4"/>
    <w:rsid w:val="3F92383F"/>
    <w:rsid w:val="3FA81303"/>
    <w:rsid w:val="3FDF4541"/>
    <w:rsid w:val="402B1DAB"/>
    <w:rsid w:val="403C5B80"/>
    <w:rsid w:val="40880BF2"/>
    <w:rsid w:val="409148B3"/>
    <w:rsid w:val="40D57DED"/>
    <w:rsid w:val="40D83EF0"/>
    <w:rsid w:val="40E24800"/>
    <w:rsid w:val="4138138B"/>
    <w:rsid w:val="41682F77"/>
    <w:rsid w:val="4183336E"/>
    <w:rsid w:val="41836991"/>
    <w:rsid w:val="4191768D"/>
    <w:rsid w:val="41C9151C"/>
    <w:rsid w:val="41F805B2"/>
    <w:rsid w:val="42022D64"/>
    <w:rsid w:val="42022F38"/>
    <w:rsid w:val="423F6B2A"/>
    <w:rsid w:val="42946B5F"/>
    <w:rsid w:val="42EC40B4"/>
    <w:rsid w:val="4344009D"/>
    <w:rsid w:val="43D93C12"/>
    <w:rsid w:val="43F765D2"/>
    <w:rsid w:val="441A760A"/>
    <w:rsid w:val="44666AA8"/>
    <w:rsid w:val="448307E0"/>
    <w:rsid w:val="44A02F54"/>
    <w:rsid w:val="44E457D9"/>
    <w:rsid w:val="44EC0CD9"/>
    <w:rsid w:val="4537386B"/>
    <w:rsid w:val="45600E31"/>
    <w:rsid w:val="45675A2E"/>
    <w:rsid w:val="45A463AA"/>
    <w:rsid w:val="46137C9E"/>
    <w:rsid w:val="465D4F3E"/>
    <w:rsid w:val="46633F07"/>
    <w:rsid w:val="46781715"/>
    <w:rsid w:val="467F6306"/>
    <w:rsid w:val="471053F0"/>
    <w:rsid w:val="47424AC0"/>
    <w:rsid w:val="48030847"/>
    <w:rsid w:val="480F6272"/>
    <w:rsid w:val="48256AB6"/>
    <w:rsid w:val="4869672F"/>
    <w:rsid w:val="48FD2238"/>
    <w:rsid w:val="496E6505"/>
    <w:rsid w:val="49E264F9"/>
    <w:rsid w:val="49FD1B21"/>
    <w:rsid w:val="4A024867"/>
    <w:rsid w:val="4A545997"/>
    <w:rsid w:val="4B3B68BB"/>
    <w:rsid w:val="4B762703"/>
    <w:rsid w:val="4B871DCE"/>
    <w:rsid w:val="4B8868F6"/>
    <w:rsid w:val="4B984E9C"/>
    <w:rsid w:val="4B99014B"/>
    <w:rsid w:val="4BF62A76"/>
    <w:rsid w:val="4BF76A3E"/>
    <w:rsid w:val="4C5D5564"/>
    <w:rsid w:val="4C6D595B"/>
    <w:rsid w:val="4CA007E2"/>
    <w:rsid w:val="4CBE78F6"/>
    <w:rsid w:val="4CC73309"/>
    <w:rsid w:val="4D672896"/>
    <w:rsid w:val="4DC9648B"/>
    <w:rsid w:val="4E175B2C"/>
    <w:rsid w:val="4E40604F"/>
    <w:rsid w:val="4E862AB3"/>
    <w:rsid w:val="4E964C31"/>
    <w:rsid w:val="4EA1323F"/>
    <w:rsid w:val="4EB3234F"/>
    <w:rsid w:val="4EDE622F"/>
    <w:rsid w:val="4EE37540"/>
    <w:rsid w:val="4EF55ACF"/>
    <w:rsid w:val="4EFD0667"/>
    <w:rsid w:val="4F6643D7"/>
    <w:rsid w:val="4F7155AC"/>
    <w:rsid w:val="4FE13431"/>
    <w:rsid w:val="4FFF5040"/>
    <w:rsid w:val="50132A81"/>
    <w:rsid w:val="505066D1"/>
    <w:rsid w:val="50672889"/>
    <w:rsid w:val="50AB7689"/>
    <w:rsid w:val="50F43583"/>
    <w:rsid w:val="515355B8"/>
    <w:rsid w:val="51B5514C"/>
    <w:rsid w:val="51FD38AD"/>
    <w:rsid w:val="521E7444"/>
    <w:rsid w:val="52287B99"/>
    <w:rsid w:val="5270414C"/>
    <w:rsid w:val="52B23907"/>
    <w:rsid w:val="52B5357A"/>
    <w:rsid w:val="52F34D26"/>
    <w:rsid w:val="52FC3135"/>
    <w:rsid w:val="536B5669"/>
    <w:rsid w:val="539F0A6F"/>
    <w:rsid w:val="53A022C0"/>
    <w:rsid w:val="53BE4119"/>
    <w:rsid w:val="53F412E0"/>
    <w:rsid w:val="544D71BC"/>
    <w:rsid w:val="545E662E"/>
    <w:rsid w:val="5495703C"/>
    <w:rsid w:val="55137C63"/>
    <w:rsid w:val="55766307"/>
    <w:rsid w:val="56006334"/>
    <w:rsid w:val="562C0C5E"/>
    <w:rsid w:val="568E410B"/>
    <w:rsid w:val="56E232D9"/>
    <w:rsid w:val="57B85627"/>
    <w:rsid w:val="582237F6"/>
    <w:rsid w:val="58297586"/>
    <w:rsid w:val="582F5037"/>
    <w:rsid w:val="5860738B"/>
    <w:rsid w:val="5869422C"/>
    <w:rsid w:val="588D7181"/>
    <w:rsid w:val="592B54FE"/>
    <w:rsid w:val="597B4EE7"/>
    <w:rsid w:val="599C5DFA"/>
    <w:rsid w:val="5A045938"/>
    <w:rsid w:val="5A316BA3"/>
    <w:rsid w:val="5AAE12C4"/>
    <w:rsid w:val="5AD531C5"/>
    <w:rsid w:val="5ADD4DB8"/>
    <w:rsid w:val="5AE162A2"/>
    <w:rsid w:val="5B096777"/>
    <w:rsid w:val="5B7F02A9"/>
    <w:rsid w:val="5B9175C8"/>
    <w:rsid w:val="5BAE10BC"/>
    <w:rsid w:val="5BAE68A6"/>
    <w:rsid w:val="5C142F3C"/>
    <w:rsid w:val="5C403D31"/>
    <w:rsid w:val="5C507600"/>
    <w:rsid w:val="5CB51BDF"/>
    <w:rsid w:val="5D431D2B"/>
    <w:rsid w:val="5D490CA6"/>
    <w:rsid w:val="5D7619AD"/>
    <w:rsid w:val="5DC25271"/>
    <w:rsid w:val="5E340A9B"/>
    <w:rsid w:val="5E7A51B2"/>
    <w:rsid w:val="5E7F4D68"/>
    <w:rsid w:val="5EAE3669"/>
    <w:rsid w:val="5F13173B"/>
    <w:rsid w:val="5F464EA8"/>
    <w:rsid w:val="5F8C5835"/>
    <w:rsid w:val="5F9F3AD1"/>
    <w:rsid w:val="5FC11BAF"/>
    <w:rsid w:val="5FD1179A"/>
    <w:rsid w:val="5FDE482D"/>
    <w:rsid w:val="5FFA6828"/>
    <w:rsid w:val="60181A41"/>
    <w:rsid w:val="60181EC6"/>
    <w:rsid w:val="605602F3"/>
    <w:rsid w:val="607248C2"/>
    <w:rsid w:val="608C047E"/>
    <w:rsid w:val="61424C9B"/>
    <w:rsid w:val="61F62C17"/>
    <w:rsid w:val="61FB0739"/>
    <w:rsid w:val="620223B3"/>
    <w:rsid w:val="6220083B"/>
    <w:rsid w:val="62690312"/>
    <w:rsid w:val="627863C5"/>
    <w:rsid w:val="62CC50DB"/>
    <w:rsid w:val="632232BF"/>
    <w:rsid w:val="635B2B24"/>
    <w:rsid w:val="63676F20"/>
    <w:rsid w:val="63AD6147"/>
    <w:rsid w:val="63BC179E"/>
    <w:rsid w:val="63F71F10"/>
    <w:rsid w:val="63FD0716"/>
    <w:rsid w:val="64112C5D"/>
    <w:rsid w:val="64253FBF"/>
    <w:rsid w:val="64447BD7"/>
    <w:rsid w:val="645049E5"/>
    <w:rsid w:val="64595C3F"/>
    <w:rsid w:val="64861A13"/>
    <w:rsid w:val="648D1AEF"/>
    <w:rsid w:val="64993BBB"/>
    <w:rsid w:val="649A66AD"/>
    <w:rsid w:val="656A45E9"/>
    <w:rsid w:val="65A609CB"/>
    <w:rsid w:val="661074B1"/>
    <w:rsid w:val="6615622F"/>
    <w:rsid w:val="66C21069"/>
    <w:rsid w:val="66EA76BB"/>
    <w:rsid w:val="67047C2C"/>
    <w:rsid w:val="673F303D"/>
    <w:rsid w:val="67454F0A"/>
    <w:rsid w:val="676E209B"/>
    <w:rsid w:val="67770925"/>
    <w:rsid w:val="67B071BA"/>
    <w:rsid w:val="67CF5FF8"/>
    <w:rsid w:val="67D81B6B"/>
    <w:rsid w:val="67F7385F"/>
    <w:rsid w:val="682664D1"/>
    <w:rsid w:val="6834686B"/>
    <w:rsid w:val="684D2A5C"/>
    <w:rsid w:val="68601845"/>
    <w:rsid w:val="68836956"/>
    <w:rsid w:val="68A752AD"/>
    <w:rsid w:val="68A907C0"/>
    <w:rsid w:val="68BC6E36"/>
    <w:rsid w:val="68E60C5C"/>
    <w:rsid w:val="692B3AE2"/>
    <w:rsid w:val="69846640"/>
    <w:rsid w:val="699F1D94"/>
    <w:rsid w:val="69D602C2"/>
    <w:rsid w:val="69DB3BEA"/>
    <w:rsid w:val="6A1922B7"/>
    <w:rsid w:val="6A2C0B97"/>
    <w:rsid w:val="6AF9048F"/>
    <w:rsid w:val="6B1A2749"/>
    <w:rsid w:val="6B4230C1"/>
    <w:rsid w:val="6BDC610F"/>
    <w:rsid w:val="6BF643D8"/>
    <w:rsid w:val="6C103AA2"/>
    <w:rsid w:val="6C1F6BB5"/>
    <w:rsid w:val="6C5A19CF"/>
    <w:rsid w:val="6CAC0ED7"/>
    <w:rsid w:val="6D00026D"/>
    <w:rsid w:val="6D01750D"/>
    <w:rsid w:val="6D3E35BC"/>
    <w:rsid w:val="6D714558"/>
    <w:rsid w:val="6D814FED"/>
    <w:rsid w:val="6D8639B6"/>
    <w:rsid w:val="6DC45BE1"/>
    <w:rsid w:val="6DFF284B"/>
    <w:rsid w:val="6E4E3042"/>
    <w:rsid w:val="6EA513FD"/>
    <w:rsid w:val="6EDF6C80"/>
    <w:rsid w:val="6EFB49A1"/>
    <w:rsid w:val="6F066154"/>
    <w:rsid w:val="6F142B2E"/>
    <w:rsid w:val="6F323893"/>
    <w:rsid w:val="6F491901"/>
    <w:rsid w:val="6F7264A0"/>
    <w:rsid w:val="6FFA7221"/>
    <w:rsid w:val="70120F7C"/>
    <w:rsid w:val="70460FD7"/>
    <w:rsid w:val="706A7574"/>
    <w:rsid w:val="708F6791"/>
    <w:rsid w:val="709E5656"/>
    <w:rsid w:val="70B071DE"/>
    <w:rsid w:val="70E75D5E"/>
    <w:rsid w:val="71350702"/>
    <w:rsid w:val="715F6CA0"/>
    <w:rsid w:val="717A2FBC"/>
    <w:rsid w:val="71E3685A"/>
    <w:rsid w:val="72412E3C"/>
    <w:rsid w:val="72524E6E"/>
    <w:rsid w:val="726745A1"/>
    <w:rsid w:val="72A12D35"/>
    <w:rsid w:val="72FE29AB"/>
    <w:rsid w:val="73386562"/>
    <w:rsid w:val="73903934"/>
    <w:rsid w:val="73AB078A"/>
    <w:rsid w:val="745274EE"/>
    <w:rsid w:val="749B604C"/>
    <w:rsid w:val="74A61487"/>
    <w:rsid w:val="74A6344E"/>
    <w:rsid w:val="74F30E1E"/>
    <w:rsid w:val="75022074"/>
    <w:rsid w:val="75216EF7"/>
    <w:rsid w:val="75292DD8"/>
    <w:rsid w:val="752A6BC5"/>
    <w:rsid w:val="75332ACD"/>
    <w:rsid w:val="75485900"/>
    <w:rsid w:val="7560440F"/>
    <w:rsid w:val="75775E00"/>
    <w:rsid w:val="757B5044"/>
    <w:rsid w:val="75AA357B"/>
    <w:rsid w:val="76936E11"/>
    <w:rsid w:val="76946CFC"/>
    <w:rsid w:val="76C9703A"/>
    <w:rsid w:val="772C6069"/>
    <w:rsid w:val="776552C6"/>
    <w:rsid w:val="77697BD3"/>
    <w:rsid w:val="777A2C11"/>
    <w:rsid w:val="77873860"/>
    <w:rsid w:val="77AF4C57"/>
    <w:rsid w:val="77F6DD11"/>
    <w:rsid w:val="77F90E77"/>
    <w:rsid w:val="780A3E07"/>
    <w:rsid w:val="78672F03"/>
    <w:rsid w:val="795A0147"/>
    <w:rsid w:val="79703A50"/>
    <w:rsid w:val="79715D42"/>
    <w:rsid w:val="79DE00FA"/>
    <w:rsid w:val="79E03380"/>
    <w:rsid w:val="79F57369"/>
    <w:rsid w:val="7A001B66"/>
    <w:rsid w:val="7A040DA0"/>
    <w:rsid w:val="7A761A22"/>
    <w:rsid w:val="7B013342"/>
    <w:rsid w:val="7B2568B4"/>
    <w:rsid w:val="7B2710E0"/>
    <w:rsid w:val="7B314A56"/>
    <w:rsid w:val="7B58479C"/>
    <w:rsid w:val="7B712803"/>
    <w:rsid w:val="7B7E5653"/>
    <w:rsid w:val="7B8B3945"/>
    <w:rsid w:val="7BA66BE6"/>
    <w:rsid w:val="7BEA3C3C"/>
    <w:rsid w:val="7BEB3862"/>
    <w:rsid w:val="7C8200C4"/>
    <w:rsid w:val="7D5250D2"/>
    <w:rsid w:val="7DA97531"/>
    <w:rsid w:val="7DE87525"/>
    <w:rsid w:val="7E240ED2"/>
    <w:rsid w:val="7E2A07AF"/>
    <w:rsid w:val="7E4B7033"/>
    <w:rsid w:val="7E553215"/>
    <w:rsid w:val="7E553AE7"/>
    <w:rsid w:val="7E5A4CCF"/>
    <w:rsid w:val="7E7538B7"/>
    <w:rsid w:val="7F70D0BD"/>
    <w:rsid w:val="7F8A1ED6"/>
    <w:rsid w:val="7FAA563D"/>
    <w:rsid w:val="7FC6747F"/>
    <w:rsid w:val="7FE3D7C5"/>
    <w:rsid w:val="7FE674D9"/>
    <w:rsid w:val="A9F9D9BF"/>
    <w:rsid w:val="DBF6100B"/>
    <w:rsid w:val="DD63BD4A"/>
    <w:rsid w:val="EFFE8696"/>
    <w:rsid w:val="FDEB03A1"/>
    <w:rsid w:val="FF3E0467"/>
    <w:rsid w:val="FFED99BD"/>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autoRedefine/>
    <w:qFormat/>
    <w:uiPriority w:val="7"/>
    <w:pPr>
      <w:spacing w:before="0" w:after="330" w:line="576" w:lineRule="auto"/>
      <w:outlineLvl w:val="0"/>
    </w:pPr>
    <w:rPr>
      <w:b/>
      <w:sz w:val="44"/>
      <w:szCs w:val="44"/>
    </w:rPr>
  </w:style>
  <w:style w:type="paragraph" w:styleId="5">
    <w:name w:val="heading 2"/>
    <w:basedOn w:val="1"/>
    <w:next w:val="1"/>
    <w:autoRedefine/>
    <w:qFormat/>
    <w:uiPriority w:val="8"/>
    <w:pPr>
      <w:spacing w:before="0" w:after="260" w:line="415" w:lineRule="auto"/>
      <w:outlineLvl w:val="1"/>
    </w:pPr>
    <w:rPr>
      <w:rFonts w:ascii="Arial" w:hAnsi="Arial" w:eastAsia="黑体"/>
      <w:b/>
      <w:sz w:val="32"/>
      <w:szCs w:val="32"/>
    </w:rPr>
  </w:style>
  <w:style w:type="paragraph" w:styleId="6">
    <w:name w:val="heading 3"/>
    <w:basedOn w:val="1"/>
    <w:next w:val="1"/>
    <w:autoRedefine/>
    <w:qFormat/>
    <w:uiPriority w:val="9"/>
    <w:pPr>
      <w:outlineLvl w:val="2"/>
    </w:pPr>
    <w:rPr>
      <w:b/>
      <w:sz w:val="24"/>
      <w:szCs w:val="24"/>
    </w:rPr>
  </w:style>
  <w:style w:type="paragraph" w:styleId="3">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next w:val="3"/>
    <w:link w:val="54"/>
    <w:autoRedefine/>
    <w:unhideWhenUsed/>
    <w:qFormat/>
    <w:uiPriority w:val="0"/>
    <w:rPr>
      <w:rFonts w:ascii="宋体" w:hAnsi="Courier New" w:cs="宋体"/>
      <w:sz w:val="20"/>
      <w:szCs w:val="20"/>
    </w:rPr>
  </w:style>
  <w:style w:type="paragraph" w:styleId="7">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autoRedefine/>
    <w:qFormat/>
    <w:uiPriority w:val="99"/>
    <w:pPr>
      <w:widowControl w:val="0"/>
      <w:spacing w:before="0" w:after="0" w:afterAutospacing="0"/>
      <w:ind w:left="0" w:right="0" w:firstLine="420"/>
    </w:pPr>
    <w:rPr>
      <w:kern w:val="2"/>
      <w:sz w:val="24"/>
      <w:szCs w:val="20"/>
    </w:rPr>
  </w:style>
  <w:style w:type="paragraph" w:styleId="9">
    <w:name w:val="caption"/>
    <w:basedOn w:val="1"/>
    <w:next w:val="1"/>
    <w:autoRedefine/>
    <w:qFormat/>
    <w:uiPriority w:val="0"/>
    <w:pPr>
      <w:widowControl w:val="0"/>
      <w:spacing w:before="0" w:after="0" w:afterAutospacing="0" w:line="240" w:lineRule="auto"/>
      <w:ind w:left="0" w:right="0" w:firstLine="0"/>
    </w:pPr>
    <w:rPr>
      <w:rFonts w:ascii="Cambria" w:hAnsi="Cambria" w:eastAsia="黑体"/>
      <w:sz w:val="20"/>
      <w:szCs w:val="20"/>
    </w:rPr>
  </w:style>
  <w:style w:type="paragraph" w:styleId="10">
    <w:name w:val="Document Map"/>
    <w:basedOn w:val="1"/>
    <w:autoRedefine/>
    <w:semiHidden/>
    <w:unhideWhenUsed/>
    <w:qFormat/>
    <w:uiPriority w:val="0"/>
    <w:rPr>
      <w:rFonts w:ascii="宋体"/>
      <w:sz w:val="18"/>
      <w:szCs w:val="18"/>
    </w:rPr>
  </w:style>
  <w:style w:type="paragraph" w:styleId="11">
    <w:name w:val="annotation text"/>
    <w:basedOn w:val="1"/>
    <w:autoRedefine/>
    <w:semiHidden/>
    <w:unhideWhenUsed/>
    <w:qFormat/>
    <w:uiPriority w:val="0"/>
    <w:pPr>
      <w:jc w:val="left"/>
    </w:pPr>
  </w:style>
  <w:style w:type="paragraph" w:styleId="12">
    <w:name w:val="Body Text"/>
    <w:basedOn w:val="1"/>
    <w:link w:val="56"/>
    <w:autoRedefine/>
    <w:unhideWhenUsed/>
    <w:qFormat/>
    <w:uiPriority w:val="99"/>
    <w:pPr>
      <w:spacing w:after="120"/>
    </w:pPr>
  </w:style>
  <w:style w:type="paragraph" w:styleId="13">
    <w:name w:val="Body Text Indent"/>
    <w:basedOn w:val="1"/>
    <w:link w:val="70"/>
    <w:autoRedefine/>
    <w:semiHidden/>
    <w:unhideWhenUsed/>
    <w:qFormat/>
    <w:uiPriority w:val="99"/>
    <w:pPr>
      <w:spacing w:after="120"/>
      <w:ind w:left="420" w:leftChars="200"/>
    </w:pPr>
  </w:style>
  <w:style w:type="paragraph" w:styleId="14">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autoRedefine/>
    <w:unhideWhenUsed/>
    <w:qFormat/>
    <w:uiPriority w:val="39"/>
    <w:pPr>
      <w:ind w:left="840" w:firstLine="0"/>
    </w:pPr>
  </w:style>
  <w:style w:type="paragraph" w:styleId="16">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58"/>
    <w:autoRedefine/>
    <w:semiHidden/>
    <w:unhideWhenUsed/>
    <w:qFormat/>
    <w:uiPriority w:val="99"/>
    <w:pPr>
      <w:ind w:left="100" w:leftChars="2500"/>
    </w:pPr>
  </w:style>
  <w:style w:type="paragraph" w:styleId="18">
    <w:name w:val="Balloon Text"/>
    <w:basedOn w:val="1"/>
    <w:autoRedefine/>
    <w:semiHidden/>
    <w:unhideWhenUsed/>
    <w:qFormat/>
    <w:uiPriority w:val="0"/>
    <w:pPr>
      <w:spacing w:after="0" w:line="240" w:lineRule="auto"/>
    </w:pPr>
    <w:rPr>
      <w:sz w:val="18"/>
      <w:szCs w:val="18"/>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style>
  <w:style w:type="paragraph" w:styleId="22">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autoRedefine/>
    <w:semiHidden/>
    <w:unhideWhenUsed/>
    <w:qFormat/>
    <w:uiPriority w:val="0"/>
    <w:pPr>
      <w:snapToGrid w:val="0"/>
      <w:jc w:val="left"/>
    </w:pPr>
    <w:rPr>
      <w:sz w:val="18"/>
      <w:szCs w:val="18"/>
    </w:rPr>
  </w:style>
  <w:style w:type="paragraph" w:styleId="24">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autoRedefine/>
    <w:qFormat/>
    <w:uiPriority w:val="0"/>
    <w:pPr>
      <w:spacing w:after="120"/>
      <w:ind w:left="420" w:firstLine="0"/>
    </w:pPr>
    <w:rPr>
      <w:sz w:val="16"/>
      <w:szCs w:val="16"/>
    </w:rPr>
  </w:style>
  <w:style w:type="paragraph" w:styleId="26">
    <w:name w:val="toc 2"/>
    <w:basedOn w:val="1"/>
    <w:next w:val="1"/>
    <w:autoRedefine/>
    <w:unhideWhenUsed/>
    <w:qFormat/>
    <w:uiPriority w:val="39"/>
    <w:pPr>
      <w:ind w:left="420" w:firstLine="0"/>
    </w:pPr>
  </w:style>
  <w:style w:type="paragraph" w:styleId="27">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link w:val="65"/>
    <w:autoRedefine/>
    <w:unhideWhenUsed/>
    <w:qFormat/>
    <w:uiPriority w:val="0"/>
    <w:pPr>
      <w:widowControl w:val="0"/>
      <w:spacing w:before="100" w:beforeAutospacing="1" w:after="0" w:afterAutospacing="0" w:line="240" w:lineRule="auto"/>
      <w:ind w:left="0" w:right="0" w:firstLine="0"/>
    </w:pPr>
    <w:rPr>
      <w:sz w:val="20"/>
    </w:rPr>
  </w:style>
  <w:style w:type="paragraph" w:styleId="29">
    <w:name w:val="Normal (Web)"/>
    <w:basedOn w:val="1"/>
    <w:autoRedefine/>
    <w:unhideWhenUsed/>
    <w:qFormat/>
    <w:uiPriority w:val="99"/>
    <w:pPr>
      <w:spacing w:before="100" w:beforeAutospacing="1" w:line="240" w:lineRule="auto"/>
      <w:ind w:left="0" w:right="0" w:firstLine="0"/>
      <w:jc w:val="left"/>
    </w:pPr>
    <w:rPr>
      <w:rFonts w:ascii="宋体" w:hAnsi="宋体" w:cs="宋体"/>
      <w:sz w:val="24"/>
      <w:szCs w:val="24"/>
    </w:rPr>
  </w:style>
  <w:style w:type="paragraph" w:styleId="30">
    <w:name w:val="annotation subject"/>
    <w:basedOn w:val="11"/>
    <w:next w:val="11"/>
    <w:autoRedefine/>
    <w:semiHidden/>
    <w:unhideWhenUsed/>
    <w:qFormat/>
    <w:uiPriority w:val="0"/>
    <w:rPr>
      <w:b/>
    </w:rPr>
  </w:style>
  <w:style w:type="paragraph" w:styleId="31">
    <w:name w:val="Body Text First Indent"/>
    <w:basedOn w:val="12"/>
    <w:autoRedefine/>
    <w:unhideWhenUsed/>
    <w:qFormat/>
    <w:uiPriority w:val="99"/>
    <w:pPr>
      <w:spacing w:beforeLines="0" w:afterLines="0" w:line="360" w:lineRule="auto"/>
    </w:pPr>
    <w:rPr>
      <w:rFonts w:hint="default"/>
      <w:b/>
      <w:sz w:val="28"/>
      <w:szCs w:val="22"/>
    </w:rPr>
  </w:style>
  <w:style w:type="paragraph" w:styleId="32">
    <w:name w:val="Body Text First Indent 2"/>
    <w:basedOn w:val="13"/>
    <w:link w:val="69"/>
    <w:autoRedefine/>
    <w:semiHidden/>
    <w:unhideWhenUsed/>
    <w:qFormat/>
    <w:uiPriority w:val="99"/>
    <w:pPr>
      <w:ind w:firstLine="420" w:firstLineChars="200"/>
    </w:pPr>
  </w:style>
  <w:style w:type="table" w:styleId="34">
    <w:name w:val="Table Grid"/>
    <w:basedOn w:val="3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20"/>
    <w:rPr>
      <w:rFonts w:cs="Times New Roman"/>
      <w:b/>
    </w:rPr>
  </w:style>
  <w:style w:type="character" w:styleId="37">
    <w:name w:val="page number"/>
    <w:basedOn w:val="35"/>
    <w:autoRedefine/>
    <w:qFormat/>
    <w:uiPriority w:val="0"/>
  </w:style>
  <w:style w:type="character" w:styleId="38">
    <w:name w:val="Hyperlink"/>
    <w:basedOn w:val="35"/>
    <w:autoRedefine/>
    <w:unhideWhenUsed/>
    <w:qFormat/>
    <w:uiPriority w:val="99"/>
    <w:rPr>
      <w:color w:val="0000FF"/>
      <w:u w:val="single"/>
    </w:rPr>
  </w:style>
  <w:style w:type="character" w:styleId="39">
    <w:name w:val="annotation reference"/>
    <w:basedOn w:val="35"/>
    <w:autoRedefine/>
    <w:semiHidden/>
    <w:unhideWhenUsed/>
    <w:qFormat/>
    <w:uiPriority w:val="0"/>
    <w:rPr>
      <w:sz w:val="21"/>
      <w:szCs w:val="21"/>
    </w:rPr>
  </w:style>
  <w:style w:type="character" w:styleId="40">
    <w:name w:val="footnote reference"/>
    <w:basedOn w:val="35"/>
    <w:autoRedefine/>
    <w:semiHidden/>
    <w:unhideWhenUsed/>
    <w:qFormat/>
    <w:uiPriority w:val="0"/>
    <w:rPr>
      <w:vertAlign w:val="superscript"/>
    </w:rPr>
  </w:style>
  <w:style w:type="paragraph" w:styleId="41">
    <w:name w:val="List Paragraph"/>
    <w:basedOn w:val="1"/>
    <w:autoRedefine/>
    <w:qFormat/>
    <w:uiPriority w:val="34"/>
    <w:pPr>
      <w:ind w:firstLine="200"/>
    </w:pPr>
    <w:rPr>
      <w:rFonts w:ascii="Calibri" w:hAnsi="Calibri"/>
    </w:rPr>
  </w:style>
  <w:style w:type="character" w:customStyle="1" w:styleId="42">
    <w:name w:val="正文文本 2 Char"/>
    <w:basedOn w:val="35"/>
    <w:autoRedefine/>
    <w:qFormat/>
    <w:uiPriority w:val="0"/>
    <w:rPr>
      <w:rFonts w:ascii="Times New Roman" w:hAnsi="Times New Roman" w:eastAsia="宋体" w:cs="Times New Roman"/>
    </w:rPr>
  </w:style>
  <w:style w:type="character" w:customStyle="1" w:styleId="43">
    <w:name w:val="16"/>
    <w:basedOn w:val="35"/>
    <w:autoRedefine/>
    <w:qFormat/>
    <w:uiPriority w:val="0"/>
    <w:rPr>
      <w:rFonts w:hint="default" w:ascii="Times New Roman" w:hAnsi="Times New Roman" w:cs="Times New Roman"/>
      <w:color w:val="0000FF"/>
      <w:u w:val="single"/>
    </w:rPr>
  </w:style>
  <w:style w:type="character" w:customStyle="1" w:styleId="44">
    <w:name w:val="15"/>
    <w:basedOn w:val="35"/>
    <w:autoRedefine/>
    <w:qFormat/>
    <w:uiPriority w:val="0"/>
    <w:rPr>
      <w:rFonts w:hint="default" w:ascii="Times New Roman" w:hAnsi="Times New Roman" w:cs="Times New Roman"/>
      <w:color w:val="0000FF"/>
      <w:u w:val="single"/>
    </w:rPr>
  </w:style>
  <w:style w:type="character" w:customStyle="1" w:styleId="45">
    <w:name w:val="标题 3 Char"/>
    <w:autoRedefine/>
    <w:qFormat/>
    <w:uiPriority w:val="0"/>
    <w:rPr>
      <w:b/>
      <w:sz w:val="24"/>
      <w:szCs w:val="24"/>
    </w:rPr>
  </w:style>
  <w:style w:type="character" w:customStyle="1" w:styleId="46">
    <w:name w:val="标题 2 Char"/>
    <w:autoRedefine/>
    <w:qFormat/>
    <w:uiPriority w:val="0"/>
    <w:rPr>
      <w:rFonts w:ascii="Arial" w:hAnsi="Arial" w:eastAsia="黑体"/>
      <w:b/>
      <w:sz w:val="32"/>
      <w:szCs w:val="32"/>
    </w:rPr>
  </w:style>
  <w:style w:type="character" w:customStyle="1" w:styleId="47">
    <w:name w:val="批注框文本 Char"/>
    <w:basedOn w:val="35"/>
    <w:autoRedefine/>
    <w:semiHidden/>
    <w:qFormat/>
    <w:uiPriority w:val="0"/>
    <w:rPr>
      <w:sz w:val="18"/>
      <w:szCs w:val="18"/>
    </w:rPr>
  </w:style>
  <w:style w:type="character" w:customStyle="1" w:styleId="48">
    <w:name w:val="批注文字 Char"/>
    <w:basedOn w:val="35"/>
    <w:autoRedefine/>
    <w:semiHidden/>
    <w:qFormat/>
    <w:uiPriority w:val="0"/>
    <w:rPr>
      <w:sz w:val="21"/>
      <w:szCs w:val="21"/>
    </w:rPr>
  </w:style>
  <w:style w:type="character" w:customStyle="1" w:styleId="49">
    <w:name w:val="批注主题 Char"/>
    <w:basedOn w:val="48"/>
    <w:autoRedefine/>
    <w:semiHidden/>
    <w:qFormat/>
    <w:uiPriority w:val="0"/>
    <w:rPr>
      <w:b/>
      <w:sz w:val="21"/>
      <w:szCs w:val="21"/>
    </w:rPr>
  </w:style>
  <w:style w:type="character" w:customStyle="1" w:styleId="50">
    <w:name w:val="文档结构图 Char"/>
    <w:basedOn w:val="35"/>
    <w:autoRedefine/>
    <w:semiHidden/>
    <w:qFormat/>
    <w:uiPriority w:val="0"/>
    <w:rPr>
      <w:rFonts w:ascii="宋体"/>
      <w:sz w:val="18"/>
      <w:szCs w:val="18"/>
    </w:rPr>
  </w:style>
  <w:style w:type="character" w:customStyle="1" w:styleId="51">
    <w:name w:val="页脚 Char"/>
    <w:autoRedefine/>
    <w:qFormat/>
    <w:uiPriority w:val="99"/>
    <w:rPr>
      <w:sz w:val="18"/>
      <w:szCs w:val="18"/>
    </w:rPr>
  </w:style>
  <w:style w:type="character" w:customStyle="1" w:styleId="52">
    <w:name w:val="脚注文本 Char"/>
    <w:basedOn w:val="35"/>
    <w:autoRedefine/>
    <w:semiHidden/>
    <w:qFormat/>
    <w:uiPriority w:val="0"/>
    <w:rPr>
      <w:sz w:val="18"/>
      <w:szCs w:val="18"/>
    </w:rPr>
  </w:style>
  <w:style w:type="paragraph" w:customStyle="1" w:styleId="53">
    <w:name w:val="TOC 标题1"/>
    <w:basedOn w:val="4"/>
    <w:next w:val="1"/>
    <w:autoRedefine/>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纯文本 Char"/>
    <w:link w:val="2"/>
    <w:autoRedefine/>
    <w:qFormat/>
    <w:locked/>
    <w:uiPriority w:val="0"/>
    <w:rPr>
      <w:rFonts w:ascii="宋体" w:hAnsi="Courier New" w:cs="宋体"/>
    </w:rPr>
  </w:style>
  <w:style w:type="paragraph" w:customStyle="1" w:styleId="55">
    <w:name w:val="修订1"/>
    <w:autoRedefine/>
    <w:hidden/>
    <w:semiHidden/>
    <w:qFormat/>
    <w:uiPriority w:val="99"/>
    <w:rPr>
      <w:rFonts w:ascii="Times New Roman" w:hAnsi="Times New Roman" w:eastAsia="宋体" w:cs="Times New Roman"/>
      <w:sz w:val="21"/>
      <w:szCs w:val="21"/>
      <w:lang w:val="en-US" w:eastAsia="zh-CN" w:bidi="ar-SA"/>
    </w:rPr>
  </w:style>
  <w:style w:type="character" w:customStyle="1" w:styleId="56">
    <w:name w:val="正文文本 Char"/>
    <w:basedOn w:val="35"/>
    <w:link w:val="12"/>
    <w:autoRedefine/>
    <w:semiHidden/>
    <w:qFormat/>
    <w:uiPriority w:val="99"/>
    <w:rPr>
      <w:sz w:val="21"/>
      <w:szCs w:val="21"/>
    </w:rPr>
  </w:style>
  <w:style w:type="paragraph" w:customStyle="1" w:styleId="57">
    <w:name w:val="修订2"/>
    <w:autoRedefine/>
    <w:hidden/>
    <w:unhideWhenUsed/>
    <w:qFormat/>
    <w:uiPriority w:val="99"/>
    <w:rPr>
      <w:rFonts w:ascii="Times New Roman" w:hAnsi="Times New Roman" w:eastAsia="宋体" w:cs="Times New Roman"/>
      <w:sz w:val="21"/>
      <w:szCs w:val="21"/>
      <w:lang w:val="en-US" w:eastAsia="zh-CN" w:bidi="ar-SA"/>
    </w:rPr>
  </w:style>
  <w:style w:type="character" w:customStyle="1" w:styleId="58">
    <w:name w:val="日期 Char"/>
    <w:basedOn w:val="35"/>
    <w:link w:val="17"/>
    <w:autoRedefine/>
    <w:semiHidden/>
    <w:qFormat/>
    <w:uiPriority w:val="99"/>
    <w:rPr>
      <w:sz w:val="21"/>
      <w:szCs w:val="21"/>
    </w:rPr>
  </w:style>
  <w:style w:type="character" w:customStyle="1" w:styleId="59">
    <w:name w:val="font11"/>
    <w:basedOn w:val="35"/>
    <w:autoRedefine/>
    <w:qFormat/>
    <w:uiPriority w:val="0"/>
    <w:rPr>
      <w:rFonts w:hint="eastAsia" w:ascii="宋体" w:hAnsi="宋体" w:eastAsia="宋体" w:cs="宋体"/>
      <w:color w:val="000000"/>
      <w:sz w:val="20"/>
      <w:szCs w:val="20"/>
      <w:u w:val="none"/>
    </w:rPr>
  </w:style>
  <w:style w:type="character" w:customStyle="1" w:styleId="60">
    <w:name w:val="font31"/>
    <w:basedOn w:val="35"/>
    <w:autoRedefine/>
    <w:qFormat/>
    <w:uiPriority w:val="0"/>
    <w:rPr>
      <w:rFonts w:hint="default" w:ascii="Calibri" w:hAnsi="Calibri" w:cs="Calibri"/>
      <w:color w:val="000000"/>
      <w:sz w:val="20"/>
      <w:szCs w:val="20"/>
      <w:u w:val="none"/>
    </w:rPr>
  </w:style>
  <w:style w:type="character" w:customStyle="1" w:styleId="61">
    <w:name w:val="font41"/>
    <w:basedOn w:val="35"/>
    <w:autoRedefine/>
    <w:qFormat/>
    <w:uiPriority w:val="0"/>
    <w:rPr>
      <w:rFonts w:hint="eastAsia" w:ascii="宋体" w:hAnsi="宋体" w:eastAsia="宋体" w:cs="宋体"/>
      <w:color w:val="000000"/>
      <w:sz w:val="22"/>
      <w:szCs w:val="22"/>
      <w:u w:val="none"/>
    </w:rPr>
  </w:style>
  <w:style w:type="paragraph" w:customStyle="1" w:styleId="62">
    <w:name w:val="WPSOffice手动目录 1"/>
    <w:autoRedefine/>
    <w:qFormat/>
    <w:uiPriority w:val="0"/>
    <w:rPr>
      <w:rFonts w:ascii="Times New Roman" w:hAnsi="Times New Roman" w:eastAsia="宋体" w:cs="Times New Roman"/>
      <w:lang w:val="en-US" w:eastAsia="zh-CN" w:bidi="ar-SA"/>
    </w:rPr>
  </w:style>
  <w:style w:type="paragraph" w:customStyle="1" w:styleId="6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64">
    <w:name w:val="font01"/>
    <w:basedOn w:val="35"/>
    <w:autoRedefine/>
    <w:qFormat/>
    <w:uiPriority w:val="0"/>
    <w:rPr>
      <w:rFonts w:hint="eastAsia" w:ascii="宋体" w:hAnsi="宋体" w:eastAsia="宋体" w:cs="宋体"/>
      <w:b/>
      <w:color w:val="FF0000"/>
      <w:sz w:val="22"/>
      <w:szCs w:val="22"/>
      <w:u w:val="none"/>
    </w:rPr>
  </w:style>
  <w:style w:type="character" w:customStyle="1" w:styleId="65">
    <w:name w:val="正文文本 2 Char1"/>
    <w:basedOn w:val="35"/>
    <w:link w:val="28"/>
    <w:autoRedefine/>
    <w:qFormat/>
    <w:uiPriority w:val="0"/>
    <w:rPr>
      <w:szCs w:val="21"/>
    </w:rPr>
  </w:style>
  <w:style w:type="paragraph" w:customStyle="1" w:styleId="66">
    <w:name w:val="正文1"/>
    <w:basedOn w:val="8"/>
    <w:autoRedefine/>
    <w:qFormat/>
    <w:uiPriority w:val="0"/>
    <w:pPr>
      <w:widowControl/>
      <w:adjustRightInd w:val="0"/>
      <w:snapToGrid w:val="0"/>
      <w:ind w:firstLine="480" w:firstLineChars="200"/>
      <w:jc w:val="left"/>
    </w:pPr>
    <w:rPr>
      <w:rFonts w:ascii="宋体" w:hAnsi="宋体"/>
      <w:sz w:val="20"/>
      <w:szCs w:val="24"/>
    </w:rPr>
  </w:style>
  <w:style w:type="paragraph" w:customStyle="1" w:styleId="67">
    <w:name w:val="列出段落2"/>
    <w:basedOn w:val="1"/>
    <w:autoRedefine/>
    <w:qFormat/>
    <w:uiPriority w:val="34"/>
    <w:pPr>
      <w:widowControl w:val="0"/>
      <w:spacing w:before="0" w:after="0" w:afterAutospacing="0" w:line="240" w:lineRule="auto"/>
      <w:ind w:left="0" w:right="0" w:firstLine="0"/>
    </w:pPr>
    <w:rPr>
      <w:rFonts w:ascii="Calibri" w:hAnsi="Calibri" w:eastAsia="Times New Roman"/>
      <w:sz w:val="24"/>
      <w:szCs w:val="24"/>
    </w:rPr>
  </w:style>
  <w:style w:type="character" w:customStyle="1" w:styleId="68">
    <w:name w:val="font21"/>
    <w:basedOn w:val="35"/>
    <w:autoRedefine/>
    <w:qFormat/>
    <w:uiPriority w:val="0"/>
    <w:rPr>
      <w:rFonts w:hint="eastAsia" w:ascii="宋体" w:hAnsi="宋体" w:eastAsia="宋体" w:cs="宋体"/>
      <w:b/>
      <w:bCs/>
      <w:color w:val="000000"/>
      <w:sz w:val="21"/>
      <w:szCs w:val="21"/>
      <w:u w:val="none"/>
    </w:rPr>
  </w:style>
  <w:style w:type="character" w:customStyle="1" w:styleId="69">
    <w:name w:val="正文首行缩进 2 Char"/>
    <w:basedOn w:val="70"/>
    <w:link w:val="32"/>
    <w:autoRedefine/>
    <w:qFormat/>
    <w:uiPriority w:val="0"/>
    <w:rPr>
      <w:sz w:val="21"/>
      <w:szCs w:val="21"/>
    </w:rPr>
  </w:style>
  <w:style w:type="character" w:customStyle="1" w:styleId="70">
    <w:name w:val="正文文本缩进 Char"/>
    <w:basedOn w:val="35"/>
    <w:link w:val="13"/>
    <w:autoRedefine/>
    <w:qFormat/>
    <w:uiPriority w:val="0"/>
    <w:rPr>
      <w:sz w:val="21"/>
      <w:szCs w:val="21"/>
    </w:rPr>
  </w:style>
  <w:style w:type="character" w:customStyle="1" w:styleId="71">
    <w:name w:val="font51"/>
    <w:basedOn w:val="35"/>
    <w:autoRedefine/>
    <w:qFormat/>
    <w:uiPriority w:val="0"/>
    <w:rPr>
      <w:rFonts w:hint="default" w:ascii="Tahoma" w:hAnsi="Tahoma" w:eastAsia="Tahoma" w:cs="Tahoma"/>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tyleName="GOST - Title Sort" SelectedStyle="\GostTitl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2142D-73DF-4D3C-B094-B36260EFC672}">
  <ds:schemaRefs/>
</ds:datastoreItem>
</file>

<file path=docProps/app.xml><?xml version="1.0" encoding="utf-8"?>
<Properties xmlns="http://schemas.openxmlformats.org/officeDocument/2006/extended-properties" xmlns:vt="http://schemas.openxmlformats.org/officeDocument/2006/docPropsVTypes">
  <Company>Sky123.Org</Company>
  <Pages>118</Pages>
  <Words>62567</Words>
  <Characters>67291</Characters>
  <Lines>1</Lines>
  <Paragraphs>1</Paragraphs>
  <TotalTime>210</TotalTime>
  <ScaleCrop>false</ScaleCrop>
  <LinksUpToDate>false</LinksUpToDate>
  <CharactersWithSpaces>70430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2021-10-09T18:40:00Z</dcterms:created>
  <dc:creator>NTKO</dc:creator>
  <cp:lastModifiedBy>星影联风</cp:lastModifiedBy>
  <cp:lastPrinted>2024-04-19T04:09:30Z</cp:lastPrinted>
  <dcterms:modified xsi:type="dcterms:W3CDTF">2024-04-19T07:19:46Z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509972326C9A4169AC775D9BD7F97657_13</vt:lpwstr>
  </property>
</Properties>
</file>