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highlight w:val="none"/>
        </w:rPr>
      </w:pPr>
    </w:p>
    <w:p>
      <w:pPr>
        <w:spacing w:before="0"/>
        <w:ind w:right="-57" w:firstLine="0"/>
        <w:jc w:val="center"/>
        <w:rPr>
          <w:rFonts w:ascii="宋体" w:hAnsi="宋体"/>
          <w:b/>
          <w:bCs/>
          <w:sz w:val="48"/>
          <w:szCs w:val="48"/>
          <w:highlight w:val="none"/>
        </w:rPr>
      </w:pPr>
      <w:r>
        <w:rPr>
          <w:rFonts w:hint="eastAsia" w:ascii="宋体" w:hAnsi="宋体"/>
          <w:b/>
          <w:bCs/>
          <w:sz w:val="48"/>
          <w:szCs w:val="48"/>
          <w:highlight w:val="none"/>
        </w:rPr>
        <w:t>南宁轨道交通运营有限公司工会委员会2024年工会会员端午节慰问品采购项目</w:t>
      </w:r>
    </w:p>
    <w:p>
      <w:pPr>
        <w:spacing w:before="0"/>
        <w:ind w:right="-57" w:firstLine="0"/>
        <w:jc w:val="center"/>
        <w:rPr>
          <w:rFonts w:ascii="宋体" w:hAnsi="宋体"/>
          <w:sz w:val="72"/>
          <w:szCs w:val="72"/>
          <w:highlight w:val="none"/>
        </w:rPr>
      </w:pPr>
      <w:r>
        <w:rPr>
          <w:rFonts w:ascii="宋体" w:hAnsi="宋体"/>
          <w:sz w:val="72"/>
          <w:szCs w:val="72"/>
          <w:highlight w:val="none"/>
        </w:rPr>
        <w:t>招标文件</w:t>
      </w:r>
    </w:p>
    <w:p>
      <w:pPr>
        <w:spacing w:before="0"/>
        <w:ind w:left="0" w:right="-57" w:firstLine="0"/>
        <w:rPr>
          <w:rFonts w:ascii="宋体" w:hAnsi="宋体"/>
          <w:highlight w:val="none"/>
        </w:rPr>
      </w:pPr>
    </w:p>
    <w:p>
      <w:pPr>
        <w:spacing w:before="0"/>
        <w:ind w:left="0" w:right="-57" w:firstLine="0"/>
        <w:rPr>
          <w:rFonts w:ascii="宋体" w:hAnsi="宋体"/>
          <w:highlight w:val="none"/>
        </w:rPr>
      </w:pPr>
    </w:p>
    <w:p>
      <w:pPr>
        <w:spacing w:before="0"/>
        <w:ind w:left="1801" w:right="-57" w:hanging="180"/>
        <w:rPr>
          <w:rFonts w:ascii="宋体" w:hAnsi="宋体"/>
          <w:b/>
          <w:sz w:val="32"/>
          <w:szCs w:val="32"/>
          <w:highlight w:val="none"/>
          <w:u w:val="single"/>
        </w:rPr>
      </w:pPr>
      <w:r>
        <w:rPr>
          <w:rFonts w:hint="eastAsia" w:ascii="宋体" w:hAnsi="宋体"/>
          <w:b/>
          <w:sz w:val="32"/>
          <w:szCs w:val="32"/>
          <w:highlight w:val="none"/>
        </w:rPr>
        <w:t>项目编号：202404030001</w:t>
      </w:r>
    </w:p>
    <w:p>
      <w:pPr>
        <w:spacing w:before="0"/>
        <w:ind w:left="1801" w:right="-57" w:hanging="180"/>
        <w:rPr>
          <w:rFonts w:ascii="宋体" w:hAnsi="宋体"/>
          <w:b/>
          <w:sz w:val="32"/>
          <w:szCs w:val="32"/>
          <w:highlight w:val="none"/>
          <w:u w:val="single"/>
        </w:rPr>
      </w:pPr>
      <w:r>
        <w:rPr>
          <w:rFonts w:ascii="宋体" w:hAnsi="宋体"/>
          <w:b/>
          <w:sz w:val="32"/>
          <w:szCs w:val="32"/>
          <w:highlight w:val="none"/>
        </w:rPr>
        <w:t>招标人：</w:t>
      </w:r>
      <w:r>
        <w:rPr>
          <w:rFonts w:hint="eastAsia" w:ascii="宋体" w:hAnsi="宋体"/>
          <w:b/>
          <w:sz w:val="32"/>
          <w:szCs w:val="32"/>
          <w:highlight w:val="none"/>
        </w:rPr>
        <w:t>南宁轨道交通运营有限公司工会委员会</w:t>
      </w:r>
    </w:p>
    <w:p>
      <w:pPr>
        <w:spacing w:before="0"/>
        <w:ind w:right="-57" w:firstLine="0"/>
        <w:jc w:val="center"/>
        <w:rPr>
          <w:rFonts w:ascii="宋体" w:hAnsi="宋体"/>
          <w:b/>
          <w:sz w:val="32"/>
          <w:szCs w:val="32"/>
          <w:highlight w:val="none"/>
        </w:rPr>
      </w:pPr>
      <w:r>
        <w:rPr>
          <w:rFonts w:hint="eastAsia" w:ascii="宋体" w:hAnsi="宋体"/>
          <w:b/>
          <w:sz w:val="32"/>
          <w:szCs w:val="32"/>
          <w:highlight w:val="none"/>
        </w:rPr>
        <w:t>招标代理机构：广西城通工程咨询有限责任公司</w:t>
      </w:r>
    </w:p>
    <w:p>
      <w:pPr>
        <w:spacing w:before="0"/>
        <w:ind w:right="-57" w:firstLine="0"/>
        <w:jc w:val="center"/>
        <w:rPr>
          <w:rFonts w:ascii="宋体" w:hAnsi="宋体"/>
          <w:highlight w:val="none"/>
        </w:rPr>
      </w:pPr>
      <w:r>
        <w:rPr>
          <w:rFonts w:hint="eastAsia" w:ascii="宋体" w:hAnsi="宋体"/>
          <w:b/>
          <w:sz w:val="36"/>
          <w:szCs w:val="36"/>
          <w:highlight w:val="none"/>
        </w:rPr>
        <w:t>2024</w:t>
      </w:r>
      <w:r>
        <w:rPr>
          <w:rFonts w:ascii="宋体" w:hAnsi="宋体"/>
          <w:b/>
          <w:sz w:val="36"/>
          <w:szCs w:val="36"/>
          <w:highlight w:val="none"/>
        </w:rPr>
        <w:t>年</w:t>
      </w:r>
      <w:r>
        <w:rPr>
          <w:rFonts w:hint="eastAsia" w:ascii="宋体" w:hAnsi="宋体"/>
          <w:b/>
          <w:sz w:val="36"/>
          <w:szCs w:val="36"/>
          <w:highlight w:val="none"/>
          <w:lang w:val="en-US" w:eastAsia="zh-CN"/>
        </w:rPr>
        <w:t>4</w:t>
      </w:r>
      <w:r>
        <w:rPr>
          <w:rFonts w:ascii="宋体" w:hAnsi="宋体"/>
          <w:b/>
          <w:sz w:val="36"/>
          <w:szCs w:val="36"/>
          <w:highlight w:val="none"/>
        </w:rPr>
        <w:t>月</w:t>
      </w:r>
    </w:p>
    <w:p>
      <w:pPr>
        <w:ind w:left="0" w:firstLine="0"/>
        <w:rPr>
          <w:rFonts w:ascii="宋体" w:hAnsi="宋体"/>
          <w:highlight w:val="none"/>
        </w:rPr>
      </w:pPr>
      <w:r>
        <w:rPr>
          <w:rFonts w:ascii="宋体" w:hAnsi="宋体"/>
          <w:highlight w:val="none"/>
        </w:rPr>
        <w:br w:type="page"/>
      </w:r>
    </w:p>
    <w:p>
      <w:pPr>
        <w:pStyle w:val="13"/>
        <w:rPr>
          <w:highlight w:val="none"/>
        </w:rPr>
      </w:pPr>
    </w:p>
    <w:sdt>
      <w:sdtPr>
        <w:rPr>
          <w:rFonts w:ascii="宋体" w:hAnsi="宋体"/>
          <w:b/>
          <w:bCs/>
          <w:sz w:val="32"/>
          <w:szCs w:val="32"/>
          <w:highlight w:val="none"/>
        </w:rPr>
        <w:id w:val="147479136"/>
        <w:docPartObj>
          <w:docPartGallery w:val="Table of Contents"/>
          <w:docPartUnique/>
        </w:docPartObj>
      </w:sdtPr>
      <w:sdtEndPr>
        <w:rPr>
          <w:rFonts w:ascii="宋体" w:hAnsi="宋体"/>
          <w:b/>
          <w:bCs/>
          <w:sz w:val="28"/>
          <w:szCs w:val="28"/>
          <w:highlight w:val="none"/>
        </w:rPr>
      </w:sdtEndPr>
      <w:sdtContent>
        <w:p>
          <w:pPr>
            <w:spacing w:before="0" w:after="0" w:line="240" w:lineRule="auto"/>
            <w:ind w:left="0" w:right="0" w:firstLine="0"/>
            <w:jc w:val="center"/>
            <w:rPr>
              <w:b/>
              <w:bCs/>
              <w:sz w:val="32"/>
              <w:szCs w:val="32"/>
              <w:highlight w:val="none"/>
            </w:rPr>
          </w:pPr>
          <w:bookmarkStart w:id="0" w:name="_Toc23476"/>
          <w:bookmarkStart w:id="1" w:name="_Toc30647"/>
          <w:bookmarkStart w:id="2" w:name="_Toc5910"/>
          <w:bookmarkStart w:id="3" w:name="_Toc3658"/>
          <w:bookmarkStart w:id="4" w:name="_Toc26620"/>
          <w:bookmarkStart w:id="5" w:name="_Toc26192"/>
          <w:bookmarkStart w:id="6" w:name="_Toc14762"/>
          <w:bookmarkStart w:id="7" w:name="_Toc481"/>
          <w:bookmarkStart w:id="8" w:name="_Toc492478714"/>
          <w:bookmarkStart w:id="9" w:name="_Toc375039061"/>
          <w:bookmarkStart w:id="10" w:name="_Toc26939"/>
          <w:bookmarkStart w:id="11" w:name="_Toc17906"/>
          <w:bookmarkStart w:id="12" w:name="_Toc1363"/>
          <w:bookmarkStart w:id="13" w:name="_Toc25355"/>
          <w:bookmarkStart w:id="14" w:name="_Toc15211"/>
          <w:bookmarkStart w:id="15" w:name="_Toc23367"/>
          <w:bookmarkStart w:id="16" w:name="_Toc3400"/>
          <w:bookmarkStart w:id="17" w:name="_Toc1227"/>
          <w:bookmarkStart w:id="18" w:name="_Toc237"/>
          <w:r>
            <w:rPr>
              <w:rFonts w:ascii="宋体" w:hAnsi="宋体"/>
              <w:b/>
              <w:bCs/>
              <w:sz w:val="32"/>
              <w:szCs w:val="32"/>
              <w:highlight w:val="none"/>
            </w:rPr>
            <w:t>目</w:t>
          </w:r>
          <w:r>
            <w:rPr>
              <w:rFonts w:hint="eastAsia" w:ascii="宋体" w:hAnsi="宋体"/>
              <w:b/>
              <w:bCs/>
              <w:sz w:val="32"/>
              <w:szCs w:val="32"/>
              <w:highlight w:val="none"/>
            </w:rPr>
            <w:t xml:space="preserve">    </w:t>
          </w:r>
          <w:r>
            <w:rPr>
              <w:rFonts w:ascii="宋体" w:hAnsi="宋体"/>
              <w:b/>
              <w:bCs/>
              <w:sz w:val="32"/>
              <w:szCs w:val="32"/>
              <w:highlight w:val="none"/>
            </w:rPr>
            <w:t>录</w:t>
          </w:r>
        </w:p>
        <w:p>
          <w:pPr>
            <w:pStyle w:val="18"/>
            <w:tabs>
              <w:tab w:val="right" w:leader="dot" w:pos="9070"/>
            </w:tabs>
          </w:pPr>
          <w:r>
            <w:rPr>
              <w:highlight w:val="none"/>
            </w:rPr>
            <w:fldChar w:fldCharType="begin"/>
          </w:r>
          <w:r>
            <w:rPr>
              <w:highlight w:val="none"/>
            </w:rPr>
            <w:instrText xml:space="preserve">TOC \o "1-2" \h \u </w:instrText>
          </w:r>
          <w:r>
            <w:rPr>
              <w:highlight w:val="none"/>
            </w:rPr>
            <w:fldChar w:fldCharType="separate"/>
          </w:r>
          <w:r>
            <w:rPr>
              <w:highlight w:val="none"/>
            </w:rPr>
            <w:fldChar w:fldCharType="begin"/>
          </w:r>
          <w:r>
            <w:rPr>
              <w:highlight w:val="none"/>
            </w:rPr>
            <w:instrText xml:space="preserve"> HYPERLINK \l _Toc9446 </w:instrText>
          </w:r>
          <w:r>
            <w:rPr>
              <w:highlight w:val="none"/>
            </w:rPr>
            <w:fldChar w:fldCharType="separate"/>
          </w:r>
          <w:r>
            <w:rPr>
              <w:rFonts w:hint="eastAsia" w:ascii="宋体" w:hAnsi="宋体" w:eastAsia="宋体"/>
              <w:highlight w:val="none"/>
            </w:rPr>
            <w:t>第一章</w:t>
          </w:r>
          <w:r>
            <w:rPr>
              <w:rFonts w:hint="eastAsia" w:hAnsi="宋体"/>
              <w:highlight w:val="none"/>
            </w:rPr>
            <w:t xml:space="preserve"> </w:t>
          </w:r>
          <w:r>
            <w:rPr>
              <w:rFonts w:hint="eastAsia" w:ascii="宋体" w:hAnsi="宋体" w:eastAsia="宋体"/>
              <w:highlight w:val="none"/>
            </w:rPr>
            <w:t>招标公告</w:t>
          </w:r>
          <w:r>
            <w:tab/>
          </w:r>
          <w:r>
            <w:fldChar w:fldCharType="begin"/>
          </w:r>
          <w:r>
            <w:instrText xml:space="preserve"> PAGEREF _Toc9446 \h </w:instrText>
          </w:r>
          <w:r>
            <w:fldChar w:fldCharType="separate"/>
          </w:r>
          <w:r>
            <w:t>1</w:t>
          </w:r>
          <w:r>
            <w:fldChar w:fldCharType="end"/>
          </w:r>
          <w:r>
            <w:rPr>
              <w:highlight w:val="none"/>
            </w:rPr>
            <w:fldChar w:fldCharType="end"/>
          </w:r>
        </w:p>
        <w:p>
          <w:pPr>
            <w:pStyle w:val="18"/>
            <w:tabs>
              <w:tab w:val="right" w:leader="dot" w:pos="9070"/>
            </w:tabs>
          </w:pPr>
          <w:r>
            <w:rPr>
              <w:highlight w:val="none"/>
            </w:rPr>
            <w:fldChar w:fldCharType="begin"/>
          </w:r>
          <w:r>
            <w:rPr>
              <w:highlight w:val="none"/>
            </w:rPr>
            <w:instrText xml:space="preserve"> HYPERLINK \l _Toc27248 </w:instrText>
          </w:r>
          <w:r>
            <w:rPr>
              <w:highlight w:val="none"/>
            </w:rPr>
            <w:fldChar w:fldCharType="separate"/>
          </w:r>
          <w:r>
            <w:rPr>
              <w:rFonts w:hint="eastAsia" w:ascii="宋体" w:hAnsi="宋体" w:eastAsia="宋体"/>
              <w:highlight w:val="none"/>
            </w:rPr>
            <w:t>第二章</w:t>
          </w:r>
          <w:r>
            <w:rPr>
              <w:rFonts w:hint="eastAsia" w:hAnsi="宋体"/>
              <w:highlight w:val="none"/>
            </w:rPr>
            <w:t xml:space="preserve"> </w:t>
          </w:r>
          <w:r>
            <w:rPr>
              <w:rFonts w:hint="eastAsia" w:ascii="宋体" w:hAnsi="宋体" w:eastAsia="宋体"/>
              <w:highlight w:val="none"/>
            </w:rPr>
            <w:t>投标人须知</w:t>
          </w:r>
          <w:r>
            <w:tab/>
          </w:r>
          <w:r>
            <w:fldChar w:fldCharType="begin"/>
          </w:r>
          <w:r>
            <w:instrText xml:space="preserve"> PAGEREF _Toc27248 \h </w:instrText>
          </w:r>
          <w:r>
            <w:fldChar w:fldCharType="separate"/>
          </w:r>
          <w:r>
            <w:t>5</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_Toc18179 </w:instrText>
          </w:r>
          <w:r>
            <w:rPr>
              <w:highlight w:val="none"/>
            </w:rPr>
            <w:fldChar w:fldCharType="separate"/>
          </w:r>
          <w:r>
            <w:rPr>
              <w:rFonts w:hint="eastAsia" w:hAnsi="宋体"/>
              <w:szCs w:val="30"/>
              <w:highlight w:val="none"/>
            </w:rPr>
            <w:t>投标人须知前附表</w:t>
          </w:r>
          <w:r>
            <w:tab/>
          </w:r>
          <w:r>
            <w:fldChar w:fldCharType="begin"/>
          </w:r>
          <w:r>
            <w:instrText xml:space="preserve"> PAGEREF _Toc18179 \h </w:instrText>
          </w:r>
          <w:r>
            <w:fldChar w:fldCharType="separate"/>
          </w:r>
          <w:r>
            <w:t>5</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_Toc2342 </w:instrText>
          </w:r>
          <w:r>
            <w:rPr>
              <w:highlight w:val="none"/>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_Toc2342 \h </w:instrText>
          </w:r>
          <w:r>
            <w:fldChar w:fldCharType="separate"/>
          </w:r>
          <w:r>
            <w:t>10</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_Toc23766 </w:instrText>
          </w:r>
          <w:r>
            <w:rPr>
              <w:highlight w:val="none"/>
            </w:rPr>
            <w:fldChar w:fldCharType="separate"/>
          </w:r>
          <w:r>
            <w:rPr>
              <w:rFonts w:hint="eastAsia" w:ascii="宋体" w:hAnsi="宋体" w:eastAsia="宋体"/>
              <w:szCs w:val="24"/>
              <w:highlight w:val="none"/>
            </w:rPr>
            <w:t>二、</w:t>
          </w:r>
          <w:r>
            <w:rPr>
              <w:rFonts w:ascii="宋体" w:hAnsi="宋体" w:eastAsia="宋体"/>
              <w:szCs w:val="24"/>
              <w:highlight w:val="none"/>
            </w:rPr>
            <w:t>招标文件</w:t>
          </w:r>
          <w:r>
            <w:tab/>
          </w:r>
          <w:r>
            <w:fldChar w:fldCharType="begin"/>
          </w:r>
          <w:r>
            <w:instrText xml:space="preserve"> PAGEREF _Toc23766 \h </w:instrText>
          </w:r>
          <w:r>
            <w:fldChar w:fldCharType="separate"/>
          </w:r>
          <w:r>
            <w:t>11</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_Toc28265 </w:instrText>
          </w:r>
          <w:r>
            <w:rPr>
              <w:highlight w:val="none"/>
            </w:rPr>
            <w:fldChar w:fldCharType="separate"/>
          </w:r>
          <w:r>
            <w:rPr>
              <w:rFonts w:hint="eastAsia" w:ascii="宋体" w:hAnsi="宋体" w:eastAsia="宋体"/>
              <w:szCs w:val="24"/>
              <w:highlight w:val="none"/>
            </w:rPr>
            <w:t>三、</w:t>
          </w:r>
          <w:r>
            <w:rPr>
              <w:rFonts w:ascii="宋体" w:hAnsi="宋体" w:eastAsia="宋体"/>
              <w:szCs w:val="24"/>
              <w:highlight w:val="none"/>
            </w:rPr>
            <w:t>投标文件</w:t>
          </w:r>
          <w:r>
            <w:tab/>
          </w:r>
          <w:r>
            <w:fldChar w:fldCharType="begin"/>
          </w:r>
          <w:r>
            <w:instrText xml:space="preserve"> PAGEREF _Toc28265 \h </w:instrText>
          </w:r>
          <w:r>
            <w:fldChar w:fldCharType="separate"/>
          </w:r>
          <w:r>
            <w:t>12</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_Toc17147 </w:instrText>
          </w:r>
          <w:r>
            <w:rPr>
              <w:highlight w:val="none"/>
            </w:rPr>
            <w:fldChar w:fldCharType="separate"/>
          </w:r>
          <w:r>
            <w:rPr>
              <w:rFonts w:hint="eastAsia" w:ascii="宋体" w:hAnsi="宋体" w:eastAsia="宋体"/>
              <w:szCs w:val="24"/>
              <w:highlight w:val="none"/>
            </w:rPr>
            <w:t>四、</w:t>
          </w:r>
          <w:r>
            <w:rPr>
              <w:rFonts w:ascii="宋体" w:hAnsi="宋体" w:eastAsia="宋体"/>
              <w:szCs w:val="24"/>
              <w:highlight w:val="none"/>
            </w:rPr>
            <w:t>投标</w:t>
          </w:r>
          <w:r>
            <w:tab/>
          </w:r>
          <w:r>
            <w:fldChar w:fldCharType="begin"/>
          </w:r>
          <w:r>
            <w:instrText xml:space="preserve"> PAGEREF _Toc17147 \h </w:instrText>
          </w:r>
          <w:r>
            <w:fldChar w:fldCharType="separate"/>
          </w:r>
          <w:r>
            <w:t>14</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_Toc23512 </w:instrText>
          </w:r>
          <w:r>
            <w:rPr>
              <w:highlight w:val="none"/>
            </w:rPr>
            <w:fldChar w:fldCharType="separate"/>
          </w:r>
          <w:r>
            <w:rPr>
              <w:rFonts w:hint="eastAsia" w:ascii="宋体" w:hAnsi="宋体" w:eastAsia="宋体"/>
              <w:szCs w:val="24"/>
              <w:highlight w:val="none"/>
            </w:rPr>
            <w:t>五、</w:t>
          </w:r>
          <w:r>
            <w:rPr>
              <w:rFonts w:ascii="宋体" w:hAnsi="宋体" w:eastAsia="宋体"/>
              <w:szCs w:val="24"/>
              <w:highlight w:val="none"/>
            </w:rPr>
            <w:t>开标与评标</w:t>
          </w:r>
          <w:r>
            <w:tab/>
          </w:r>
          <w:r>
            <w:fldChar w:fldCharType="begin"/>
          </w:r>
          <w:r>
            <w:instrText xml:space="preserve"> PAGEREF _Toc23512 \h </w:instrText>
          </w:r>
          <w:r>
            <w:fldChar w:fldCharType="separate"/>
          </w:r>
          <w:r>
            <w:t>15</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_Toc30265 </w:instrText>
          </w:r>
          <w:r>
            <w:rPr>
              <w:highlight w:val="none"/>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tab/>
          </w:r>
          <w:r>
            <w:fldChar w:fldCharType="begin"/>
          </w:r>
          <w:r>
            <w:instrText xml:space="preserve"> PAGEREF _Toc30265 \h </w:instrText>
          </w:r>
          <w:r>
            <w:fldChar w:fldCharType="separate"/>
          </w:r>
          <w:r>
            <w:t>16</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_Toc15898 </w:instrText>
          </w:r>
          <w:r>
            <w:rPr>
              <w:highlight w:val="none"/>
            </w:rPr>
            <w:fldChar w:fldCharType="separate"/>
          </w:r>
          <w:r>
            <w:rPr>
              <w:rFonts w:hint="eastAsia" w:ascii="宋体" w:hAnsi="宋体" w:eastAsia="宋体" w:cs="宋体"/>
              <w:szCs w:val="24"/>
              <w:highlight w:val="none"/>
            </w:rPr>
            <w:t>七、重新招标和不再招标</w:t>
          </w:r>
          <w:r>
            <w:tab/>
          </w:r>
          <w:r>
            <w:fldChar w:fldCharType="begin"/>
          </w:r>
          <w:r>
            <w:instrText xml:space="preserve"> PAGEREF _Toc15898 \h </w:instrText>
          </w:r>
          <w:r>
            <w:fldChar w:fldCharType="separate"/>
          </w:r>
          <w:r>
            <w:t>18</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_Toc3990 </w:instrText>
          </w:r>
          <w:r>
            <w:rPr>
              <w:highlight w:val="none"/>
            </w:rPr>
            <w:fldChar w:fldCharType="separate"/>
          </w:r>
          <w:r>
            <w:rPr>
              <w:rFonts w:hint="eastAsia" w:ascii="宋体" w:hAnsi="宋体" w:eastAsia="宋体" w:cs="宋体"/>
              <w:szCs w:val="24"/>
              <w:highlight w:val="none"/>
            </w:rPr>
            <w:t>八、纪律和监督</w:t>
          </w:r>
          <w:r>
            <w:tab/>
          </w:r>
          <w:r>
            <w:fldChar w:fldCharType="begin"/>
          </w:r>
          <w:r>
            <w:instrText xml:space="preserve"> PAGEREF _Toc3990 \h </w:instrText>
          </w:r>
          <w:r>
            <w:fldChar w:fldCharType="separate"/>
          </w:r>
          <w:r>
            <w:t>18</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_Toc5432 </w:instrText>
          </w:r>
          <w:r>
            <w:rPr>
              <w:highlight w:val="none"/>
            </w:rPr>
            <w:fldChar w:fldCharType="separate"/>
          </w:r>
          <w:r>
            <w:rPr>
              <w:rFonts w:hint="eastAsia" w:ascii="宋体" w:hAnsi="宋体" w:eastAsia="宋体" w:cs="宋体"/>
              <w:szCs w:val="24"/>
              <w:highlight w:val="none"/>
            </w:rPr>
            <w:t>九、需要补充的其他内容</w:t>
          </w:r>
          <w:r>
            <w:tab/>
          </w:r>
          <w:r>
            <w:fldChar w:fldCharType="begin"/>
          </w:r>
          <w:r>
            <w:instrText xml:space="preserve"> PAGEREF _Toc5432 \h </w:instrText>
          </w:r>
          <w:r>
            <w:fldChar w:fldCharType="separate"/>
          </w:r>
          <w:r>
            <w:t>19</w:t>
          </w:r>
          <w:r>
            <w:fldChar w:fldCharType="end"/>
          </w:r>
          <w:r>
            <w:rPr>
              <w:highlight w:val="none"/>
            </w:rPr>
            <w:fldChar w:fldCharType="end"/>
          </w:r>
        </w:p>
        <w:p>
          <w:pPr>
            <w:pStyle w:val="18"/>
            <w:tabs>
              <w:tab w:val="right" w:leader="dot" w:pos="9070"/>
            </w:tabs>
          </w:pPr>
          <w:r>
            <w:rPr>
              <w:highlight w:val="none"/>
            </w:rPr>
            <w:fldChar w:fldCharType="begin"/>
          </w:r>
          <w:r>
            <w:rPr>
              <w:highlight w:val="none"/>
            </w:rPr>
            <w:instrText xml:space="preserve"> HYPERLINK \l _Toc30148 </w:instrText>
          </w:r>
          <w:r>
            <w:rPr>
              <w:highlight w:val="none"/>
            </w:rPr>
            <w:fldChar w:fldCharType="separate"/>
          </w:r>
          <w:r>
            <w:rPr>
              <w:rFonts w:hint="eastAsia" w:ascii="宋体" w:hAnsi="宋体" w:eastAsia="宋体"/>
              <w:highlight w:val="none"/>
            </w:rPr>
            <w:t xml:space="preserve">第三章 </w:t>
          </w:r>
          <w:r>
            <w:rPr>
              <w:rFonts w:hint="eastAsia" w:hAnsi="宋体"/>
              <w:highlight w:val="none"/>
            </w:rPr>
            <w:t>评标办法</w:t>
          </w:r>
          <w:r>
            <w:tab/>
          </w:r>
          <w:r>
            <w:fldChar w:fldCharType="begin"/>
          </w:r>
          <w:r>
            <w:instrText xml:space="preserve"> PAGEREF _Toc30148 \h </w:instrText>
          </w:r>
          <w:r>
            <w:fldChar w:fldCharType="separate"/>
          </w:r>
          <w:r>
            <w:t>24</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_Toc8373 </w:instrText>
          </w:r>
          <w:r>
            <w:rPr>
              <w:highlight w:val="none"/>
            </w:rPr>
            <w:fldChar w:fldCharType="separate"/>
          </w:r>
          <w:r>
            <w:rPr>
              <w:rFonts w:hint="eastAsia" w:hAnsi="宋体"/>
              <w:szCs w:val="24"/>
              <w:highlight w:val="none"/>
            </w:rPr>
            <w:t>附表一 资格审查表</w:t>
          </w:r>
          <w:r>
            <w:tab/>
          </w:r>
          <w:r>
            <w:fldChar w:fldCharType="begin"/>
          </w:r>
          <w:r>
            <w:instrText xml:space="preserve"> PAGEREF _Toc8373 \h </w:instrText>
          </w:r>
          <w:r>
            <w:fldChar w:fldCharType="separate"/>
          </w:r>
          <w:r>
            <w:t>29</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_Toc5970 </w:instrText>
          </w:r>
          <w:r>
            <w:rPr>
              <w:highlight w:val="none"/>
            </w:rPr>
            <w:fldChar w:fldCharType="separate"/>
          </w:r>
          <w:r>
            <w:rPr>
              <w:rFonts w:hAnsi="宋体"/>
              <w:szCs w:val="24"/>
              <w:highlight w:val="none"/>
            </w:rPr>
            <w:t>附表二</w:t>
          </w:r>
          <w:r>
            <w:rPr>
              <w:rFonts w:hint="eastAsia" w:hAnsi="宋体"/>
              <w:szCs w:val="24"/>
              <w:highlight w:val="none"/>
            </w:rPr>
            <w:t xml:space="preserve"> </w:t>
          </w:r>
          <w:r>
            <w:rPr>
              <w:rFonts w:hAnsi="宋体"/>
              <w:szCs w:val="24"/>
              <w:highlight w:val="none"/>
            </w:rPr>
            <w:t>初步评审表</w:t>
          </w:r>
          <w:r>
            <w:tab/>
          </w:r>
          <w:r>
            <w:fldChar w:fldCharType="begin"/>
          </w:r>
          <w:r>
            <w:instrText xml:space="preserve"> PAGEREF _Toc5970 \h </w:instrText>
          </w:r>
          <w:r>
            <w:fldChar w:fldCharType="separate"/>
          </w:r>
          <w:r>
            <w:t>30</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_Toc30110 </w:instrText>
          </w:r>
          <w:r>
            <w:rPr>
              <w:highlight w:val="none"/>
            </w:rPr>
            <w:fldChar w:fldCharType="separate"/>
          </w:r>
          <w:r>
            <w:rPr>
              <w:rFonts w:hint="eastAsia"/>
              <w:szCs w:val="24"/>
              <w:highlight w:val="none"/>
            </w:rPr>
            <w:t>附表三 资信部分评分表</w:t>
          </w:r>
          <w:r>
            <w:tab/>
          </w:r>
          <w:r>
            <w:fldChar w:fldCharType="begin"/>
          </w:r>
          <w:r>
            <w:instrText xml:space="preserve"> PAGEREF _Toc30110 \h </w:instrText>
          </w:r>
          <w:r>
            <w:fldChar w:fldCharType="separate"/>
          </w:r>
          <w:r>
            <w:t>32</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_Toc23298 </w:instrText>
          </w:r>
          <w:r>
            <w:rPr>
              <w:highlight w:val="none"/>
            </w:rPr>
            <w:fldChar w:fldCharType="separate"/>
          </w:r>
          <w:r>
            <w:rPr>
              <w:rFonts w:hint="eastAsia"/>
              <w:szCs w:val="24"/>
              <w:highlight w:val="none"/>
            </w:rPr>
            <w:t xml:space="preserve">附表四 </w:t>
          </w:r>
          <w:r>
            <w:rPr>
              <w:szCs w:val="24"/>
              <w:highlight w:val="none"/>
            </w:rPr>
            <w:t>技术部分</w:t>
          </w:r>
          <w:r>
            <w:rPr>
              <w:rFonts w:hint="eastAsia"/>
              <w:szCs w:val="24"/>
              <w:highlight w:val="none"/>
            </w:rPr>
            <w:t>评分</w:t>
          </w:r>
          <w:r>
            <w:rPr>
              <w:szCs w:val="24"/>
              <w:highlight w:val="none"/>
            </w:rPr>
            <w:t>表</w:t>
          </w:r>
          <w:r>
            <w:tab/>
          </w:r>
          <w:r>
            <w:fldChar w:fldCharType="begin"/>
          </w:r>
          <w:r>
            <w:instrText xml:space="preserve"> PAGEREF _Toc23298 \h </w:instrText>
          </w:r>
          <w:r>
            <w:fldChar w:fldCharType="separate"/>
          </w:r>
          <w:r>
            <w:t>33</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_Toc5607 </w:instrText>
          </w:r>
          <w:r>
            <w:rPr>
              <w:highlight w:val="none"/>
            </w:rPr>
            <w:fldChar w:fldCharType="separate"/>
          </w:r>
          <w:r>
            <w:rPr>
              <w:rFonts w:hint="eastAsia"/>
              <w:szCs w:val="24"/>
              <w:highlight w:val="none"/>
            </w:rPr>
            <w:t>附表五 投标报价评分表</w:t>
          </w:r>
          <w:r>
            <w:tab/>
          </w:r>
          <w:r>
            <w:fldChar w:fldCharType="begin"/>
          </w:r>
          <w:r>
            <w:instrText xml:space="preserve"> PAGEREF _Toc5607 \h </w:instrText>
          </w:r>
          <w:r>
            <w:fldChar w:fldCharType="separate"/>
          </w:r>
          <w:r>
            <w:t>35</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_Toc8245 </w:instrText>
          </w:r>
          <w:r>
            <w:rPr>
              <w:highlight w:val="none"/>
            </w:rPr>
            <w:fldChar w:fldCharType="separate"/>
          </w:r>
          <w:r>
            <w:rPr>
              <w:rFonts w:hint="eastAsia"/>
              <w:szCs w:val="24"/>
              <w:highlight w:val="none"/>
            </w:rPr>
            <w:t>附表六 投标报价修正表</w:t>
          </w:r>
          <w:r>
            <w:tab/>
          </w:r>
          <w:r>
            <w:fldChar w:fldCharType="begin"/>
          </w:r>
          <w:r>
            <w:instrText xml:space="preserve"> PAGEREF _Toc8245 \h </w:instrText>
          </w:r>
          <w:r>
            <w:fldChar w:fldCharType="separate"/>
          </w:r>
          <w:r>
            <w:t>36</w:t>
          </w:r>
          <w:r>
            <w:fldChar w:fldCharType="end"/>
          </w:r>
          <w:r>
            <w:rPr>
              <w:highlight w:val="none"/>
            </w:rPr>
            <w:fldChar w:fldCharType="end"/>
          </w:r>
        </w:p>
        <w:p>
          <w:pPr>
            <w:pStyle w:val="18"/>
            <w:tabs>
              <w:tab w:val="right" w:leader="dot" w:pos="9070"/>
            </w:tabs>
          </w:pPr>
          <w:r>
            <w:rPr>
              <w:highlight w:val="none"/>
            </w:rPr>
            <w:fldChar w:fldCharType="begin"/>
          </w:r>
          <w:r>
            <w:rPr>
              <w:highlight w:val="none"/>
            </w:rPr>
            <w:instrText xml:space="preserve"> HYPERLINK \l _Toc7113 </w:instrText>
          </w:r>
          <w:r>
            <w:rPr>
              <w:highlight w:val="none"/>
            </w:rPr>
            <w:fldChar w:fldCharType="separate"/>
          </w:r>
          <w:r>
            <w:rPr>
              <w:rFonts w:hint="eastAsia" w:hAnsi="宋体"/>
              <w:szCs w:val="44"/>
              <w:highlight w:val="none"/>
            </w:rPr>
            <w:t>第四章 合同条款及格式</w:t>
          </w:r>
          <w:r>
            <w:tab/>
          </w:r>
          <w:r>
            <w:fldChar w:fldCharType="begin"/>
          </w:r>
          <w:r>
            <w:instrText xml:space="preserve"> PAGEREF _Toc7113 \h </w:instrText>
          </w:r>
          <w:r>
            <w:fldChar w:fldCharType="separate"/>
          </w:r>
          <w:r>
            <w:t>37</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_Toc14153 </w:instrText>
          </w:r>
          <w:r>
            <w:rPr>
              <w:highlight w:val="none"/>
            </w:rPr>
            <w:fldChar w:fldCharType="separate"/>
          </w:r>
          <w:r>
            <w:rPr>
              <w:rFonts w:ascii="Times New Roman" w:hAnsi="Times New Roman" w:eastAsia="宋体"/>
              <w:highlight w:val="none"/>
            </w:rPr>
            <w:t>第</w:t>
          </w:r>
          <w:r>
            <w:rPr>
              <w:rFonts w:hint="eastAsia" w:ascii="Times New Roman" w:hAnsi="Times New Roman" w:eastAsia="宋体"/>
              <w:highlight w:val="none"/>
            </w:rPr>
            <w:t>五</w:t>
          </w:r>
          <w:r>
            <w:rPr>
              <w:rFonts w:ascii="Times New Roman" w:hAnsi="Times New Roman" w:eastAsia="宋体"/>
              <w:highlight w:val="none"/>
            </w:rPr>
            <w:t>部分</w:t>
          </w:r>
          <w:r>
            <w:rPr>
              <w:rFonts w:hint="eastAsia" w:ascii="Times New Roman" w:hAnsi="Times New Roman" w:eastAsia="宋体"/>
              <w:highlight w:val="none"/>
            </w:rPr>
            <w:t xml:space="preserve"> 技术规格书</w:t>
          </w:r>
          <w:r>
            <w:tab/>
          </w:r>
          <w:r>
            <w:fldChar w:fldCharType="begin"/>
          </w:r>
          <w:r>
            <w:instrText xml:space="preserve"> PAGEREF _Toc14153 \h </w:instrText>
          </w:r>
          <w:r>
            <w:fldChar w:fldCharType="separate"/>
          </w:r>
          <w:r>
            <w:t>44</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_Toc24832 </w:instrText>
          </w:r>
          <w:r>
            <w:rPr>
              <w:highlight w:val="none"/>
            </w:rPr>
            <w:fldChar w:fldCharType="separate"/>
          </w:r>
          <w:r>
            <w:rPr>
              <w:rFonts w:ascii="宋体" w:hAnsi="宋体" w:eastAsia="宋体"/>
              <w:iCs/>
              <w:highlight w:val="none"/>
            </w:rPr>
            <w:t>第</w:t>
          </w:r>
          <w:r>
            <w:rPr>
              <w:rFonts w:hint="eastAsia" w:ascii="宋体" w:hAnsi="宋体" w:eastAsia="宋体"/>
              <w:iCs/>
              <w:highlight w:val="none"/>
            </w:rPr>
            <w:t>六</w:t>
          </w:r>
          <w:r>
            <w:rPr>
              <w:rFonts w:ascii="宋体" w:hAnsi="宋体" w:eastAsia="宋体"/>
              <w:iCs/>
              <w:highlight w:val="none"/>
            </w:rPr>
            <w:t>部分</w:t>
          </w:r>
          <w:r>
            <w:rPr>
              <w:rFonts w:hint="eastAsia" w:ascii="宋体" w:hAnsi="宋体" w:eastAsia="宋体"/>
              <w:iCs/>
              <w:highlight w:val="none"/>
            </w:rPr>
            <w:t xml:space="preserve"> </w:t>
          </w:r>
          <w:r>
            <w:rPr>
              <w:rFonts w:ascii="宋体" w:hAnsi="宋体" w:eastAsia="宋体"/>
              <w:iCs/>
              <w:highlight w:val="none"/>
            </w:rPr>
            <w:t>合同附件</w:t>
          </w:r>
          <w:r>
            <w:tab/>
          </w:r>
          <w:r>
            <w:fldChar w:fldCharType="begin"/>
          </w:r>
          <w:r>
            <w:instrText xml:space="preserve"> PAGEREF _Toc24832 \h </w:instrText>
          </w:r>
          <w:r>
            <w:fldChar w:fldCharType="separate"/>
          </w:r>
          <w:r>
            <w:t>45</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_Toc14945 </w:instrText>
          </w:r>
          <w:r>
            <w:rPr>
              <w:highlight w:val="none"/>
            </w:rPr>
            <w:fldChar w:fldCharType="separate"/>
          </w:r>
          <w:r>
            <w:rPr>
              <w:rFonts w:ascii="Times New Roman" w:hAnsi="Times New Roman" w:eastAsia="宋体"/>
              <w:highlight w:val="none"/>
            </w:rPr>
            <w:t>第</w:t>
          </w:r>
          <w:r>
            <w:rPr>
              <w:rFonts w:hint="eastAsia" w:ascii="Times New Roman" w:hAnsi="Times New Roman" w:eastAsia="宋体"/>
              <w:highlight w:val="none"/>
            </w:rPr>
            <w:t>七</w:t>
          </w:r>
          <w:r>
            <w:rPr>
              <w:rFonts w:ascii="Times New Roman" w:hAnsi="Times New Roman" w:eastAsia="宋体"/>
              <w:highlight w:val="none"/>
            </w:rPr>
            <w:t>部分</w:t>
          </w:r>
          <w:r>
            <w:rPr>
              <w:rFonts w:hint="eastAsia" w:ascii="Times New Roman" w:hAnsi="Times New Roman" w:eastAsia="宋体"/>
              <w:highlight w:val="none"/>
            </w:rPr>
            <w:t xml:space="preserve"> 招标文件</w:t>
          </w:r>
          <w:r>
            <w:tab/>
          </w:r>
          <w:r>
            <w:fldChar w:fldCharType="begin"/>
          </w:r>
          <w:r>
            <w:instrText xml:space="preserve"> PAGEREF _Toc14945 \h </w:instrText>
          </w:r>
          <w:r>
            <w:fldChar w:fldCharType="separate"/>
          </w:r>
          <w:r>
            <w:t>49</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_Toc12525 </w:instrText>
          </w:r>
          <w:r>
            <w:rPr>
              <w:highlight w:val="none"/>
            </w:rPr>
            <w:fldChar w:fldCharType="separate"/>
          </w:r>
          <w:r>
            <w:rPr>
              <w:rFonts w:ascii="Times New Roman" w:hAnsi="Times New Roman" w:eastAsia="宋体"/>
              <w:highlight w:val="none"/>
            </w:rPr>
            <w:t>第</w:t>
          </w:r>
          <w:r>
            <w:rPr>
              <w:rFonts w:hint="eastAsia" w:ascii="Times New Roman" w:hAnsi="Times New Roman" w:eastAsia="宋体"/>
              <w:highlight w:val="none"/>
            </w:rPr>
            <w:t>八</w:t>
          </w:r>
          <w:r>
            <w:rPr>
              <w:rFonts w:ascii="Times New Roman" w:hAnsi="Times New Roman" w:eastAsia="宋体"/>
              <w:highlight w:val="none"/>
            </w:rPr>
            <w:t>部分</w:t>
          </w:r>
          <w:r>
            <w:rPr>
              <w:rFonts w:hint="eastAsia" w:ascii="Times New Roman" w:hAnsi="Times New Roman" w:eastAsia="宋体"/>
              <w:highlight w:val="none"/>
            </w:rPr>
            <w:t xml:space="preserve"> 投标文件</w:t>
          </w:r>
          <w:r>
            <w:tab/>
          </w:r>
          <w:r>
            <w:fldChar w:fldCharType="begin"/>
          </w:r>
          <w:r>
            <w:instrText xml:space="preserve"> PAGEREF _Toc12525 \h </w:instrText>
          </w:r>
          <w:r>
            <w:fldChar w:fldCharType="separate"/>
          </w:r>
          <w:r>
            <w:t>50</w:t>
          </w:r>
          <w:r>
            <w:fldChar w:fldCharType="end"/>
          </w:r>
          <w:r>
            <w:rPr>
              <w:highlight w:val="none"/>
            </w:rPr>
            <w:fldChar w:fldCharType="end"/>
          </w:r>
        </w:p>
        <w:p>
          <w:pPr>
            <w:pStyle w:val="18"/>
            <w:tabs>
              <w:tab w:val="right" w:leader="dot" w:pos="9070"/>
            </w:tabs>
          </w:pPr>
          <w:r>
            <w:rPr>
              <w:highlight w:val="none"/>
            </w:rPr>
            <w:fldChar w:fldCharType="begin"/>
          </w:r>
          <w:r>
            <w:rPr>
              <w:highlight w:val="none"/>
            </w:rPr>
            <w:instrText xml:space="preserve"> HYPERLINK \l _Toc20308 </w:instrText>
          </w:r>
          <w:r>
            <w:rPr>
              <w:highlight w:val="none"/>
            </w:rPr>
            <w:fldChar w:fldCharType="separate"/>
          </w:r>
          <w:r>
            <w:rPr>
              <w:rFonts w:hint="eastAsia" w:ascii="宋体" w:hAnsi="宋体" w:eastAsia="宋体"/>
              <w:highlight w:val="none"/>
            </w:rPr>
            <w:t>第五章 投标文件格式</w:t>
          </w:r>
          <w:r>
            <w:tab/>
          </w:r>
          <w:r>
            <w:fldChar w:fldCharType="begin"/>
          </w:r>
          <w:r>
            <w:instrText xml:space="preserve"> PAGEREF _Toc20308 \h </w:instrText>
          </w:r>
          <w:r>
            <w:fldChar w:fldCharType="separate"/>
          </w:r>
          <w:r>
            <w:t>51</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_Toc31977 </w:instrText>
          </w:r>
          <w:r>
            <w:rPr>
              <w:highlight w:val="none"/>
            </w:rPr>
            <w:fldChar w:fldCharType="separate"/>
          </w:r>
          <w:r>
            <w:rPr>
              <w:rFonts w:hint="eastAsia" w:ascii="宋体" w:hAnsi="宋体"/>
              <w:szCs w:val="36"/>
              <w:highlight w:val="none"/>
            </w:rPr>
            <w:t>资格审查文件</w:t>
          </w:r>
          <w:r>
            <w:tab/>
          </w:r>
          <w:r>
            <w:fldChar w:fldCharType="begin"/>
          </w:r>
          <w:r>
            <w:instrText xml:space="preserve"> PAGEREF _Toc31977 \h </w:instrText>
          </w:r>
          <w:r>
            <w:fldChar w:fldCharType="separate"/>
          </w:r>
          <w:r>
            <w:t>52</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_Toc15166 </w:instrText>
          </w:r>
          <w:r>
            <w:rPr>
              <w:highlight w:val="none"/>
            </w:rPr>
            <w:fldChar w:fldCharType="separate"/>
          </w:r>
          <w:r>
            <w:rPr>
              <w:rFonts w:hint="eastAsia" w:ascii="宋体" w:hAnsi="宋体"/>
              <w:szCs w:val="36"/>
              <w:highlight w:val="none"/>
            </w:rPr>
            <w:t>资信文件</w:t>
          </w:r>
          <w:r>
            <w:tab/>
          </w:r>
          <w:r>
            <w:fldChar w:fldCharType="begin"/>
          </w:r>
          <w:r>
            <w:instrText xml:space="preserve"> PAGEREF _Toc15166 \h </w:instrText>
          </w:r>
          <w:r>
            <w:fldChar w:fldCharType="separate"/>
          </w:r>
          <w:r>
            <w:t>57</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_Toc18099 </w:instrText>
          </w:r>
          <w:r>
            <w:rPr>
              <w:highlight w:val="none"/>
            </w:rPr>
            <w:fldChar w:fldCharType="separate"/>
          </w:r>
          <w:r>
            <w:rPr>
              <w:rFonts w:hint="eastAsia" w:ascii="宋体" w:hAnsi="宋体"/>
              <w:szCs w:val="36"/>
              <w:highlight w:val="none"/>
            </w:rPr>
            <w:t>技术文件</w:t>
          </w:r>
          <w:r>
            <w:tab/>
          </w:r>
          <w:r>
            <w:fldChar w:fldCharType="begin"/>
          </w:r>
          <w:r>
            <w:instrText xml:space="preserve"> PAGEREF _Toc18099 \h </w:instrText>
          </w:r>
          <w:r>
            <w:fldChar w:fldCharType="separate"/>
          </w:r>
          <w:r>
            <w:t>59</w:t>
          </w:r>
          <w:r>
            <w:fldChar w:fldCharType="end"/>
          </w:r>
          <w:r>
            <w:rPr>
              <w:highlight w:val="none"/>
            </w:rPr>
            <w:fldChar w:fldCharType="end"/>
          </w:r>
        </w:p>
        <w:p>
          <w:pPr>
            <w:pStyle w:val="23"/>
            <w:tabs>
              <w:tab w:val="right" w:leader="dot" w:pos="9070"/>
            </w:tabs>
          </w:pPr>
          <w:r>
            <w:rPr>
              <w:highlight w:val="none"/>
            </w:rPr>
            <w:fldChar w:fldCharType="begin"/>
          </w:r>
          <w:r>
            <w:rPr>
              <w:highlight w:val="none"/>
            </w:rPr>
            <w:instrText xml:space="preserve"> HYPERLINK \l _Toc15841 </w:instrText>
          </w:r>
          <w:r>
            <w:rPr>
              <w:highlight w:val="none"/>
            </w:rPr>
            <w:fldChar w:fldCharType="separate"/>
          </w:r>
          <w:r>
            <w:rPr>
              <w:rFonts w:hint="eastAsia" w:ascii="宋体" w:hAnsi="宋体"/>
              <w:szCs w:val="36"/>
              <w:highlight w:val="none"/>
            </w:rPr>
            <w:t>报价文件</w:t>
          </w:r>
          <w:r>
            <w:tab/>
          </w:r>
          <w:r>
            <w:fldChar w:fldCharType="begin"/>
          </w:r>
          <w:r>
            <w:instrText xml:space="preserve"> PAGEREF _Toc15841 \h </w:instrText>
          </w:r>
          <w:r>
            <w:fldChar w:fldCharType="separate"/>
          </w:r>
          <w:r>
            <w:t>64</w:t>
          </w:r>
          <w:r>
            <w:fldChar w:fldCharType="end"/>
          </w:r>
          <w:r>
            <w:rPr>
              <w:highlight w:val="none"/>
            </w:rPr>
            <w:fldChar w:fldCharType="end"/>
          </w:r>
        </w:p>
        <w:p>
          <w:pPr>
            <w:pStyle w:val="18"/>
            <w:tabs>
              <w:tab w:val="right" w:leader="dot" w:pos="9070"/>
            </w:tabs>
          </w:pPr>
          <w:r>
            <w:rPr>
              <w:highlight w:val="none"/>
            </w:rPr>
            <w:fldChar w:fldCharType="begin"/>
          </w:r>
          <w:r>
            <w:rPr>
              <w:highlight w:val="none"/>
            </w:rPr>
            <w:instrText xml:space="preserve"> HYPERLINK \l _Toc1251 </w:instrText>
          </w:r>
          <w:r>
            <w:rPr>
              <w:highlight w:val="none"/>
            </w:rPr>
            <w:fldChar w:fldCharType="separate"/>
          </w:r>
          <w:r>
            <w:rPr>
              <w:rFonts w:hint="eastAsia" w:ascii="宋体" w:hAnsi="宋体" w:eastAsia="宋体"/>
              <w:highlight w:val="none"/>
            </w:rPr>
            <w:t>第六章 用户需求书</w:t>
          </w:r>
          <w:r>
            <w:tab/>
          </w:r>
          <w:r>
            <w:fldChar w:fldCharType="begin"/>
          </w:r>
          <w:r>
            <w:instrText xml:space="preserve"> PAGEREF _Toc1251 \h </w:instrText>
          </w:r>
          <w:r>
            <w:fldChar w:fldCharType="separate"/>
          </w:r>
          <w:r>
            <w:t>70</w:t>
          </w:r>
          <w:r>
            <w:fldChar w:fldCharType="end"/>
          </w:r>
          <w:r>
            <w:rPr>
              <w:highlight w:val="none"/>
            </w:rPr>
            <w:fldChar w:fldCharType="end"/>
          </w:r>
        </w:p>
        <w:p>
          <w:pPr>
            <w:snapToGrid w:val="0"/>
            <w:spacing w:line="240" w:lineRule="auto"/>
            <w:rPr>
              <w:highlight w:val="none"/>
            </w:rPr>
          </w:pPr>
          <w:r>
            <w:rPr>
              <w:highlight w:val="none"/>
            </w:rPr>
            <w:fldChar w:fldCharType="end"/>
          </w:r>
        </w:p>
      </w:sdtContent>
    </w:sdt>
    <w:p>
      <w:pPr>
        <w:pStyle w:val="13"/>
        <w:pageBreakBefore/>
        <w:ind w:right="-57" w:firstLine="0"/>
        <w:jc w:val="center"/>
        <w:outlineLvl w:val="0"/>
        <w:rPr>
          <w:rStyle w:val="41"/>
          <w:rFonts w:ascii="宋体" w:hAnsi="宋体" w:eastAsia="宋体"/>
          <w:highlight w:val="none"/>
        </w:rPr>
        <w:sectPr>
          <w:headerReference r:id="rId6" w:type="first"/>
          <w:footerReference r:id="rId8" w:type="first"/>
          <w:headerReference r:id="rId5" w:type="default"/>
          <w:footerReference r:id="rId7" w:type="default"/>
          <w:pgSz w:w="11906" w:h="16838"/>
          <w:pgMar w:top="1418" w:right="1418" w:bottom="1418" w:left="1418" w:header="851" w:footer="992" w:gutter="0"/>
          <w:pgNumType w:fmt="decimal" w:start="1"/>
          <w:cols w:space="720" w:num="1"/>
          <w:docGrid w:linePitch="312" w:charSpace="0"/>
        </w:sectPr>
      </w:pPr>
      <w:bookmarkStart w:id="19" w:name="_Toc24980"/>
      <w:bookmarkStart w:id="20" w:name="_Toc17136"/>
      <w:bookmarkStart w:id="21" w:name="_Toc25650"/>
      <w:bookmarkStart w:id="22" w:name="_Toc32088"/>
      <w:bookmarkStart w:id="23" w:name="_Toc5995"/>
      <w:bookmarkStart w:id="24" w:name="_Toc27838"/>
      <w:bookmarkStart w:id="25" w:name="_Toc4054"/>
      <w:bookmarkStart w:id="26" w:name="_Toc8585"/>
      <w:bookmarkStart w:id="27" w:name="_Toc2948"/>
      <w:bookmarkStart w:id="28" w:name="_Toc16140"/>
      <w:bookmarkStart w:id="29" w:name="_Toc8439"/>
      <w:bookmarkStart w:id="30" w:name="_Toc2703"/>
    </w:p>
    <w:p>
      <w:pPr>
        <w:pStyle w:val="13"/>
        <w:pageBreakBefore/>
        <w:ind w:right="-57" w:firstLine="0"/>
        <w:jc w:val="center"/>
        <w:outlineLvl w:val="0"/>
        <w:rPr>
          <w:rStyle w:val="41"/>
          <w:rFonts w:ascii="宋体" w:hAnsi="宋体" w:eastAsia="宋体"/>
          <w:highlight w:val="none"/>
        </w:rPr>
      </w:pPr>
      <w:bookmarkStart w:id="31" w:name="_Toc23597"/>
      <w:bookmarkStart w:id="32" w:name="_Toc16687"/>
      <w:bookmarkStart w:id="33" w:name="_Toc16049"/>
      <w:bookmarkStart w:id="34" w:name="_Toc6426"/>
      <w:bookmarkStart w:id="35" w:name="_Toc32084"/>
      <w:bookmarkStart w:id="36" w:name="_Toc9446"/>
      <w:bookmarkStart w:id="37" w:name="_Toc28887"/>
      <w:r>
        <w:rPr>
          <w:rStyle w:val="41"/>
          <w:rFonts w:hint="eastAsia" w:ascii="宋体" w:hAnsi="宋体" w:eastAsia="宋体"/>
          <w:highlight w:val="none"/>
        </w:rPr>
        <w:t>第一章</w:t>
      </w:r>
      <w:r>
        <w:rPr>
          <w:rStyle w:val="41"/>
          <w:rFonts w:hint="eastAsia" w:hAnsi="宋体"/>
          <w:highlight w:val="none"/>
        </w:rPr>
        <w:t xml:space="preserve"> </w:t>
      </w:r>
      <w:r>
        <w:rPr>
          <w:rStyle w:val="41"/>
          <w:rFonts w:hint="eastAsia" w:ascii="宋体" w:hAnsi="宋体" w:eastAsia="宋体"/>
          <w:highlight w:val="none"/>
        </w:rPr>
        <w:t>招标公告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spacing w:before="0" w:after="0" w:afterAutospacing="0"/>
        <w:ind w:right="-57" w:firstLine="0"/>
        <w:jc w:val="center"/>
        <w:rPr>
          <w:rFonts w:ascii="宋体" w:hAnsi="宋体"/>
          <w:b/>
          <w:sz w:val="28"/>
          <w:szCs w:val="28"/>
          <w:highlight w:val="none"/>
        </w:rPr>
      </w:pPr>
      <w:r>
        <w:rPr>
          <w:rFonts w:hint="eastAsia" w:ascii="宋体" w:hAnsi="宋体"/>
          <w:b/>
          <w:sz w:val="28"/>
          <w:szCs w:val="28"/>
          <w:highlight w:val="none"/>
        </w:rPr>
        <w:t>南宁轨道交通运营有限公司工会委员会2024年工会会员端午节慰问品采购项目招标公告</w:t>
      </w:r>
    </w:p>
    <w:p>
      <w:pPr>
        <w:spacing w:before="0" w:after="0" w:afterAutospacing="0"/>
        <w:ind w:left="0" w:right="0" w:firstLine="422" w:firstLineChars="200"/>
        <w:rPr>
          <w:rFonts w:ascii="宋体" w:hAnsi="宋体"/>
          <w:b/>
          <w:highlight w:val="none"/>
        </w:rPr>
      </w:pPr>
      <w:bookmarkStart w:id="38" w:name="OLE_LINK4"/>
      <w:bookmarkEnd w:id="38"/>
      <w:r>
        <w:rPr>
          <w:rFonts w:hint="eastAsia" w:ascii="宋体" w:hAnsi="宋体"/>
          <w:b/>
          <w:highlight w:val="none"/>
        </w:rPr>
        <w:t>1.招标条件</w:t>
      </w:r>
    </w:p>
    <w:p>
      <w:pPr>
        <w:spacing w:before="0" w:after="0" w:afterAutospacing="0"/>
        <w:ind w:left="0" w:right="0" w:firstLine="420" w:firstLineChars="200"/>
        <w:rPr>
          <w:rFonts w:ascii="宋体" w:hAnsi="宋体"/>
          <w:highlight w:val="none"/>
        </w:rPr>
      </w:pPr>
      <w:r>
        <w:rPr>
          <w:rFonts w:hint="eastAsia" w:ascii="宋体" w:hAnsi="宋体"/>
          <w:highlight w:val="none"/>
        </w:rPr>
        <w:t>本招标项目</w:t>
      </w:r>
      <w:r>
        <w:rPr>
          <w:rFonts w:hint="eastAsia" w:ascii="宋体" w:hAnsi="宋体"/>
          <w:highlight w:val="none"/>
          <w:u w:val="single"/>
        </w:rPr>
        <w:t>南宁轨道交通运营有限公司工会委员会2024年工会会员端午节慰问品采购项目</w:t>
      </w:r>
      <w:r>
        <w:rPr>
          <w:rFonts w:hint="eastAsia" w:ascii="宋体" w:hAnsi="宋体"/>
          <w:highlight w:val="none"/>
        </w:rPr>
        <w:t>“招标人”为</w:t>
      </w:r>
      <w:r>
        <w:rPr>
          <w:rFonts w:hint="eastAsia" w:ascii="宋体" w:hAnsi="宋体"/>
          <w:highlight w:val="none"/>
          <w:u w:val="single"/>
        </w:rPr>
        <w:t>南宁轨道交通运营有限公司工会委员会</w:t>
      </w:r>
      <w:r>
        <w:rPr>
          <w:rFonts w:hint="eastAsia" w:ascii="宋体" w:hAnsi="宋体"/>
          <w:highlight w:val="none"/>
        </w:rPr>
        <w:t>，招标项目资金来源企业自筹。该项目已具备招标条件，现对本项目进行公开招标。</w:t>
      </w:r>
    </w:p>
    <w:p>
      <w:pPr>
        <w:spacing w:before="0" w:after="0" w:afterAutospacing="0"/>
        <w:ind w:left="0" w:right="0" w:firstLine="422" w:firstLineChars="200"/>
        <w:rPr>
          <w:rFonts w:ascii="宋体" w:hAnsi="宋体"/>
          <w:b/>
          <w:highlight w:val="none"/>
        </w:rPr>
      </w:pPr>
      <w:r>
        <w:rPr>
          <w:rFonts w:hint="eastAsia" w:ascii="宋体" w:hAnsi="宋体"/>
          <w:b/>
          <w:highlight w:val="none"/>
        </w:rPr>
        <w:t>2.项目概况与招标范围</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项目编号：</w:t>
      </w:r>
      <w:r>
        <w:rPr>
          <w:rFonts w:hint="eastAsia" w:ascii="宋体" w:hAnsi="宋体"/>
          <w:highlight w:val="none"/>
          <w:u w:val="single"/>
        </w:rPr>
        <w:t xml:space="preserve"> </w:t>
      </w:r>
      <w:r>
        <w:rPr>
          <w:rFonts w:ascii="宋体" w:hAnsi="宋体" w:cs="宋体"/>
          <w:sz w:val="22"/>
          <w:szCs w:val="22"/>
          <w:highlight w:val="none"/>
          <w:u w:val="single"/>
        </w:rPr>
        <w:t>202404030001</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项目名称：</w:t>
      </w:r>
      <w:r>
        <w:rPr>
          <w:rFonts w:hint="eastAsia" w:ascii="宋体" w:hAnsi="宋体"/>
          <w:highlight w:val="none"/>
          <w:u w:val="single"/>
        </w:rPr>
        <w:t xml:space="preserve"> 南宁轨道交通运营有限公司工会委员会2024年工会会员端午节慰问品采购项目 </w:t>
      </w:r>
    </w:p>
    <w:p>
      <w:pPr>
        <w:spacing w:before="0" w:after="0" w:afterAutospacing="0"/>
        <w:ind w:left="0" w:right="0" w:firstLine="420" w:firstLineChars="200"/>
        <w:rPr>
          <w:rFonts w:ascii="宋体" w:hAnsi="宋体"/>
          <w:highlight w:val="none"/>
        </w:rPr>
      </w:pPr>
      <w:r>
        <w:rPr>
          <w:rFonts w:hint="eastAsia" w:ascii="宋体" w:hAnsi="宋体"/>
          <w:highlight w:val="none"/>
        </w:rPr>
        <w:t>招标含税上限控制价：本项目</w:t>
      </w:r>
      <w:r>
        <w:rPr>
          <w:rFonts w:hint="eastAsia" w:ascii="宋体" w:hAnsi="宋体"/>
          <w:b/>
          <w:bCs/>
          <w:highlight w:val="none"/>
          <w:u w:val="single"/>
        </w:rPr>
        <w:t>招标含税上限控制价</w:t>
      </w:r>
      <w:r>
        <w:rPr>
          <w:rFonts w:hint="eastAsia" w:ascii="宋体" w:hAnsi="宋体"/>
          <w:highlight w:val="none"/>
        </w:rPr>
        <w:t>为人民币</w:t>
      </w:r>
      <w:r>
        <w:rPr>
          <w:rFonts w:hint="eastAsia" w:ascii="宋体" w:hAnsi="宋体"/>
          <w:highlight w:val="none"/>
          <w:u w:val="single"/>
        </w:rPr>
        <w:t xml:space="preserve"> </w:t>
      </w:r>
      <w:r>
        <w:rPr>
          <w:rFonts w:hint="eastAsia" w:ascii="宋体" w:hAnsi="宋体"/>
          <w:b/>
          <w:highlight w:val="none"/>
          <w:u w:val="single"/>
        </w:rPr>
        <w:t>贰佰万元整（￥200</w:t>
      </w:r>
      <w:r>
        <w:rPr>
          <w:rFonts w:ascii="宋体" w:hAnsi="宋体"/>
          <w:b/>
          <w:highlight w:val="none"/>
          <w:u w:val="single"/>
        </w:rPr>
        <w:t>0000.00</w:t>
      </w:r>
      <w:r>
        <w:rPr>
          <w:rFonts w:hint="eastAsia" w:ascii="宋体" w:hAnsi="宋体"/>
          <w:b/>
          <w:highlight w:val="none"/>
          <w:u w:val="single"/>
        </w:rPr>
        <w:t>）</w:t>
      </w:r>
      <w:r>
        <w:rPr>
          <w:rFonts w:hint="eastAsia" w:ascii="宋体" w:hAnsi="宋体"/>
          <w:highlight w:val="none"/>
          <w:u w:val="single"/>
        </w:rPr>
        <w:t xml:space="preserve"> </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合同交货期：</w:t>
      </w:r>
      <w:r>
        <w:rPr>
          <w:rFonts w:hint="eastAsia"/>
          <w:highlight w:val="none"/>
          <w:u w:val="single"/>
        </w:rPr>
        <w:t>5个工作日（中标通知书发出后按交货通知书交货，以交货通知发出起算）</w:t>
      </w:r>
      <w:r>
        <w:rPr>
          <w:rFonts w:hint="eastAsia" w:ascii="宋体" w:hAnsi="宋体"/>
          <w:highlight w:val="none"/>
        </w:rPr>
        <w:t>。具体详见用户需求书。</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交货地点：广西壮族自治区南宁市内指定地点。具体地址:（1）南宁轨道交通大厦A1座：南宁市青秀区云景路69号；（2）屯里车辆段：南宁市青秀区云景路83号南宁轨道交通运营有限公司；（3）安吉车辆段：南宁市西乡塘区G7201(安吉大桥)；（4）心圩车辆段：南宁市西乡塘区新际路与振华路交叉口北140米；（5）五象车辆段：南宁市良庆区梁村大道辅路-南宁轨道交通4号线五象车辆段（具体位置可参考导航定位）；（6）那洪车辆段：南宁市江南区G7201（那洪大桥）具体位置可参考导航定位；（7）西乡塘停车场：南宁市西乡塘区石埠南互通东150米（具体位置可参考导航定位）；（8）新村停车场：南宁市良庆区良玉大道合景天汇广场西南侧约60米（具体位置可参考导航定位）。</w:t>
      </w:r>
    </w:p>
    <w:p>
      <w:pPr>
        <w:spacing w:before="0" w:after="0" w:afterAutospacing="0"/>
        <w:ind w:left="0" w:right="0" w:firstLine="420" w:firstLineChars="200"/>
        <w:rPr>
          <w:rFonts w:ascii="宋体" w:hAnsi="宋体"/>
          <w:highlight w:val="none"/>
        </w:rPr>
      </w:pPr>
      <w:r>
        <w:rPr>
          <w:rFonts w:hint="eastAsia" w:ascii="宋体" w:hAnsi="宋体"/>
          <w:highlight w:val="none"/>
        </w:rPr>
        <w:t>招标范围：</w:t>
      </w:r>
      <w:r>
        <w:rPr>
          <w:rFonts w:hint="eastAsia"/>
          <w:highlight w:val="none"/>
          <w:u w:val="single"/>
        </w:rPr>
        <w:t>包含</w:t>
      </w:r>
      <w:r>
        <w:rPr>
          <w:rFonts w:hint="eastAsia" w:ascii="宋体" w:hAnsi="宋体"/>
          <w:highlight w:val="none"/>
          <w:u w:val="single"/>
        </w:rPr>
        <w:t>南宁轨道交通运营有限公司工会委员会2024年工会会员端午节慰问品采购</w:t>
      </w:r>
      <w:r>
        <w:rPr>
          <w:rFonts w:hint="eastAsia" w:ascii="宋体" w:hAnsi="宋体"/>
          <w:highlight w:val="none"/>
        </w:rPr>
        <w:t>,具体详见用户需求书，采购清单详见下表。</w:t>
      </w:r>
    </w:p>
    <w:tbl>
      <w:tblPr>
        <w:tblStyle w:val="27"/>
        <w:tblW w:w="9574" w:type="dxa"/>
        <w:jc w:val="center"/>
        <w:tblLayout w:type="fixed"/>
        <w:tblCellMar>
          <w:top w:w="0" w:type="dxa"/>
          <w:left w:w="108" w:type="dxa"/>
          <w:bottom w:w="0" w:type="dxa"/>
          <w:right w:w="108" w:type="dxa"/>
        </w:tblCellMar>
      </w:tblPr>
      <w:tblGrid>
        <w:gridCol w:w="679"/>
        <w:gridCol w:w="1826"/>
        <w:gridCol w:w="1245"/>
        <w:gridCol w:w="3225"/>
        <w:gridCol w:w="1455"/>
        <w:gridCol w:w="1144"/>
      </w:tblGrid>
      <w:tr>
        <w:tblPrEx>
          <w:tblCellMar>
            <w:top w:w="0" w:type="dxa"/>
            <w:left w:w="108" w:type="dxa"/>
            <w:bottom w:w="0" w:type="dxa"/>
            <w:right w:w="108" w:type="dxa"/>
          </w:tblCellMar>
        </w:tblPrEx>
        <w:trPr>
          <w:trHeight w:val="60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b/>
                <w:bCs/>
                <w:color w:val="000000"/>
                <w:sz w:val="22"/>
                <w:szCs w:val="22"/>
                <w:highlight w:val="none"/>
              </w:rPr>
            </w:pPr>
            <w:r>
              <w:rPr>
                <w:rFonts w:hint="eastAsia" w:ascii="仿宋" w:hAnsi="仿宋" w:eastAsia="仿宋" w:cs="仿宋"/>
                <w:b/>
                <w:bCs/>
                <w:color w:val="000000"/>
                <w:sz w:val="22"/>
                <w:szCs w:val="22"/>
                <w:highlight w:val="none"/>
                <w:lang w:bidi="ar"/>
              </w:rPr>
              <w:t>序</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b/>
                <w:bCs/>
                <w:color w:val="000000"/>
                <w:sz w:val="22"/>
                <w:szCs w:val="22"/>
                <w:highlight w:val="none"/>
              </w:rPr>
            </w:pPr>
            <w:r>
              <w:rPr>
                <w:rFonts w:hint="eastAsia" w:ascii="仿宋" w:hAnsi="仿宋" w:eastAsia="仿宋" w:cs="仿宋"/>
                <w:b/>
                <w:bCs/>
                <w:color w:val="000000"/>
                <w:sz w:val="22"/>
                <w:szCs w:val="22"/>
                <w:highlight w:val="none"/>
                <w:lang w:bidi="ar"/>
              </w:rPr>
              <w:t>种类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b/>
                <w:bCs/>
                <w:color w:val="000000"/>
                <w:sz w:val="22"/>
                <w:szCs w:val="22"/>
                <w:highlight w:val="none"/>
              </w:rPr>
            </w:pPr>
            <w:r>
              <w:rPr>
                <w:rFonts w:hint="eastAsia" w:ascii="仿宋" w:hAnsi="仿宋" w:eastAsia="仿宋" w:cs="仿宋"/>
                <w:b/>
                <w:bCs/>
                <w:color w:val="000000"/>
                <w:sz w:val="22"/>
                <w:szCs w:val="22"/>
                <w:highlight w:val="none"/>
                <w:lang w:bidi="ar"/>
              </w:rPr>
              <w:t>品牌</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b/>
                <w:bCs/>
                <w:color w:val="000000"/>
                <w:sz w:val="22"/>
                <w:szCs w:val="22"/>
                <w:highlight w:val="none"/>
              </w:rPr>
            </w:pPr>
            <w:r>
              <w:rPr>
                <w:rFonts w:hint="eastAsia" w:ascii="仿宋" w:hAnsi="仿宋" w:eastAsia="仿宋" w:cs="仿宋"/>
                <w:b/>
                <w:bCs/>
                <w:color w:val="000000"/>
                <w:sz w:val="22"/>
                <w:szCs w:val="22"/>
                <w:highlight w:val="none"/>
                <w:lang w:bidi="ar"/>
              </w:rPr>
              <w:t>规格参数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b/>
                <w:bCs/>
                <w:color w:val="000000"/>
                <w:sz w:val="22"/>
                <w:szCs w:val="22"/>
                <w:highlight w:val="none"/>
              </w:rPr>
            </w:pPr>
            <w:r>
              <w:rPr>
                <w:rFonts w:hint="eastAsia" w:ascii="仿宋" w:hAnsi="仿宋" w:eastAsia="仿宋" w:cs="仿宋"/>
                <w:b/>
                <w:bCs/>
                <w:color w:val="000000"/>
                <w:sz w:val="22"/>
                <w:szCs w:val="22"/>
                <w:highlight w:val="none"/>
                <w:lang w:bidi="ar"/>
              </w:rPr>
              <w:t>总需求量</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b/>
                <w:bCs/>
                <w:color w:val="000000"/>
                <w:sz w:val="22"/>
                <w:szCs w:val="22"/>
                <w:highlight w:val="none"/>
              </w:rPr>
            </w:pPr>
            <w:r>
              <w:rPr>
                <w:rFonts w:hint="eastAsia" w:ascii="仿宋" w:hAnsi="仿宋" w:eastAsia="仿宋" w:cs="仿宋"/>
                <w:b/>
                <w:bCs/>
                <w:color w:val="000000"/>
                <w:sz w:val="22"/>
                <w:szCs w:val="22"/>
                <w:highlight w:val="none"/>
                <w:lang w:bidi="ar"/>
              </w:rPr>
              <w:t>备注</w:t>
            </w:r>
          </w:p>
        </w:tc>
      </w:tr>
      <w:tr>
        <w:tblPrEx>
          <w:tblCellMar>
            <w:top w:w="0" w:type="dxa"/>
            <w:left w:w="108" w:type="dxa"/>
            <w:bottom w:w="0" w:type="dxa"/>
            <w:right w:w="108" w:type="dxa"/>
          </w:tblCellMar>
        </w:tblPrEx>
        <w:trPr>
          <w:trHeight w:val="880" w:hRule="atLeast"/>
          <w:jc w:val="center"/>
        </w:trPr>
        <w:tc>
          <w:tcPr>
            <w:tcW w:w="67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1</w:t>
            </w:r>
          </w:p>
        </w:tc>
        <w:tc>
          <w:tcPr>
            <w:tcW w:w="1826"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油</w:t>
            </w:r>
          </w:p>
          <w:p>
            <w:pPr>
              <w:spacing w:line="240" w:lineRule="auto"/>
              <w:ind w:right="-28"/>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（供应商可选任</w:t>
            </w:r>
          </w:p>
          <w:p>
            <w:pPr>
              <w:spacing w:line="240" w:lineRule="auto"/>
              <w:ind w:right="-28"/>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意一款竞标）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胡姬花</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胡姬花古法土榨风味花生油</w:t>
            </w:r>
          </w:p>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5.436L/桶</w:t>
            </w:r>
          </w:p>
        </w:tc>
        <w:tc>
          <w:tcPr>
            <w:tcW w:w="14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7200</w:t>
            </w:r>
          </w:p>
        </w:tc>
        <w:tc>
          <w:tcPr>
            <w:tcW w:w="114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ascii="仿宋" w:hAnsi="仿宋" w:eastAsia="仿宋" w:cs="仿宋"/>
                <w:b/>
                <w:bCs/>
                <w:color w:val="000000"/>
                <w:sz w:val="22"/>
                <w:szCs w:val="22"/>
                <w:highlight w:val="none"/>
              </w:rPr>
            </w:pPr>
          </w:p>
        </w:tc>
      </w:tr>
      <w:tr>
        <w:tblPrEx>
          <w:tblCellMar>
            <w:top w:w="0" w:type="dxa"/>
            <w:left w:w="108" w:type="dxa"/>
            <w:bottom w:w="0" w:type="dxa"/>
            <w:right w:w="108" w:type="dxa"/>
          </w:tblCellMar>
        </w:tblPrEx>
        <w:trPr>
          <w:trHeight w:val="880" w:hRule="atLeast"/>
          <w:jc w:val="center"/>
        </w:trPr>
        <w:tc>
          <w:tcPr>
            <w:tcW w:w="67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2</w:t>
            </w:r>
          </w:p>
        </w:tc>
        <w:tc>
          <w:tcPr>
            <w:tcW w:w="1826" w:type="dxa"/>
            <w:vMerge w:val="continue"/>
            <w:tcBorders>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鲁花</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5S一级压榨花生油5L/桶</w:t>
            </w:r>
          </w:p>
        </w:tc>
        <w:tc>
          <w:tcPr>
            <w:tcW w:w="14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7200</w:t>
            </w:r>
          </w:p>
        </w:tc>
        <w:tc>
          <w:tcPr>
            <w:tcW w:w="114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ascii="仿宋" w:hAnsi="仿宋" w:eastAsia="仿宋" w:cs="仿宋"/>
                <w:b/>
                <w:bCs/>
                <w:color w:val="000000"/>
                <w:sz w:val="22"/>
                <w:szCs w:val="22"/>
                <w:highlight w:val="none"/>
              </w:rPr>
            </w:pPr>
          </w:p>
        </w:tc>
      </w:tr>
      <w:tr>
        <w:tblPrEx>
          <w:tblCellMar>
            <w:top w:w="0" w:type="dxa"/>
            <w:left w:w="108" w:type="dxa"/>
            <w:bottom w:w="0" w:type="dxa"/>
            <w:right w:w="108" w:type="dxa"/>
          </w:tblCellMar>
        </w:tblPrEx>
        <w:trPr>
          <w:trHeight w:val="600" w:hRule="atLeast"/>
          <w:jc w:val="center"/>
        </w:trPr>
        <w:tc>
          <w:tcPr>
            <w:tcW w:w="67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3</w:t>
            </w:r>
          </w:p>
        </w:tc>
        <w:tc>
          <w:tcPr>
            <w:tcW w:w="1826"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rPr>
              <w:t>米</w:t>
            </w:r>
          </w:p>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（供应商可选任</w:t>
            </w:r>
          </w:p>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意一款竞标）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中香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上林金丝苗米5kg/袋</w:t>
            </w:r>
          </w:p>
        </w:tc>
        <w:tc>
          <w:tcPr>
            <w:tcW w:w="14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14400</w:t>
            </w:r>
          </w:p>
        </w:tc>
        <w:tc>
          <w:tcPr>
            <w:tcW w:w="114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ascii="仿宋" w:hAnsi="仿宋" w:eastAsia="仿宋" w:cs="仿宋"/>
                <w:b/>
                <w:bCs/>
                <w:color w:val="000000"/>
                <w:sz w:val="22"/>
                <w:szCs w:val="22"/>
                <w:highlight w:val="none"/>
              </w:rPr>
            </w:pPr>
          </w:p>
        </w:tc>
      </w:tr>
      <w:tr>
        <w:tblPrEx>
          <w:tblCellMar>
            <w:top w:w="0" w:type="dxa"/>
            <w:left w:w="108" w:type="dxa"/>
            <w:bottom w:w="0" w:type="dxa"/>
            <w:right w:w="108" w:type="dxa"/>
          </w:tblCellMar>
        </w:tblPrEx>
        <w:trPr>
          <w:trHeight w:val="600" w:hRule="atLeast"/>
          <w:jc w:val="center"/>
        </w:trPr>
        <w:tc>
          <w:tcPr>
            <w:tcW w:w="67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4</w:t>
            </w:r>
          </w:p>
        </w:tc>
        <w:tc>
          <w:tcPr>
            <w:tcW w:w="1826" w:type="dxa"/>
            <w:vMerge w:val="continue"/>
            <w:tcBorders>
              <w:left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力拓</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正稻上林丝苗米</w:t>
            </w:r>
          </w:p>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5kg/袋</w:t>
            </w:r>
          </w:p>
        </w:tc>
        <w:tc>
          <w:tcPr>
            <w:tcW w:w="14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14400</w:t>
            </w:r>
          </w:p>
        </w:tc>
        <w:tc>
          <w:tcPr>
            <w:tcW w:w="114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ascii="仿宋" w:hAnsi="仿宋" w:eastAsia="仿宋" w:cs="仿宋"/>
                <w:b/>
                <w:bCs/>
                <w:color w:val="000000"/>
                <w:sz w:val="22"/>
                <w:szCs w:val="22"/>
                <w:highlight w:val="none"/>
              </w:rPr>
            </w:pPr>
          </w:p>
        </w:tc>
      </w:tr>
      <w:tr>
        <w:tblPrEx>
          <w:tblCellMar>
            <w:top w:w="0" w:type="dxa"/>
            <w:left w:w="108" w:type="dxa"/>
            <w:bottom w:w="0" w:type="dxa"/>
            <w:right w:w="108" w:type="dxa"/>
          </w:tblCellMar>
        </w:tblPrEx>
        <w:trPr>
          <w:trHeight w:val="90" w:hRule="atLeast"/>
          <w:jc w:val="center"/>
        </w:trPr>
        <w:tc>
          <w:tcPr>
            <w:tcW w:w="67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5</w:t>
            </w:r>
          </w:p>
        </w:tc>
        <w:tc>
          <w:tcPr>
            <w:tcW w:w="1826"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ascii="仿宋" w:hAnsi="仿宋" w:eastAsia="仿宋" w:cs="仿宋"/>
                <w:color w:val="000000"/>
                <w:sz w:val="22"/>
                <w:szCs w:val="22"/>
                <w:highlight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赢芙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上林九七香米5kg/袋</w:t>
            </w:r>
          </w:p>
        </w:tc>
        <w:tc>
          <w:tcPr>
            <w:tcW w:w="14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14400</w:t>
            </w:r>
          </w:p>
        </w:tc>
        <w:tc>
          <w:tcPr>
            <w:tcW w:w="114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ascii="仿宋" w:hAnsi="仿宋" w:eastAsia="仿宋" w:cs="仿宋"/>
                <w:b/>
                <w:bCs/>
                <w:color w:val="000000"/>
                <w:sz w:val="22"/>
                <w:szCs w:val="22"/>
                <w:highlight w:val="none"/>
              </w:rPr>
            </w:pPr>
          </w:p>
        </w:tc>
      </w:tr>
      <w:tr>
        <w:tblPrEx>
          <w:tblCellMar>
            <w:top w:w="0" w:type="dxa"/>
            <w:left w:w="108" w:type="dxa"/>
            <w:bottom w:w="0" w:type="dxa"/>
            <w:right w:w="108" w:type="dxa"/>
          </w:tblCellMar>
        </w:tblPrEx>
        <w:trPr>
          <w:trHeight w:val="600" w:hRule="atLeast"/>
          <w:jc w:val="center"/>
        </w:trPr>
        <w:tc>
          <w:tcPr>
            <w:tcW w:w="67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6</w:t>
            </w:r>
          </w:p>
        </w:tc>
        <w:tc>
          <w:tcPr>
            <w:tcW w:w="1826"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ascii="仿宋" w:hAnsi="仿宋" w:eastAsia="仿宋" w:cs="仿宋"/>
                <w:color w:val="000000"/>
                <w:sz w:val="22"/>
                <w:szCs w:val="22"/>
                <w:highlight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金龙鱼</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香粘稻5kg/袋</w:t>
            </w:r>
          </w:p>
        </w:tc>
        <w:tc>
          <w:tcPr>
            <w:tcW w:w="14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14400</w:t>
            </w:r>
          </w:p>
        </w:tc>
        <w:tc>
          <w:tcPr>
            <w:tcW w:w="114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ascii="仿宋" w:hAnsi="仿宋" w:eastAsia="仿宋" w:cs="仿宋"/>
                <w:b/>
                <w:bCs/>
                <w:color w:val="000000"/>
                <w:sz w:val="22"/>
                <w:szCs w:val="22"/>
                <w:highlight w:val="none"/>
              </w:rPr>
            </w:pPr>
          </w:p>
        </w:tc>
      </w:tr>
      <w:tr>
        <w:tblPrEx>
          <w:tblCellMar>
            <w:top w:w="0" w:type="dxa"/>
            <w:left w:w="108" w:type="dxa"/>
            <w:bottom w:w="0" w:type="dxa"/>
            <w:right w:w="108" w:type="dxa"/>
          </w:tblCellMar>
        </w:tblPrEx>
        <w:trPr>
          <w:trHeight w:val="800" w:hRule="atLeast"/>
          <w:jc w:val="center"/>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8</w:t>
            </w:r>
          </w:p>
        </w:tc>
        <w:tc>
          <w:tcPr>
            <w:tcW w:w="18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牛奶</w:t>
            </w:r>
          </w:p>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（供应商可选任</w:t>
            </w:r>
          </w:p>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意一款竞标）</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伊利</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金典纯牛奶</w:t>
            </w:r>
          </w:p>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250ml*12盒/箱</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7200</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仿宋" w:hAnsi="仿宋" w:eastAsia="仿宋" w:cs="仿宋"/>
                <w:b/>
                <w:bCs/>
                <w:color w:val="000000"/>
                <w:sz w:val="22"/>
                <w:szCs w:val="22"/>
                <w:highlight w:val="none"/>
              </w:rPr>
            </w:pPr>
          </w:p>
        </w:tc>
      </w:tr>
      <w:tr>
        <w:tblPrEx>
          <w:tblCellMar>
            <w:top w:w="0" w:type="dxa"/>
            <w:left w:w="108" w:type="dxa"/>
            <w:bottom w:w="0" w:type="dxa"/>
            <w:right w:w="108" w:type="dxa"/>
          </w:tblCellMar>
        </w:tblPrEx>
        <w:trPr>
          <w:trHeight w:val="820" w:hRule="atLeast"/>
          <w:jc w:val="center"/>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9</w:t>
            </w:r>
          </w:p>
        </w:tc>
        <w:tc>
          <w:tcPr>
            <w:tcW w:w="1826" w:type="dxa"/>
            <w:vMerge w:val="continue"/>
            <w:tcBorders>
              <w:top w:val="single" w:color="auto" w:sz="4" w:space="0"/>
              <w:left w:val="single" w:color="auto" w:sz="4" w:space="0"/>
              <w:bottom w:val="nil"/>
              <w:right w:val="single" w:color="000000" w:sz="4" w:space="0"/>
            </w:tcBorders>
            <w:shd w:val="clear" w:color="auto" w:fill="auto"/>
            <w:vAlign w:val="center"/>
          </w:tcPr>
          <w:p>
            <w:pPr>
              <w:spacing w:line="240" w:lineRule="auto"/>
              <w:jc w:val="center"/>
              <w:rPr>
                <w:rFonts w:ascii="仿宋" w:hAnsi="仿宋" w:eastAsia="仿宋" w:cs="仿宋"/>
                <w:color w:val="000000"/>
                <w:sz w:val="22"/>
                <w:szCs w:val="22"/>
                <w:highlight w:val="none"/>
              </w:rPr>
            </w:pPr>
          </w:p>
        </w:tc>
        <w:tc>
          <w:tcPr>
            <w:tcW w:w="124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蒙牛</w:t>
            </w:r>
          </w:p>
        </w:tc>
        <w:tc>
          <w:tcPr>
            <w:tcW w:w="322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sz w:val="22"/>
                <w:szCs w:val="22"/>
                <w:highlight w:val="none"/>
                <w:lang w:bidi="ar"/>
              </w:rPr>
              <w:t>特仑苏纯牛奶250ml*12盒/箱</w:t>
            </w:r>
          </w:p>
        </w:tc>
        <w:tc>
          <w:tcPr>
            <w:tcW w:w="1455" w:type="dxa"/>
            <w:tcBorders>
              <w:top w:val="single" w:color="auto"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7200</w:t>
            </w:r>
          </w:p>
        </w:tc>
        <w:tc>
          <w:tcPr>
            <w:tcW w:w="1144"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eastAsia="仿宋" w:cs="仿宋"/>
                <w:b/>
                <w:bCs/>
                <w:color w:val="000000"/>
                <w:sz w:val="22"/>
                <w:szCs w:val="22"/>
                <w:highlight w:val="none"/>
              </w:rPr>
            </w:pPr>
          </w:p>
        </w:tc>
      </w:tr>
      <w:tr>
        <w:tblPrEx>
          <w:tblCellMar>
            <w:top w:w="0" w:type="dxa"/>
            <w:left w:w="108" w:type="dxa"/>
            <w:bottom w:w="0" w:type="dxa"/>
            <w:right w:w="108" w:type="dxa"/>
          </w:tblCellMar>
        </w:tblPrEx>
        <w:trPr>
          <w:trHeight w:val="840" w:hRule="atLeast"/>
          <w:jc w:val="center"/>
        </w:trPr>
        <w:tc>
          <w:tcPr>
            <w:tcW w:w="679" w:type="dxa"/>
            <w:tcBorders>
              <w:top w:val="single" w:color="auto"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10</w:t>
            </w:r>
          </w:p>
        </w:tc>
        <w:tc>
          <w:tcPr>
            <w:tcW w:w="1826"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kern w:val="2"/>
                <w:sz w:val="22"/>
                <w:szCs w:val="22"/>
                <w:highlight w:val="none"/>
              </w:rPr>
              <w:t>粽子</w:t>
            </w:r>
          </w:p>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kern w:val="2"/>
                <w:sz w:val="22"/>
                <w:szCs w:val="22"/>
                <w:highlight w:val="none"/>
              </w:rPr>
              <w:t>（供应商可选任</w:t>
            </w:r>
          </w:p>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kern w:val="2"/>
                <w:sz w:val="22"/>
                <w:szCs w:val="22"/>
                <w:highlight w:val="none"/>
              </w:rPr>
              <w:t>意一款竞标）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kern w:val="2"/>
                <w:sz w:val="22"/>
                <w:szCs w:val="22"/>
                <w:highlight w:val="none"/>
              </w:rPr>
              <w:t>三全</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kern w:val="2"/>
                <w:sz w:val="22"/>
                <w:szCs w:val="22"/>
                <w:highlight w:val="none"/>
              </w:rPr>
              <w:t>鸿运吉祥礼粽1200g/盒(猪肉粽</w:t>
            </w:r>
          </w:p>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kern w:val="2"/>
                <w:sz w:val="22"/>
                <w:szCs w:val="22"/>
                <w:highlight w:val="none"/>
              </w:rPr>
              <w:t>200g*2、蛋黄猪肉粽200g*1、双</w:t>
            </w:r>
          </w:p>
          <w:p>
            <w:pPr>
              <w:spacing w:line="240" w:lineRule="auto"/>
              <w:jc w:val="center"/>
              <w:textAlignment w:val="center"/>
              <w:rPr>
                <w:highlight w:val="none"/>
              </w:rPr>
            </w:pPr>
            <w:r>
              <w:rPr>
                <w:rFonts w:hint="eastAsia" w:ascii="仿宋" w:hAnsi="仿宋" w:eastAsia="仿宋" w:cs="仿宋"/>
                <w:color w:val="000000"/>
                <w:kern w:val="2"/>
                <w:sz w:val="22"/>
                <w:szCs w:val="22"/>
                <w:highlight w:val="none"/>
              </w:rPr>
              <w:t>豆沙粽200g*2、八宝粽200g*1)</w:t>
            </w:r>
          </w:p>
        </w:tc>
        <w:tc>
          <w:tcPr>
            <w:tcW w:w="14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lang w:bidi="ar"/>
              </w:rPr>
              <w:t>7200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eastAsia="仿宋" w:cs="仿宋"/>
                <w:b/>
                <w:bCs/>
                <w:color w:val="000000"/>
                <w:sz w:val="22"/>
                <w:szCs w:val="22"/>
                <w:highlight w:val="none"/>
              </w:rPr>
            </w:pPr>
          </w:p>
        </w:tc>
      </w:tr>
      <w:tr>
        <w:tblPrEx>
          <w:tblCellMar>
            <w:top w:w="0" w:type="dxa"/>
            <w:left w:w="108" w:type="dxa"/>
            <w:bottom w:w="0" w:type="dxa"/>
            <w:right w:w="108" w:type="dxa"/>
          </w:tblCellMar>
        </w:tblPrEx>
        <w:trPr>
          <w:trHeight w:val="60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11</w:t>
            </w:r>
          </w:p>
        </w:tc>
        <w:tc>
          <w:tcPr>
            <w:tcW w:w="1826"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kern w:val="2"/>
                <w:sz w:val="22"/>
                <w:szCs w:val="22"/>
                <w:highlight w:val="none"/>
              </w:rPr>
              <w:t>五芳斋</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kern w:val="2"/>
                <w:sz w:val="22"/>
                <w:szCs w:val="22"/>
                <w:highlight w:val="none"/>
              </w:rPr>
              <w:t>珍情五芳1.12kg/盒（五芳猪肉</w:t>
            </w:r>
          </w:p>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kern w:val="2"/>
                <w:sz w:val="22"/>
                <w:szCs w:val="22"/>
                <w:highlight w:val="none"/>
              </w:rPr>
              <w:t>粽140g*4、润香豆沙粽140g*2、</w:t>
            </w:r>
          </w:p>
          <w:p>
            <w:pPr>
              <w:spacing w:line="240" w:lineRule="auto"/>
              <w:jc w:val="center"/>
              <w:textAlignment w:val="center"/>
              <w:rPr>
                <w:rFonts w:ascii="仿宋" w:hAnsi="仿宋" w:eastAsia="仿宋" w:cs="仿宋"/>
                <w:color w:val="000000"/>
                <w:kern w:val="2"/>
                <w:sz w:val="22"/>
                <w:szCs w:val="22"/>
                <w:highlight w:val="none"/>
              </w:rPr>
            </w:pPr>
            <w:r>
              <w:rPr>
                <w:rFonts w:hint="eastAsia" w:ascii="仿宋" w:hAnsi="仿宋" w:eastAsia="仿宋" w:cs="仿宋"/>
                <w:color w:val="000000"/>
                <w:kern w:val="2"/>
                <w:sz w:val="22"/>
                <w:szCs w:val="22"/>
                <w:highlight w:val="none"/>
              </w:rPr>
              <w:t>甜味赤豆粽140g*2）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仿宋" w:hAnsi="仿宋" w:eastAsia="仿宋" w:cs="仿宋"/>
                <w:color w:val="000000"/>
                <w:sz w:val="22"/>
                <w:szCs w:val="22"/>
                <w:highlight w:val="none"/>
                <w:lang w:bidi="ar"/>
              </w:rPr>
            </w:pPr>
            <w:r>
              <w:rPr>
                <w:rFonts w:hint="eastAsia" w:ascii="仿宋" w:hAnsi="仿宋" w:eastAsia="仿宋" w:cs="仿宋"/>
                <w:color w:val="000000"/>
                <w:sz w:val="22"/>
                <w:szCs w:val="22"/>
                <w:highlight w:val="none"/>
                <w:lang w:bidi="ar"/>
              </w:rPr>
              <w:t>7200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eastAsia="仿宋" w:cs="仿宋"/>
                <w:b/>
                <w:bCs/>
                <w:color w:val="000000"/>
                <w:sz w:val="22"/>
                <w:szCs w:val="22"/>
                <w:highlight w:val="none"/>
              </w:rPr>
            </w:pPr>
          </w:p>
        </w:tc>
      </w:tr>
      <w:tr>
        <w:tblPrEx>
          <w:tblCellMar>
            <w:top w:w="0" w:type="dxa"/>
            <w:left w:w="108" w:type="dxa"/>
            <w:bottom w:w="0" w:type="dxa"/>
            <w:right w:w="108" w:type="dxa"/>
          </w:tblCellMar>
        </w:tblPrEx>
        <w:trPr>
          <w:trHeight w:val="1449" w:hRule="atLeast"/>
          <w:jc w:val="center"/>
        </w:trPr>
        <w:tc>
          <w:tcPr>
            <w:tcW w:w="957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ascii="仿宋" w:hAnsi="仿宋" w:eastAsia="仿宋" w:cs="仿宋"/>
                <w:sz w:val="20"/>
                <w:szCs w:val="20"/>
                <w:highlight w:val="none"/>
              </w:rPr>
            </w:pPr>
            <w:r>
              <w:rPr>
                <w:rFonts w:hint="eastAsia" w:ascii="仿宋" w:hAnsi="仿宋" w:eastAsia="仿宋" w:cs="仿宋"/>
                <w:sz w:val="20"/>
                <w:szCs w:val="20"/>
                <w:highlight w:val="none"/>
              </w:rPr>
              <w:t>注:</w:t>
            </w:r>
          </w:p>
          <w:p>
            <w:pPr>
              <w:spacing w:line="240" w:lineRule="auto"/>
              <w:jc w:val="left"/>
              <w:rPr>
                <w:rFonts w:ascii="仿宋" w:hAnsi="仿宋" w:eastAsia="仿宋" w:cs="仿宋"/>
                <w:sz w:val="20"/>
                <w:szCs w:val="20"/>
                <w:highlight w:val="none"/>
              </w:rPr>
            </w:pPr>
            <w:r>
              <w:rPr>
                <w:rFonts w:hint="eastAsia" w:ascii="仿宋" w:hAnsi="仿宋" w:eastAsia="仿宋" w:cs="仿宋"/>
                <w:sz w:val="20"/>
                <w:szCs w:val="20"/>
                <w:highlight w:val="none"/>
              </w:rPr>
              <w:t>1、以上四类商品投标人每个种类只能选一个品牌或厂家竞标，投标货品必须是清单所列对应的品牌、规格</w:t>
            </w:r>
          </w:p>
          <w:p>
            <w:pPr>
              <w:numPr>
                <w:ilvl w:val="255"/>
                <w:numId w:val="0"/>
              </w:numPr>
              <w:spacing w:line="240" w:lineRule="auto"/>
              <w:jc w:val="left"/>
              <w:rPr>
                <w:rFonts w:ascii="仿宋" w:hAnsi="仿宋" w:eastAsia="仿宋" w:cs="仿宋"/>
                <w:sz w:val="20"/>
                <w:szCs w:val="20"/>
                <w:highlight w:val="none"/>
              </w:rPr>
            </w:pPr>
            <w:r>
              <w:rPr>
                <w:rFonts w:hint="eastAsia" w:ascii="仿宋" w:hAnsi="仿宋" w:eastAsia="仿宋" w:cs="仿宋"/>
                <w:sz w:val="20"/>
                <w:szCs w:val="20"/>
                <w:highlight w:val="none"/>
              </w:rPr>
              <w:t>参数，清单指定外的货品投标无效。如投标人投标的货物为招标人《用户需求书》外的货物及品牌或厂家的</w:t>
            </w:r>
          </w:p>
          <w:p>
            <w:pPr>
              <w:numPr>
                <w:ilvl w:val="255"/>
                <w:numId w:val="0"/>
              </w:numPr>
              <w:spacing w:line="240" w:lineRule="auto"/>
              <w:jc w:val="left"/>
              <w:rPr>
                <w:rFonts w:ascii="仿宋" w:hAnsi="仿宋" w:eastAsia="仿宋" w:cs="仿宋"/>
                <w:sz w:val="20"/>
                <w:szCs w:val="20"/>
                <w:highlight w:val="none"/>
              </w:rPr>
            </w:pPr>
            <w:r>
              <w:rPr>
                <w:rFonts w:hint="eastAsia" w:ascii="仿宋" w:hAnsi="仿宋" w:eastAsia="仿宋" w:cs="仿宋"/>
                <w:sz w:val="20"/>
                <w:szCs w:val="20"/>
                <w:highlight w:val="none"/>
              </w:rPr>
              <w:t>，视为无效报价，并作为废标处理。</w:t>
            </w:r>
          </w:p>
          <w:p>
            <w:pPr>
              <w:numPr>
                <w:ilvl w:val="255"/>
                <w:numId w:val="0"/>
              </w:numPr>
              <w:spacing w:line="240" w:lineRule="auto"/>
              <w:jc w:val="left"/>
              <w:rPr>
                <w:rFonts w:ascii="仿宋" w:hAnsi="仿宋" w:eastAsia="仿宋" w:cs="仿宋"/>
                <w:b/>
                <w:bCs/>
                <w:color w:val="000000"/>
                <w:sz w:val="22"/>
                <w:szCs w:val="22"/>
                <w:highlight w:val="none"/>
              </w:rPr>
            </w:pPr>
            <w:r>
              <w:rPr>
                <w:rFonts w:hint="eastAsia" w:ascii="仿宋" w:hAnsi="仿宋" w:eastAsia="仿宋" w:cs="仿宋"/>
                <w:sz w:val="20"/>
                <w:szCs w:val="20"/>
                <w:highlight w:val="none"/>
              </w:rPr>
              <w:t>2、清单所列的数量为预计数量，据实结算，最终数量以结算数量为准。</w:t>
            </w:r>
            <w:r>
              <w:rPr>
                <w:rFonts w:hint="eastAsia" w:ascii="仿宋" w:hAnsi="仿宋" w:eastAsia="仿宋" w:cs="仿宋"/>
                <w:sz w:val="20"/>
                <w:szCs w:val="20"/>
                <w:highlight w:val="none"/>
              </w:rPr>
              <w:br w:type="textWrapping"/>
            </w:r>
          </w:p>
        </w:tc>
      </w:tr>
    </w:tbl>
    <w:p>
      <w:pPr>
        <w:spacing w:before="0" w:after="0" w:afterAutospacing="0"/>
        <w:ind w:left="0" w:right="0" w:firstLine="422" w:firstLineChars="200"/>
        <w:rPr>
          <w:rFonts w:ascii="宋体" w:hAnsi="宋体"/>
          <w:b/>
          <w:highlight w:val="none"/>
        </w:rPr>
      </w:pPr>
      <w:r>
        <w:rPr>
          <w:rFonts w:hint="eastAsia" w:ascii="宋体" w:hAnsi="宋体"/>
          <w:b/>
          <w:highlight w:val="none"/>
        </w:rPr>
        <w:t>质保期：以商品包装上的保质期为准,但不低于国家标准,且在商品开始供货的第一天起计算有效质保期,有效质保期不能少于原质保期的2/3.</w:t>
      </w:r>
    </w:p>
    <w:p>
      <w:pPr>
        <w:spacing w:before="0" w:after="0" w:afterAutospacing="0"/>
        <w:ind w:left="0" w:right="0" w:firstLine="420" w:firstLineChars="200"/>
        <w:rPr>
          <w:rFonts w:ascii="宋体" w:hAnsi="宋体"/>
          <w:highlight w:val="none"/>
        </w:rPr>
      </w:pPr>
      <w:r>
        <w:rPr>
          <w:rFonts w:hint="eastAsia" w:ascii="宋体" w:hAnsi="宋体"/>
          <w:highlight w:val="none"/>
        </w:rPr>
        <w:t>发票要求：</w:t>
      </w:r>
      <w:r>
        <w:rPr>
          <w:rFonts w:hint="eastAsia" w:ascii="宋体" w:hAnsi="宋体"/>
          <w:b/>
          <w:highlight w:val="none"/>
        </w:rPr>
        <w:t>增值税普通发票</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交易方式：账期交易。</w:t>
      </w:r>
    </w:p>
    <w:p>
      <w:pPr>
        <w:spacing w:before="0" w:after="0" w:afterAutospacing="0"/>
        <w:ind w:left="0" w:right="0" w:firstLine="420" w:firstLineChars="200"/>
        <w:rPr>
          <w:rFonts w:ascii="宋体" w:hAnsi="宋体"/>
          <w:highlight w:val="none"/>
        </w:rPr>
      </w:pPr>
      <w:r>
        <w:rPr>
          <w:rFonts w:hint="eastAsia" w:ascii="宋体" w:hAnsi="宋体"/>
          <w:highlight w:val="none"/>
        </w:rPr>
        <w:t>支付方式：线下支付。</w:t>
      </w:r>
    </w:p>
    <w:p>
      <w:pPr>
        <w:spacing w:before="0" w:after="0" w:afterAutospacing="0"/>
        <w:ind w:left="0" w:right="0" w:firstLine="420" w:firstLineChars="200"/>
        <w:rPr>
          <w:rFonts w:ascii="宋体" w:hAnsi="宋体"/>
          <w:highlight w:val="none"/>
        </w:rPr>
      </w:pPr>
      <w:r>
        <w:rPr>
          <w:rFonts w:hint="eastAsia" w:ascii="宋体" w:hAnsi="宋体"/>
          <w:highlight w:val="none"/>
        </w:rPr>
        <w:t>报价要求：报价必须包含税金、包装、运输、装卸、保险等所有费用。不允许只对部分货物报价。</w:t>
      </w:r>
    </w:p>
    <w:p>
      <w:pPr>
        <w:spacing w:before="0" w:after="0" w:afterAutospacing="0"/>
        <w:ind w:left="0" w:right="0" w:firstLine="420" w:firstLineChars="200"/>
        <w:rPr>
          <w:rFonts w:ascii="宋体" w:hAnsi="宋体"/>
          <w:highlight w:val="none"/>
        </w:rPr>
      </w:pPr>
      <w:r>
        <w:rPr>
          <w:rFonts w:hint="eastAsia" w:ascii="宋体" w:hAnsi="宋体"/>
          <w:highlight w:val="none"/>
        </w:rPr>
        <w:t>合同签订时间：在甲方发出中标通知书后3</w:t>
      </w:r>
      <w:r>
        <w:rPr>
          <w:rFonts w:ascii="宋体" w:hAnsi="宋体"/>
          <w:highlight w:val="none"/>
        </w:rPr>
        <w:t>0</w:t>
      </w:r>
      <w:r>
        <w:rPr>
          <w:rFonts w:hint="eastAsia" w:ascii="宋体" w:hAnsi="宋体"/>
          <w:highlight w:val="none"/>
        </w:rPr>
        <w:t>日内完成合同签订。</w:t>
      </w:r>
    </w:p>
    <w:p>
      <w:pPr>
        <w:spacing w:before="0" w:after="0" w:afterAutospacing="0"/>
        <w:ind w:left="0" w:right="0" w:firstLine="424" w:firstLineChars="202"/>
        <w:jc w:val="left"/>
        <w:rPr>
          <w:rFonts w:ascii="宋体" w:hAnsi="宋体"/>
          <w:highlight w:val="none"/>
        </w:rPr>
      </w:pPr>
      <w:r>
        <w:rPr>
          <w:rFonts w:hint="eastAsia" w:ascii="宋体" w:hAnsi="宋体"/>
          <w:highlight w:val="none"/>
        </w:rPr>
        <w:t>送货：实行乙方配送制，乙方收到甲方交货通知后，需及时备货，并确保货品质量，并按照甲</w:t>
      </w:r>
    </w:p>
    <w:p>
      <w:pPr>
        <w:spacing w:before="0" w:after="0" w:afterAutospacing="0"/>
        <w:ind w:left="0" w:right="0" w:firstLine="0"/>
        <w:jc w:val="left"/>
        <w:rPr>
          <w:rFonts w:ascii="宋体" w:hAnsi="宋体"/>
          <w:highlight w:val="none"/>
        </w:rPr>
      </w:pPr>
      <w:r>
        <w:rPr>
          <w:rFonts w:hint="eastAsia" w:ascii="宋体" w:hAnsi="宋体"/>
          <w:highlight w:val="none"/>
        </w:rPr>
        <w:t>方的送货要求，把甲方所采购货品配送到甲方指定收货验收地点。在约定交卸货点内，配备1-5名人员协助我方工作人员分发货物。</w:t>
      </w:r>
    </w:p>
    <w:p>
      <w:pPr>
        <w:pStyle w:val="13"/>
        <w:rPr>
          <w:highlight w:val="none"/>
        </w:rPr>
      </w:pPr>
    </w:p>
    <w:p>
      <w:pPr>
        <w:spacing w:before="0" w:after="0" w:afterAutospacing="0"/>
        <w:ind w:left="0" w:right="0" w:firstLine="422" w:firstLineChars="200"/>
        <w:rPr>
          <w:rFonts w:ascii="宋体" w:hAnsi="宋体"/>
          <w:highlight w:val="none"/>
        </w:rPr>
      </w:pPr>
      <w:r>
        <w:rPr>
          <w:rFonts w:hint="eastAsia" w:ascii="宋体" w:hAnsi="宋体"/>
          <w:b/>
          <w:highlight w:val="none"/>
        </w:rPr>
        <w:t>3.投标人资格要求</w:t>
      </w:r>
    </w:p>
    <w:p>
      <w:pPr>
        <w:spacing w:before="0" w:after="0" w:afterAutospacing="0"/>
        <w:ind w:left="0" w:right="0" w:firstLine="420" w:firstLineChars="200"/>
        <w:rPr>
          <w:rFonts w:ascii="宋体" w:hAnsi="宋体"/>
          <w:b/>
          <w:highlight w:val="none"/>
        </w:rPr>
      </w:pPr>
      <w:r>
        <w:rPr>
          <w:rFonts w:hint="eastAsia" w:ascii="宋体" w:hAnsi="宋体"/>
          <w:highlight w:val="none"/>
        </w:rPr>
        <w:t>3.1投标人为中华人民共和国境内依法设立的法人或其他组织（若以分公司名义参与投标，必须出具总公司授权参与的证明）。</w:t>
      </w:r>
      <w:r>
        <w:rPr>
          <w:rFonts w:hint="eastAsia" w:ascii="宋体" w:hAnsi="宋体"/>
          <w:b/>
          <w:highlight w:val="none"/>
        </w:rPr>
        <w:t>营业执照经营范围至少包括下列范围之一：①食品，②粮油制品，③奶制品等类似范围。</w:t>
      </w:r>
    </w:p>
    <w:p>
      <w:pPr>
        <w:spacing w:before="0" w:after="0" w:afterAutospacing="0"/>
        <w:ind w:left="0" w:right="-22" w:firstLine="420" w:firstLineChars="200"/>
        <w:jc w:val="left"/>
        <w:rPr>
          <w:rFonts w:ascii="宋体" w:hAnsi="宋体"/>
          <w:highlight w:val="none"/>
        </w:rPr>
      </w:pPr>
      <w:r>
        <w:rPr>
          <w:rFonts w:hint="eastAsia" w:ascii="宋体" w:hAnsi="宋体"/>
          <w:highlight w:val="none"/>
        </w:rPr>
        <w:t>3.2</w:t>
      </w:r>
      <w:r>
        <w:rPr>
          <w:rFonts w:hint="eastAsia" w:ascii="宋体" w:hAnsi="宋体"/>
          <w:b/>
          <w:highlight w:val="none"/>
        </w:rPr>
        <w:t>投标人须具有有效的《食品经营许可证》（如《食品经营许可证》为下属门店或机构的，则由投标人出具相关证明）或仅销售预包装食品经营者备案等类似证明材料。</w:t>
      </w:r>
    </w:p>
    <w:p>
      <w:pPr>
        <w:spacing w:before="0" w:after="0" w:afterAutospacing="0"/>
        <w:ind w:left="0" w:right="0" w:firstLine="420" w:firstLineChars="200"/>
        <w:rPr>
          <w:rFonts w:ascii="宋体" w:hAnsi="宋体"/>
          <w:highlight w:val="none"/>
        </w:rPr>
      </w:pPr>
      <w:r>
        <w:rPr>
          <w:rFonts w:hint="eastAsia" w:ascii="宋体" w:hAnsi="宋体"/>
          <w:highlight w:val="none"/>
        </w:rPr>
        <w:t>3.3投标人没有处于被广西行政主管部门或业主取消投标资格的处罚期内，且没有处于被责令停业，财产被接管、破产状态，投标截止时间前3年内没有骗取中标、严重违约或重大质量安全责任事故的情况；</w:t>
      </w:r>
    </w:p>
    <w:p>
      <w:pPr>
        <w:spacing w:before="0" w:after="0" w:afterAutospacing="0"/>
        <w:ind w:left="0" w:right="0" w:firstLine="420" w:firstLineChars="200"/>
        <w:rPr>
          <w:rFonts w:ascii="宋体" w:hAnsi="宋体"/>
          <w:highlight w:val="none"/>
        </w:rPr>
      </w:pPr>
      <w:r>
        <w:rPr>
          <w:rFonts w:hint="eastAsia" w:ascii="宋体" w:hAnsi="宋体"/>
          <w:highlight w:val="none"/>
        </w:rPr>
        <w:t>3.4单位负责人为同一人或者存在控股、管理关系的不同单位，不得参加同一标段投标或者未划分标段的同一招标项目投标；</w:t>
      </w:r>
    </w:p>
    <w:p>
      <w:pPr>
        <w:spacing w:before="0" w:after="0" w:afterAutospacing="0"/>
        <w:ind w:left="0" w:right="0" w:firstLine="420" w:firstLineChars="200"/>
        <w:rPr>
          <w:rFonts w:ascii="宋体" w:hAnsi="宋体"/>
          <w:highlight w:val="none"/>
        </w:rPr>
      </w:pPr>
      <w:r>
        <w:rPr>
          <w:rFonts w:hint="eastAsia" w:ascii="宋体" w:hAnsi="宋体"/>
          <w:highlight w:val="none"/>
        </w:rPr>
        <w:t>3.5本项目不接受联合体投标；</w:t>
      </w:r>
    </w:p>
    <w:p>
      <w:pPr>
        <w:spacing w:before="0" w:after="0" w:afterAutospacing="0"/>
        <w:ind w:left="0" w:right="0" w:firstLine="422" w:firstLineChars="200"/>
        <w:rPr>
          <w:rFonts w:ascii="宋体" w:hAnsi="宋体"/>
          <w:b/>
          <w:highlight w:val="none"/>
        </w:rPr>
      </w:pPr>
      <w:r>
        <w:rPr>
          <w:rFonts w:hint="eastAsia" w:ascii="宋体" w:hAnsi="宋体"/>
          <w:b/>
          <w:highlight w:val="none"/>
        </w:rPr>
        <w:t>4.资格审查方式</w:t>
      </w:r>
    </w:p>
    <w:p>
      <w:pPr>
        <w:spacing w:before="0" w:after="0" w:afterAutospacing="0"/>
        <w:ind w:left="0" w:right="0" w:firstLine="420" w:firstLineChars="200"/>
        <w:rPr>
          <w:rFonts w:ascii="宋体" w:hAnsi="宋体"/>
          <w:highlight w:val="none"/>
        </w:rPr>
      </w:pPr>
      <w:r>
        <w:rPr>
          <w:rFonts w:hint="eastAsia" w:ascii="宋体" w:hAnsi="宋体"/>
          <w:highlight w:val="none"/>
        </w:rPr>
        <w:t>本项目对投标人的资格审查采用资格后审方式，只有资格审查合格的投标人才有可能被授予合同。</w:t>
      </w:r>
    </w:p>
    <w:p>
      <w:pPr>
        <w:spacing w:before="0" w:after="0" w:afterAutospacing="0"/>
        <w:ind w:left="0" w:right="0" w:firstLine="422" w:firstLineChars="200"/>
        <w:rPr>
          <w:rFonts w:ascii="宋体" w:hAnsi="宋体"/>
          <w:highlight w:val="none"/>
        </w:rPr>
      </w:pPr>
      <w:r>
        <w:rPr>
          <w:rFonts w:hint="eastAsia" w:ascii="宋体" w:hAnsi="宋体"/>
          <w:b/>
          <w:highlight w:val="none"/>
        </w:rPr>
        <w:t>5.招标文件的获取</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 5.1招标文件获取：</w:t>
      </w:r>
    </w:p>
    <w:p>
      <w:pPr>
        <w:spacing w:before="0" w:after="0" w:afterAutospacing="0"/>
        <w:ind w:left="0" w:right="0" w:firstLine="420" w:firstLineChars="200"/>
        <w:rPr>
          <w:rFonts w:ascii="宋体" w:hAnsi="宋体"/>
          <w:color w:val="FF0000"/>
          <w:highlight w:val="none"/>
        </w:rPr>
      </w:pPr>
      <w:r>
        <w:rPr>
          <w:rFonts w:hint="eastAsia" w:ascii="宋体" w:hAnsi="宋体"/>
          <w:highlight w:val="none"/>
        </w:rPr>
        <w:t>本项目不发放纸质文件，请各投标人自行网上下载。下载网址：广西壮族自治区招标投标公共服务平台（http://zbtb.gxi.gov.cn:9000/）、南宁轨道交通集团有限责任公司官网、e车网（http://www.ecrrc.com/）发布。</w:t>
      </w:r>
    </w:p>
    <w:p>
      <w:pPr>
        <w:spacing w:before="0" w:after="0" w:afterAutospacing="0"/>
        <w:ind w:left="0" w:right="0" w:firstLine="422" w:firstLineChars="200"/>
        <w:rPr>
          <w:rFonts w:ascii="宋体" w:hAnsi="宋体"/>
          <w:b/>
          <w:highlight w:val="none"/>
        </w:rPr>
      </w:pPr>
      <w:r>
        <w:rPr>
          <w:rFonts w:hint="eastAsia" w:ascii="宋体" w:hAnsi="宋体"/>
          <w:b/>
          <w:highlight w:val="none"/>
        </w:rPr>
        <w:t>注：投标人如未完整下载相关文件，或由于未及时关注招标文件补充通知（补遗）、答疑等相关项目信息而影响投标的，其责任由投标人自行承担。</w:t>
      </w:r>
    </w:p>
    <w:p>
      <w:pPr>
        <w:spacing w:before="0" w:after="0" w:afterAutospacing="0"/>
        <w:ind w:left="0" w:right="0" w:firstLine="422" w:firstLineChars="200"/>
        <w:rPr>
          <w:rFonts w:ascii="宋体" w:hAnsi="宋体"/>
          <w:b/>
          <w:highlight w:val="none"/>
        </w:rPr>
      </w:pPr>
      <w:r>
        <w:rPr>
          <w:rFonts w:hint="eastAsia" w:ascii="宋体" w:hAnsi="宋体"/>
          <w:b/>
          <w:highlight w:val="none"/>
        </w:rPr>
        <w:t>6.</w:t>
      </w:r>
      <w:r>
        <w:rPr>
          <w:rFonts w:ascii="宋体" w:hAnsi="宋体"/>
          <w:b/>
          <w:highlight w:val="none"/>
        </w:rPr>
        <w:t>投标截止时间、开标时间和开标地点</w:t>
      </w:r>
    </w:p>
    <w:p>
      <w:pPr>
        <w:spacing w:before="0" w:after="0" w:afterAutospacing="0"/>
        <w:ind w:left="0" w:right="0" w:firstLine="420" w:firstLineChars="200"/>
        <w:rPr>
          <w:rFonts w:ascii="宋体" w:hAnsi="宋体"/>
          <w:highlight w:val="none"/>
        </w:rPr>
      </w:pPr>
      <w:r>
        <w:rPr>
          <w:rFonts w:hint="eastAsia" w:ascii="宋体" w:hAnsi="宋体"/>
          <w:highlight w:val="none"/>
        </w:rPr>
        <w:t>6.1投标文件须密封后于</w:t>
      </w:r>
      <w:r>
        <w:rPr>
          <w:rFonts w:hint="eastAsia" w:ascii="宋体" w:hAnsi="宋体"/>
          <w:b/>
          <w:highlight w:val="none"/>
          <w:u w:val="single"/>
        </w:rPr>
        <w:t xml:space="preserve"> 2024年 </w:t>
      </w:r>
      <w:r>
        <w:rPr>
          <w:rFonts w:hint="eastAsia" w:ascii="宋体" w:hAnsi="宋体"/>
          <w:b/>
          <w:highlight w:val="none"/>
          <w:u w:val="single"/>
          <w:lang w:val="en-US" w:eastAsia="zh-CN"/>
        </w:rPr>
        <w:t>5</w:t>
      </w:r>
      <w:r>
        <w:rPr>
          <w:rFonts w:hint="eastAsia" w:ascii="宋体" w:hAnsi="宋体"/>
          <w:b/>
          <w:highlight w:val="none"/>
          <w:u w:val="single"/>
        </w:rPr>
        <w:t xml:space="preserve"> 月 </w:t>
      </w:r>
      <w:r>
        <w:rPr>
          <w:rFonts w:hint="eastAsia" w:ascii="宋体" w:hAnsi="宋体"/>
          <w:b/>
          <w:highlight w:val="none"/>
          <w:u w:val="single"/>
          <w:lang w:val="en-US" w:eastAsia="zh-CN"/>
        </w:rPr>
        <w:t>17</w:t>
      </w:r>
      <w:r>
        <w:rPr>
          <w:rFonts w:hint="eastAsia" w:ascii="宋体" w:hAnsi="宋体"/>
          <w:b/>
          <w:highlight w:val="none"/>
          <w:u w:val="single"/>
        </w:rPr>
        <w:t xml:space="preserve"> 日9时30分</w:t>
      </w:r>
      <w:r>
        <w:rPr>
          <w:rFonts w:hint="eastAsia" w:ascii="宋体" w:hAnsi="宋体"/>
          <w:highlight w:val="none"/>
        </w:rPr>
        <w:t>（北京时间）前递交，递交地点在</w:t>
      </w:r>
      <w:r>
        <w:rPr>
          <w:highlight w:val="none"/>
        </w:rPr>
        <w:t>南宁市青秀区云景路71号广西城通工程咨询有限责任公司4楼401开标室</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6.2</w:t>
      </w:r>
      <w:r>
        <w:rPr>
          <w:rFonts w:ascii="宋体" w:hAnsi="宋体"/>
          <w:highlight w:val="none"/>
        </w:rPr>
        <w:t>逾期送达的或者未送达指定地点</w:t>
      </w:r>
      <w:r>
        <w:rPr>
          <w:rFonts w:hint="eastAsia" w:ascii="宋体" w:hAnsi="宋体"/>
          <w:highlight w:val="none"/>
        </w:rPr>
        <w:t>或者</w:t>
      </w:r>
      <w:r>
        <w:rPr>
          <w:rFonts w:ascii="宋体" w:hAnsi="宋体"/>
          <w:highlight w:val="none"/>
        </w:rPr>
        <w:t>未按招标文件要求密封的投标文件将被拒绝</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6.3投标文件现场递交</w:t>
      </w:r>
    </w:p>
    <w:p>
      <w:pPr>
        <w:spacing w:before="0" w:after="0" w:afterAutospacing="0"/>
        <w:ind w:left="0" w:right="0" w:firstLine="420" w:firstLineChars="200"/>
        <w:rPr>
          <w:rFonts w:ascii="宋体" w:hAnsi="宋体"/>
          <w:highlight w:val="none"/>
        </w:rPr>
      </w:pPr>
      <w:r>
        <w:rPr>
          <w:rFonts w:hint="eastAsia" w:ascii="宋体" w:hAnsi="宋体"/>
          <w:highlight w:val="none"/>
        </w:rPr>
        <w:t>（1）递交地点：</w:t>
      </w:r>
      <w:r>
        <w:rPr>
          <w:highlight w:val="none"/>
        </w:rPr>
        <w:t>南宁市青秀区云景路71号广西城通工程咨询有限责任公司4楼401开标室</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（2）投标人应充分预留投标文件送达所需要的时间。</w:t>
      </w:r>
    </w:p>
    <w:p>
      <w:pPr>
        <w:spacing w:before="0" w:after="0" w:afterAutospacing="0"/>
        <w:ind w:left="0" w:right="0" w:firstLine="420" w:firstLineChars="200"/>
        <w:rPr>
          <w:rFonts w:ascii="宋体" w:hAnsi="宋体"/>
          <w:highlight w:val="none"/>
        </w:rPr>
      </w:pPr>
      <w:r>
        <w:rPr>
          <w:rFonts w:hint="eastAsia" w:ascii="宋体" w:hAnsi="宋体"/>
          <w:highlight w:val="none"/>
        </w:rPr>
        <w:t>6.4投标人可自行决定是否参加现场开标活动。但参加现场开标活动的委托代理人（与签署投标文件的委托代理人必须为同一人）须出示授权委托书原件或身份证，以证明委托代理人的身份和被授权范围</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5</w:t>
      </w:r>
      <w:r>
        <w:rPr>
          <w:rFonts w:hint="eastAsia" w:ascii="宋体" w:hAnsi="宋体"/>
          <w:highlight w:val="none"/>
        </w:rPr>
        <w:t>请投标人法定代表人或其授权代表携法人委托书原件或身份证准时参加。</w:t>
      </w:r>
      <w:r>
        <w:rPr>
          <w:rFonts w:ascii="宋体" w:hAnsi="宋体"/>
          <w:highlight w:val="none"/>
        </w:rPr>
        <w:t>投标文件必须由</w:t>
      </w:r>
      <w:r>
        <w:rPr>
          <w:rFonts w:hint="eastAsia" w:ascii="宋体" w:hAnsi="宋体"/>
          <w:highlight w:val="none"/>
        </w:rPr>
        <w:t>投标人</w:t>
      </w:r>
      <w:r>
        <w:rPr>
          <w:rFonts w:ascii="宋体" w:hAnsi="宋体"/>
          <w:highlight w:val="none"/>
        </w:rPr>
        <w:t>法定代表人或其授权代表递交，否则招标人不予受理。</w:t>
      </w:r>
    </w:p>
    <w:p>
      <w:pPr>
        <w:spacing w:before="0" w:after="0" w:afterAutospacing="0"/>
        <w:ind w:left="0" w:right="0" w:firstLine="422" w:firstLineChars="200"/>
        <w:rPr>
          <w:rFonts w:ascii="宋体" w:hAnsi="宋体"/>
          <w:b/>
          <w:highlight w:val="none"/>
        </w:rPr>
      </w:pPr>
      <w:r>
        <w:rPr>
          <w:rFonts w:hint="eastAsia" w:ascii="宋体" w:hAnsi="宋体"/>
          <w:b/>
          <w:highlight w:val="none"/>
        </w:rPr>
        <w:t>7.发布公告的媒介</w:t>
      </w:r>
    </w:p>
    <w:p>
      <w:pPr>
        <w:tabs>
          <w:tab w:val="left" w:pos="945"/>
          <w:tab w:val="left" w:pos="1134"/>
          <w:tab w:val="left" w:pos="8364"/>
        </w:tabs>
        <w:spacing w:before="0" w:after="0" w:afterAutospacing="0"/>
        <w:ind w:left="0" w:right="0" w:firstLine="420" w:firstLineChars="200"/>
        <w:rPr>
          <w:rFonts w:ascii="宋体" w:hAnsi="宋体"/>
          <w:color w:val="FF0000"/>
          <w:highlight w:val="none"/>
        </w:rPr>
      </w:pPr>
      <w:r>
        <w:rPr>
          <w:rFonts w:hint="eastAsia" w:ascii="宋体" w:hAnsi="宋体"/>
          <w:highlight w:val="none"/>
        </w:rPr>
        <w:t>本次招标公告同时在广西壮族自治区招标投标公共服务平台（http://zbtb.gxi.gov.cn:9000/）、南宁轨道交通集团有限责任公司官网、e车网（http://www.ecrrc.com/）</w:t>
      </w:r>
      <w:r>
        <w:rPr>
          <w:rFonts w:hint="eastAsia" w:ascii="宋体" w:hAnsi="宋体" w:cs="Courier New"/>
          <w:highlight w:val="none"/>
        </w:rPr>
        <w:t>上</w:t>
      </w:r>
      <w:r>
        <w:rPr>
          <w:rFonts w:hint="eastAsia" w:ascii="宋体" w:hAnsi="宋体"/>
          <w:highlight w:val="none"/>
        </w:rPr>
        <w:t>发布。</w:t>
      </w:r>
    </w:p>
    <w:p>
      <w:pPr>
        <w:ind w:left="707" w:leftChars="200" w:hanging="287" w:hangingChars="136"/>
        <w:rPr>
          <w:highlight w:val="none"/>
        </w:rPr>
      </w:pPr>
      <w:r>
        <w:rPr>
          <w:rFonts w:hint="eastAsia" w:ascii="宋体" w:hAnsi="宋体"/>
          <w:b/>
          <w:highlight w:val="none"/>
        </w:rPr>
        <w:t>8.招标纪律监督部门及电话：南宁轨道交通运营有限公司纪检监察室0771-2778084。</w:t>
      </w:r>
    </w:p>
    <w:p>
      <w:pPr>
        <w:spacing w:before="0" w:after="0" w:afterAutospacing="0"/>
        <w:ind w:left="0" w:right="0" w:firstLine="422" w:firstLineChars="200"/>
        <w:rPr>
          <w:rFonts w:ascii="宋体" w:hAnsi="宋体"/>
          <w:b/>
          <w:highlight w:val="none"/>
        </w:rPr>
      </w:pPr>
      <w:r>
        <w:rPr>
          <w:rFonts w:hint="eastAsia" w:ascii="宋体" w:hAnsi="宋体"/>
          <w:b/>
          <w:highlight w:val="none"/>
        </w:rPr>
        <w:t>9.联系方式</w:t>
      </w:r>
    </w:p>
    <w:p>
      <w:pPr>
        <w:widowControl w:val="0"/>
        <w:spacing w:line="240" w:lineRule="auto"/>
        <w:ind w:firstLine="420" w:firstLineChars="200"/>
        <w:rPr>
          <w:rFonts w:ascii="宋体" w:hAnsi="宋体"/>
          <w:kern w:val="2"/>
          <w:szCs w:val="24"/>
          <w:highlight w:val="none"/>
        </w:rPr>
      </w:pPr>
      <w:r>
        <w:rPr>
          <w:rFonts w:hint="eastAsia" w:ascii="宋体" w:hAnsi="宋体"/>
          <w:kern w:val="2"/>
          <w:szCs w:val="24"/>
          <w:highlight w:val="none"/>
        </w:rPr>
        <w:t>招 标 人：</w:t>
      </w:r>
      <w:r>
        <w:rPr>
          <w:rFonts w:hint="eastAsia" w:ascii="宋体" w:hAnsi="宋体"/>
          <w:highlight w:val="none"/>
        </w:rPr>
        <w:t xml:space="preserve">南宁轨道交通运营有限公司      </w:t>
      </w:r>
      <w:r>
        <w:rPr>
          <w:rFonts w:hint="eastAsia" w:ascii="宋体" w:hAnsi="宋体"/>
          <w:kern w:val="2"/>
          <w:szCs w:val="24"/>
          <w:highlight w:val="none"/>
        </w:rPr>
        <w:t>招标代理机构：广西城通工程咨询有限</w:t>
      </w:r>
    </w:p>
    <w:p>
      <w:pPr>
        <w:widowControl w:val="0"/>
        <w:spacing w:line="240" w:lineRule="auto"/>
        <w:ind w:firstLine="420" w:firstLineChars="200"/>
        <w:rPr>
          <w:rFonts w:ascii="宋体" w:hAnsi="宋体"/>
          <w:kern w:val="2"/>
          <w:szCs w:val="24"/>
          <w:highlight w:val="none"/>
        </w:rPr>
      </w:pPr>
      <w:r>
        <w:rPr>
          <w:rFonts w:hint="eastAsia" w:ascii="宋体" w:hAnsi="宋体"/>
          <w:highlight w:val="none"/>
        </w:rPr>
        <w:t xml:space="preserve">          工会委员会</w:t>
      </w:r>
      <w:r>
        <w:rPr>
          <w:rFonts w:hint="eastAsia" w:ascii="宋体" w:hAnsi="宋体"/>
          <w:kern w:val="2"/>
          <w:szCs w:val="24"/>
          <w:highlight w:val="none"/>
        </w:rPr>
        <w:t xml:space="preserve">                                  责任公司</w:t>
      </w:r>
    </w:p>
    <w:p>
      <w:pPr>
        <w:widowControl w:val="0"/>
        <w:spacing w:line="240" w:lineRule="auto"/>
        <w:ind w:firstLine="420" w:firstLineChars="200"/>
        <w:rPr>
          <w:rFonts w:ascii="宋体" w:hAnsi="宋体"/>
          <w:kern w:val="2"/>
          <w:szCs w:val="24"/>
          <w:highlight w:val="none"/>
        </w:rPr>
      </w:pPr>
      <w:r>
        <w:rPr>
          <w:rFonts w:hint="eastAsia" w:ascii="宋体" w:hAnsi="宋体"/>
          <w:kern w:val="2"/>
          <w:szCs w:val="24"/>
          <w:highlight w:val="none"/>
        </w:rPr>
        <w:t>地    址：南宁市云景路83号             地    址：南宁市云景路71号</w:t>
      </w:r>
    </w:p>
    <w:p>
      <w:pPr>
        <w:widowControl w:val="0"/>
        <w:spacing w:line="240" w:lineRule="auto"/>
        <w:ind w:firstLine="420" w:firstLineChars="200"/>
        <w:rPr>
          <w:rFonts w:ascii="宋体" w:hAnsi="宋体"/>
          <w:kern w:val="2"/>
          <w:szCs w:val="24"/>
          <w:highlight w:val="none"/>
        </w:rPr>
      </w:pPr>
      <w:r>
        <w:rPr>
          <w:rFonts w:hint="eastAsia" w:ascii="宋体" w:hAnsi="宋体"/>
          <w:kern w:val="2"/>
          <w:szCs w:val="24"/>
          <w:highlight w:val="none"/>
        </w:rPr>
        <w:t>邮    编：530029</w:t>
      </w:r>
      <w:r>
        <w:rPr>
          <w:rFonts w:hint="eastAsia" w:ascii="宋体" w:hAnsi="宋体"/>
          <w:highlight w:val="none"/>
        </w:rPr>
        <w:t xml:space="preserve">                        </w:t>
      </w:r>
      <w:r>
        <w:rPr>
          <w:rFonts w:hint="eastAsia" w:ascii="宋体" w:hAnsi="宋体"/>
          <w:kern w:val="2"/>
          <w:szCs w:val="24"/>
          <w:highlight w:val="none"/>
        </w:rPr>
        <w:t>邮    编：530022</w:t>
      </w:r>
    </w:p>
    <w:p>
      <w:pPr>
        <w:widowControl w:val="0"/>
        <w:spacing w:line="240" w:lineRule="auto"/>
        <w:ind w:firstLine="420" w:firstLineChars="200"/>
        <w:rPr>
          <w:rFonts w:ascii="宋体" w:hAnsi="宋体"/>
          <w:kern w:val="2"/>
          <w:szCs w:val="24"/>
          <w:highlight w:val="none"/>
        </w:rPr>
      </w:pPr>
      <w:r>
        <w:rPr>
          <w:rFonts w:hint="eastAsia" w:ascii="宋体" w:hAnsi="宋体"/>
          <w:kern w:val="2"/>
          <w:szCs w:val="24"/>
          <w:highlight w:val="none"/>
        </w:rPr>
        <w:t>联 系 人：</w:t>
      </w:r>
      <w:r>
        <w:rPr>
          <w:rFonts w:hint="eastAsia" w:ascii="宋体" w:hAnsi="宋体"/>
          <w:highlight w:val="none"/>
        </w:rPr>
        <w:t>蒋工 、罗工</w:t>
      </w:r>
      <w:r>
        <w:rPr>
          <w:rFonts w:hint="eastAsia" w:ascii="宋体" w:hAnsi="宋体"/>
          <w:kern w:val="2"/>
          <w:szCs w:val="24"/>
          <w:highlight w:val="none"/>
        </w:rPr>
        <w:t xml:space="preserve">       </w:t>
      </w:r>
      <w:r>
        <w:rPr>
          <w:rFonts w:hint="eastAsia" w:ascii="宋体" w:hAnsi="宋体"/>
          <w:highlight w:val="none"/>
        </w:rPr>
        <w:t xml:space="preserve">            </w:t>
      </w:r>
      <w:r>
        <w:rPr>
          <w:rFonts w:hint="eastAsia" w:ascii="宋体" w:hAnsi="宋体"/>
          <w:kern w:val="2"/>
          <w:szCs w:val="24"/>
          <w:highlight w:val="none"/>
        </w:rPr>
        <w:t>联 系 人：黄工</w:t>
      </w:r>
    </w:p>
    <w:p>
      <w:pPr>
        <w:widowControl w:val="0"/>
        <w:spacing w:line="240" w:lineRule="auto"/>
        <w:ind w:firstLine="420" w:firstLineChars="200"/>
        <w:rPr>
          <w:rFonts w:ascii="宋体" w:hAnsi="宋体"/>
          <w:kern w:val="2"/>
          <w:szCs w:val="24"/>
          <w:highlight w:val="none"/>
        </w:rPr>
      </w:pPr>
      <w:r>
        <w:rPr>
          <w:rFonts w:hint="eastAsia" w:ascii="宋体" w:hAnsi="宋体"/>
          <w:kern w:val="2"/>
          <w:szCs w:val="24"/>
          <w:highlight w:val="none"/>
        </w:rPr>
        <w:t>电    话：0771-</w:t>
      </w:r>
      <w:r>
        <w:rPr>
          <w:rFonts w:hint="eastAsia" w:ascii="宋体" w:hAnsi="宋体"/>
          <w:highlight w:val="none"/>
        </w:rPr>
        <w:t xml:space="preserve">2778303、0771-2778962    </w:t>
      </w:r>
      <w:r>
        <w:rPr>
          <w:rFonts w:hint="eastAsia" w:ascii="宋体" w:hAnsi="宋体"/>
          <w:kern w:val="2"/>
          <w:szCs w:val="24"/>
          <w:highlight w:val="none"/>
        </w:rPr>
        <w:t>电    话：0771-4800838</w:t>
      </w:r>
    </w:p>
    <w:p>
      <w:pPr>
        <w:widowControl w:val="0"/>
        <w:spacing w:line="240" w:lineRule="auto"/>
        <w:ind w:firstLine="420" w:firstLineChars="200"/>
        <w:rPr>
          <w:rFonts w:ascii="宋体" w:hAnsi="宋体"/>
          <w:kern w:val="2"/>
          <w:szCs w:val="24"/>
          <w:highlight w:val="none"/>
        </w:rPr>
      </w:pPr>
      <w:r>
        <w:rPr>
          <w:rFonts w:hint="eastAsia" w:ascii="宋体" w:hAnsi="宋体"/>
          <w:kern w:val="2"/>
          <w:szCs w:val="24"/>
          <w:highlight w:val="none"/>
        </w:rPr>
        <w:t>传    真：</w:t>
      </w:r>
      <w:r>
        <w:rPr>
          <w:rFonts w:hint="eastAsia" w:ascii="宋体" w:hAnsi="宋体"/>
          <w:highlight w:val="none"/>
        </w:rPr>
        <w:t xml:space="preserve">                              </w:t>
      </w:r>
      <w:r>
        <w:rPr>
          <w:rFonts w:hint="eastAsia" w:ascii="宋体" w:hAnsi="宋体"/>
          <w:kern w:val="2"/>
          <w:szCs w:val="24"/>
          <w:highlight w:val="none"/>
        </w:rPr>
        <w:t>传    真：</w:t>
      </w:r>
    </w:p>
    <w:p>
      <w:pPr>
        <w:widowControl w:val="0"/>
        <w:spacing w:line="240" w:lineRule="auto"/>
        <w:ind w:firstLine="420" w:firstLineChars="200"/>
        <w:rPr>
          <w:rFonts w:ascii="宋体" w:hAnsi="宋体"/>
          <w:kern w:val="2"/>
          <w:szCs w:val="24"/>
          <w:highlight w:val="none"/>
        </w:rPr>
      </w:pPr>
      <w:r>
        <w:rPr>
          <w:rFonts w:hint="eastAsia" w:ascii="宋体" w:hAnsi="宋体"/>
          <w:kern w:val="2"/>
          <w:szCs w:val="24"/>
          <w:highlight w:val="none"/>
        </w:rPr>
        <w:t>电子邮件：</w:t>
      </w:r>
      <w:r>
        <w:rPr>
          <w:rFonts w:hint="eastAsia" w:ascii="宋体" w:hAnsi="宋体"/>
          <w:highlight w:val="none"/>
        </w:rPr>
        <w:t xml:space="preserve">                              </w:t>
      </w:r>
      <w:r>
        <w:rPr>
          <w:rFonts w:hint="eastAsia" w:ascii="宋体" w:hAnsi="宋体"/>
          <w:kern w:val="2"/>
          <w:szCs w:val="24"/>
          <w:highlight w:val="none"/>
        </w:rPr>
        <w:t>电子邮件：</w:t>
      </w:r>
      <w:r>
        <w:rPr>
          <w:rFonts w:hint="eastAsia" w:ascii="宋体" w:hAnsi="宋体"/>
          <w:highlight w:val="none"/>
        </w:rPr>
        <w:t>ctzx0601@163.com</w:t>
      </w:r>
    </w:p>
    <w:p>
      <w:pPr>
        <w:spacing w:before="0" w:after="120" w:line="380" w:lineRule="exact"/>
        <w:ind w:left="430" w:right="-57" w:firstLine="200"/>
        <w:rPr>
          <w:rFonts w:ascii="宋体" w:hAnsi="宋体"/>
          <w:highlight w:val="none"/>
        </w:rPr>
      </w:pPr>
    </w:p>
    <w:p>
      <w:pPr>
        <w:pStyle w:val="13"/>
        <w:pageBreakBefore/>
        <w:ind w:left="0" w:right="-57" w:firstLine="0"/>
        <w:jc w:val="center"/>
        <w:outlineLvl w:val="0"/>
        <w:rPr>
          <w:rStyle w:val="41"/>
          <w:rFonts w:ascii="宋体" w:hAnsi="宋体" w:eastAsia="宋体"/>
          <w:highlight w:val="none"/>
        </w:rPr>
      </w:pPr>
      <w:bookmarkStart w:id="39" w:name="_Toc322528192"/>
      <w:bookmarkEnd w:id="39"/>
      <w:bookmarkStart w:id="40" w:name="_Toc512357502"/>
      <w:bookmarkStart w:id="41" w:name="_Toc30883"/>
      <w:bookmarkStart w:id="42" w:name="_Toc3495"/>
      <w:bookmarkStart w:id="43" w:name="_Toc415"/>
      <w:bookmarkStart w:id="44" w:name="_Toc14907"/>
      <w:bookmarkStart w:id="45" w:name="_Toc30725"/>
      <w:bookmarkStart w:id="46" w:name="_Toc9479"/>
      <w:bookmarkStart w:id="47" w:name="_Toc22273"/>
      <w:bookmarkStart w:id="48" w:name="_Toc24386"/>
      <w:bookmarkStart w:id="49" w:name="_Toc24390"/>
      <w:bookmarkStart w:id="50" w:name="_Toc3980"/>
      <w:bookmarkStart w:id="51" w:name="_Toc15697"/>
      <w:bookmarkStart w:id="52" w:name="_Toc327"/>
      <w:bookmarkStart w:id="53" w:name="_Toc7525"/>
      <w:bookmarkStart w:id="54" w:name="_Toc27248"/>
      <w:bookmarkStart w:id="55" w:name="_Toc17594"/>
      <w:bookmarkStart w:id="56" w:name="_Toc17419"/>
      <w:bookmarkStart w:id="57" w:name="_Toc29836"/>
      <w:bookmarkStart w:id="58" w:name="_Toc25729"/>
      <w:bookmarkStart w:id="59" w:name="_Toc20201"/>
      <w:bookmarkStart w:id="60" w:name="_Toc15976"/>
      <w:bookmarkStart w:id="61" w:name="_Toc17735"/>
      <w:bookmarkStart w:id="62" w:name="_Toc20438"/>
      <w:bookmarkStart w:id="63" w:name="_Toc1230"/>
      <w:bookmarkStart w:id="64" w:name="_Toc11623"/>
      <w:bookmarkStart w:id="65" w:name="_Toc12635"/>
      <w:bookmarkStart w:id="66" w:name="_Toc20003"/>
      <w:bookmarkStart w:id="67" w:name="_Toc17240"/>
      <w:bookmarkStart w:id="68" w:name="_Toc24972"/>
      <w:bookmarkStart w:id="69" w:name="_Toc15501"/>
      <w:bookmarkStart w:id="70" w:name="_Toc15058"/>
      <w:bookmarkStart w:id="71" w:name="_Toc30950"/>
      <w:bookmarkStart w:id="72" w:name="_Toc21830"/>
      <w:bookmarkStart w:id="73" w:name="_Toc127"/>
      <w:bookmarkStart w:id="74" w:name="_Toc912"/>
      <w:bookmarkStart w:id="75" w:name="_Toc6052"/>
      <w:bookmarkStart w:id="76" w:name="_Toc18454"/>
      <w:r>
        <w:rPr>
          <w:rStyle w:val="41"/>
          <w:rFonts w:hint="eastAsia" w:ascii="宋体" w:hAnsi="宋体" w:eastAsia="宋体"/>
          <w:highlight w:val="none"/>
        </w:rPr>
        <w:t>第二章</w:t>
      </w:r>
      <w:bookmarkEnd w:id="40"/>
      <w:r>
        <w:rPr>
          <w:rStyle w:val="41"/>
          <w:rFonts w:hint="eastAsia" w:hAnsi="宋体"/>
          <w:highlight w:val="none"/>
        </w:rPr>
        <w:t xml:space="preserve"> </w:t>
      </w:r>
      <w:r>
        <w:rPr>
          <w:rStyle w:val="41"/>
          <w:rFonts w:hint="eastAsia" w:ascii="宋体" w:hAnsi="宋体" w:eastAsia="宋体"/>
          <w:highlight w:val="none"/>
        </w:rPr>
        <w:t>投标人须知</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13"/>
        <w:spacing w:before="0" w:after="0"/>
        <w:ind w:right="0" w:firstLine="0"/>
        <w:jc w:val="center"/>
        <w:outlineLvl w:val="1"/>
        <w:rPr>
          <w:rFonts w:hAnsi="宋体"/>
          <w:b/>
          <w:sz w:val="30"/>
          <w:szCs w:val="30"/>
          <w:highlight w:val="none"/>
        </w:rPr>
      </w:pPr>
      <w:bookmarkStart w:id="77" w:name="_Toc4723"/>
      <w:bookmarkStart w:id="78" w:name="_Toc11414"/>
      <w:bookmarkStart w:id="79" w:name="_Toc3151"/>
      <w:bookmarkStart w:id="80" w:name="_Toc28688"/>
      <w:bookmarkStart w:id="81" w:name="_Toc21108"/>
      <w:bookmarkStart w:id="82" w:name="_Toc24518"/>
      <w:bookmarkStart w:id="83" w:name="_Toc4669"/>
      <w:bookmarkStart w:id="84" w:name="_Toc27403"/>
      <w:bookmarkStart w:id="85" w:name="_Toc13295"/>
      <w:bookmarkStart w:id="86" w:name="_Toc5801"/>
      <w:bookmarkStart w:id="87" w:name="_Toc10681"/>
      <w:bookmarkStart w:id="88" w:name="_Toc24057"/>
      <w:bookmarkStart w:id="89" w:name="_Toc12750"/>
      <w:bookmarkStart w:id="90" w:name="_Toc11158"/>
      <w:bookmarkStart w:id="91" w:name="_Toc25690"/>
      <w:bookmarkStart w:id="92" w:name="_Toc18081"/>
      <w:bookmarkStart w:id="93" w:name="_Toc7503"/>
      <w:bookmarkStart w:id="94" w:name="_Toc10527"/>
      <w:bookmarkStart w:id="95" w:name="_Toc18179"/>
      <w:r>
        <w:rPr>
          <w:rFonts w:hint="eastAsia" w:hAnsi="宋体"/>
          <w:b/>
          <w:sz w:val="30"/>
          <w:szCs w:val="30"/>
          <w:highlight w:val="none"/>
        </w:rPr>
        <w:t>投标人须知前附表</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bl>
      <w:tblPr>
        <w:tblStyle w:val="27"/>
        <w:tblW w:w="9141" w:type="dxa"/>
        <w:tblInd w:w="108" w:type="dxa"/>
        <w:tblLayout w:type="fixed"/>
        <w:tblCellMar>
          <w:top w:w="0" w:type="dxa"/>
          <w:left w:w="108" w:type="dxa"/>
          <w:bottom w:w="0" w:type="dxa"/>
          <w:right w:w="108" w:type="dxa"/>
        </w:tblCellMar>
      </w:tblPr>
      <w:tblGrid>
        <w:gridCol w:w="851"/>
        <w:gridCol w:w="1843"/>
        <w:gridCol w:w="6447"/>
      </w:tblGrid>
      <w:tr>
        <w:tblPrEx>
          <w:tblCellMar>
            <w:top w:w="0" w:type="dxa"/>
            <w:left w:w="108" w:type="dxa"/>
            <w:bottom w:w="0" w:type="dxa"/>
            <w:right w:w="108" w:type="dxa"/>
          </w:tblCellMar>
        </w:tblPrEx>
        <w:trPr>
          <w:trHeight w:val="27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条款名称</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详细内容</w:t>
            </w:r>
          </w:p>
        </w:tc>
      </w:tr>
      <w:tr>
        <w:tblPrEx>
          <w:tblCellMar>
            <w:top w:w="0" w:type="dxa"/>
            <w:left w:w="108" w:type="dxa"/>
            <w:bottom w:w="0" w:type="dxa"/>
            <w:right w:w="108" w:type="dxa"/>
          </w:tblCellMar>
        </w:tblPrEx>
        <w:trPr>
          <w:trHeight w:val="1197"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招标人</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名称：南宁轨道交通运营有限公司工会委员会</w:t>
            </w:r>
          </w:p>
          <w:p>
            <w:pPr>
              <w:spacing w:before="0" w:after="0" w:afterAutospacing="0"/>
              <w:ind w:left="0" w:right="0" w:firstLine="0"/>
              <w:rPr>
                <w:rFonts w:ascii="宋体" w:hAnsi="宋体"/>
                <w:highlight w:val="none"/>
              </w:rPr>
            </w:pPr>
            <w:r>
              <w:rPr>
                <w:rFonts w:hint="eastAsia" w:ascii="宋体" w:hAnsi="宋体"/>
                <w:highlight w:val="none"/>
              </w:rPr>
              <w:t>地址：南宁市青秀区云景路83号</w:t>
            </w:r>
          </w:p>
          <w:p>
            <w:pPr>
              <w:spacing w:before="0" w:after="0" w:afterAutospacing="0"/>
              <w:ind w:left="0" w:right="0" w:firstLine="0"/>
              <w:rPr>
                <w:rFonts w:ascii="宋体" w:hAnsi="宋体"/>
                <w:highlight w:val="none"/>
              </w:rPr>
            </w:pPr>
            <w:r>
              <w:rPr>
                <w:rFonts w:hint="eastAsia" w:ascii="宋体" w:hAnsi="宋体"/>
                <w:highlight w:val="none"/>
              </w:rPr>
              <w:t>联系人：蒋工 ，罗工</w:t>
            </w:r>
          </w:p>
          <w:p>
            <w:pPr>
              <w:spacing w:before="0" w:after="0" w:afterAutospacing="0"/>
              <w:ind w:left="0" w:right="0" w:firstLine="0"/>
              <w:rPr>
                <w:rFonts w:ascii="宋体" w:hAnsi="宋体"/>
                <w:highlight w:val="none"/>
              </w:rPr>
            </w:pPr>
            <w:r>
              <w:rPr>
                <w:rFonts w:hint="eastAsia" w:ascii="宋体" w:hAnsi="宋体"/>
                <w:highlight w:val="none"/>
              </w:rPr>
              <w:t>联系电话：</w:t>
            </w:r>
            <w:r>
              <w:rPr>
                <w:rFonts w:hint="eastAsia" w:ascii="宋体" w:hAnsi="宋体"/>
                <w:kern w:val="2"/>
                <w:szCs w:val="24"/>
                <w:highlight w:val="none"/>
              </w:rPr>
              <w:t>0771-</w:t>
            </w:r>
            <w:r>
              <w:rPr>
                <w:rFonts w:hint="eastAsia" w:ascii="宋体" w:hAnsi="宋体"/>
                <w:highlight w:val="none"/>
              </w:rPr>
              <w:t>2778303，0771-2778962</w:t>
            </w:r>
          </w:p>
        </w:tc>
      </w:tr>
      <w:tr>
        <w:tblPrEx>
          <w:tblCellMar>
            <w:top w:w="0" w:type="dxa"/>
            <w:left w:w="108" w:type="dxa"/>
            <w:bottom w:w="0" w:type="dxa"/>
            <w:right w:w="108" w:type="dxa"/>
          </w:tblCellMar>
        </w:tblPrEx>
        <w:trPr>
          <w:trHeight w:val="127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招标</w:t>
            </w:r>
            <w:r>
              <w:rPr>
                <w:rFonts w:hint="eastAsia"/>
                <w:highlight w:val="none"/>
              </w:rPr>
              <w:t>代理</w:t>
            </w:r>
            <w:r>
              <w:rPr>
                <w:rFonts w:hint="eastAsia" w:ascii="宋体" w:hAnsi="宋体"/>
                <w:highlight w:val="none"/>
              </w:rPr>
              <w:t>机构</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名称：</w:t>
            </w:r>
            <w:r>
              <w:rPr>
                <w:rFonts w:hint="eastAsia" w:ascii="宋体" w:hAnsi="宋体"/>
                <w:highlight w:val="none"/>
                <w:u w:val="single"/>
              </w:rPr>
              <w:t>广西城通工程咨询有限责任公司</w:t>
            </w:r>
          </w:p>
          <w:p>
            <w:pPr>
              <w:spacing w:before="0" w:after="0" w:afterAutospacing="0"/>
              <w:ind w:left="0" w:right="0" w:firstLine="0"/>
              <w:rPr>
                <w:rFonts w:ascii="宋体" w:hAnsi="宋体"/>
                <w:highlight w:val="none"/>
              </w:rPr>
            </w:pPr>
            <w:r>
              <w:rPr>
                <w:rFonts w:hint="eastAsia" w:ascii="宋体" w:hAnsi="宋体"/>
                <w:highlight w:val="none"/>
              </w:rPr>
              <w:t>地址：南宁市青秀区云景路71号</w:t>
            </w:r>
          </w:p>
          <w:p>
            <w:pPr>
              <w:spacing w:before="0" w:after="0" w:afterAutospacing="0"/>
              <w:ind w:left="0" w:right="0" w:firstLine="0"/>
              <w:rPr>
                <w:rFonts w:ascii="宋体" w:hAnsi="宋体"/>
                <w:highlight w:val="none"/>
              </w:rPr>
            </w:pPr>
            <w:r>
              <w:rPr>
                <w:rFonts w:hint="eastAsia" w:ascii="宋体" w:hAnsi="宋体"/>
                <w:highlight w:val="none"/>
              </w:rPr>
              <w:t>联系人：黄工</w:t>
            </w:r>
          </w:p>
          <w:p>
            <w:pPr>
              <w:spacing w:before="0" w:after="0" w:afterAutospacing="0"/>
              <w:ind w:left="0" w:right="0" w:firstLine="0"/>
              <w:rPr>
                <w:rFonts w:ascii="宋体" w:hAnsi="宋体"/>
                <w:highlight w:val="none"/>
              </w:rPr>
            </w:pPr>
            <w:r>
              <w:rPr>
                <w:rFonts w:hint="eastAsia" w:ascii="宋体" w:hAnsi="宋体"/>
                <w:highlight w:val="none"/>
              </w:rPr>
              <w:t>电话：0771-4800838</w:t>
            </w:r>
          </w:p>
        </w:tc>
      </w:tr>
      <w:tr>
        <w:tblPrEx>
          <w:tblCellMar>
            <w:top w:w="0" w:type="dxa"/>
            <w:left w:w="108" w:type="dxa"/>
            <w:bottom w:w="0" w:type="dxa"/>
            <w:right w:w="108" w:type="dxa"/>
          </w:tblCellMar>
        </w:tblPrEx>
        <w:trPr>
          <w:trHeight w:val="14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项目</w:t>
            </w:r>
            <w:r>
              <w:rPr>
                <w:rFonts w:hint="eastAsia"/>
                <w:highlight w:val="none"/>
              </w:rPr>
              <w:t>名称</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南宁轨道交通运营有限公司工会委员会2024年工会会员端午节慰问品采购项目</w:t>
            </w:r>
          </w:p>
        </w:tc>
      </w:tr>
      <w:tr>
        <w:tblPrEx>
          <w:tblCellMar>
            <w:top w:w="0" w:type="dxa"/>
            <w:left w:w="108" w:type="dxa"/>
            <w:bottom w:w="0" w:type="dxa"/>
            <w:right w:w="108" w:type="dxa"/>
          </w:tblCellMar>
        </w:tblPrEx>
        <w:trPr>
          <w:trHeight w:val="14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项目</w:t>
            </w:r>
            <w:r>
              <w:rPr>
                <w:rFonts w:hint="eastAsia"/>
                <w:highlight w:val="none"/>
              </w:rPr>
              <w:t>编号</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202404030001</w:t>
            </w:r>
          </w:p>
        </w:tc>
      </w:tr>
      <w:tr>
        <w:tblPrEx>
          <w:tblCellMar>
            <w:top w:w="0" w:type="dxa"/>
            <w:left w:w="108" w:type="dxa"/>
            <w:bottom w:w="0" w:type="dxa"/>
            <w:right w:w="108" w:type="dxa"/>
          </w:tblCellMar>
        </w:tblPrEx>
        <w:trPr>
          <w:trHeight w:val="14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ascii="宋体" w:hAnsi="宋体"/>
                <w:highlight w:val="none"/>
              </w:rPr>
              <w:t>招标</w:t>
            </w:r>
            <w:r>
              <w:rPr>
                <w:highlight w:val="none"/>
              </w:rPr>
              <w:t>范围</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具体详见用户需求书。</w:t>
            </w:r>
          </w:p>
        </w:tc>
      </w:tr>
      <w:tr>
        <w:tblPrEx>
          <w:tblCellMar>
            <w:top w:w="0" w:type="dxa"/>
            <w:left w:w="108" w:type="dxa"/>
            <w:bottom w:w="0" w:type="dxa"/>
            <w:right w:w="108" w:type="dxa"/>
          </w:tblCellMar>
        </w:tblPrEx>
        <w:trPr>
          <w:trHeight w:val="14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ascii="宋体" w:hAnsi="宋体"/>
                <w:highlight w:val="none"/>
              </w:rPr>
              <w:t>交货期</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left"/>
              <w:rPr>
                <w:rFonts w:ascii="宋体" w:hAnsi="宋体"/>
                <w:highlight w:val="none"/>
              </w:rPr>
            </w:pPr>
            <w:r>
              <w:rPr>
                <w:rFonts w:hint="eastAsia"/>
                <w:highlight w:val="none"/>
                <w:u w:val="single"/>
              </w:rPr>
              <w:t>5个工作日（中标通知书发出后按交货通知书交货，以交货通知发出起算）。</w:t>
            </w:r>
          </w:p>
        </w:tc>
      </w:tr>
      <w:tr>
        <w:tblPrEx>
          <w:tblCellMar>
            <w:top w:w="0" w:type="dxa"/>
            <w:left w:w="108" w:type="dxa"/>
            <w:bottom w:w="0" w:type="dxa"/>
            <w:right w:w="108" w:type="dxa"/>
          </w:tblCellMar>
        </w:tblPrEx>
        <w:trPr>
          <w:trHeight w:val="14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highlight w:val="none"/>
              </w:rPr>
              <w:t>资金来源</w:t>
            </w:r>
            <w:r>
              <w:rPr>
                <w:rFonts w:hint="eastAsia" w:ascii="宋体" w:hAnsi="宋体"/>
                <w:highlight w:val="none"/>
              </w:rPr>
              <w:t>及落实情况</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企业自筹，已落实。</w:t>
            </w:r>
          </w:p>
        </w:tc>
      </w:tr>
      <w:tr>
        <w:tblPrEx>
          <w:tblCellMar>
            <w:top w:w="0" w:type="dxa"/>
            <w:left w:w="108" w:type="dxa"/>
            <w:bottom w:w="0" w:type="dxa"/>
            <w:right w:w="108" w:type="dxa"/>
          </w:tblCellMar>
        </w:tblPrEx>
        <w:trPr>
          <w:trHeight w:val="895"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1.8</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招标含税上限控制价</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right="0"/>
              <w:rPr>
                <w:rFonts w:ascii="宋体" w:hAnsi="宋体"/>
                <w:highlight w:val="none"/>
              </w:rPr>
            </w:pPr>
            <w:r>
              <w:rPr>
                <w:rFonts w:hint="eastAsia" w:ascii="宋体" w:hAnsi="宋体"/>
                <w:highlight w:val="none"/>
              </w:rPr>
              <w:t>招标含税上限控制价：</w:t>
            </w:r>
          </w:p>
          <w:p>
            <w:pPr>
              <w:spacing w:before="0" w:after="0" w:afterAutospacing="0"/>
              <w:ind w:left="0" w:right="0" w:firstLine="0"/>
              <w:rPr>
                <w:rFonts w:ascii="宋体" w:hAnsi="宋体"/>
                <w:highlight w:val="none"/>
              </w:rPr>
            </w:pPr>
            <w:r>
              <w:rPr>
                <w:rFonts w:hint="eastAsia" w:ascii="宋体" w:hAnsi="宋体"/>
                <w:highlight w:val="none"/>
              </w:rPr>
              <w:t>本项目</w:t>
            </w:r>
            <w:r>
              <w:rPr>
                <w:rFonts w:hint="eastAsia" w:ascii="宋体" w:hAnsi="宋体"/>
                <w:b/>
                <w:bCs/>
                <w:highlight w:val="none"/>
                <w:u w:val="single"/>
              </w:rPr>
              <w:t>招标含税上限控制价</w:t>
            </w:r>
            <w:r>
              <w:rPr>
                <w:rFonts w:hint="eastAsia" w:ascii="宋体" w:hAnsi="宋体"/>
                <w:highlight w:val="none"/>
              </w:rPr>
              <w:t>为人民币</w:t>
            </w:r>
            <w:r>
              <w:rPr>
                <w:rFonts w:hint="eastAsia" w:ascii="宋体" w:hAnsi="宋体"/>
                <w:highlight w:val="none"/>
                <w:u w:val="single"/>
              </w:rPr>
              <w:t xml:space="preserve"> </w:t>
            </w:r>
            <w:r>
              <w:rPr>
                <w:rFonts w:hint="eastAsia" w:ascii="宋体" w:hAnsi="宋体"/>
                <w:b/>
                <w:highlight w:val="none"/>
                <w:u w:val="single"/>
              </w:rPr>
              <w:t>贰佰万元整（￥200</w:t>
            </w:r>
            <w:r>
              <w:rPr>
                <w:rFonts w:ascii="宋体" w:hAnsi="宋体"/>
                <w:b/>
                <w:highlight w:val="none"/>
                <w:u w:val="single"/>
              </w:rPr>
              <w:t>0000.00</w:t>
            </w:r>
            <w:r>
              <w:rPr>
                <w:rFonts w:hint="eastAsia" w:ascii="宋体" w:hAnsi="宋体"/>
                <w:b/>
                <w:highlight w:val="none"/>
                <w:u w:val="single"/>
              </w:rPr>
              <w:t>）</w:t>
            </w:r>
            <w:r>
              <w:rPr>
                <w:rFonts w:hint="eastAsia" w:ascii="宋体" w:hAnsi="宋体"/>
                <w:highlight w:val="none"/>
                <w:u w:val="single"/>
              </w:rPr>
              <w:t xml:space="preserve"> </w:t>
            </w:r>
            <w:r>
              <w:rPr>
                <w:rFonts w:hint="eastAsia" w:ascii="宋体" w:hAnsi="宋体"/>
                <w:highlight w:val="none"/>
              </w:rPr>
              <w:t>。投标报价高于招标含税上限控制价的投标文件将按否决投标处理。</w:t>
            </w:r>
          </w:p>
        </w:tc>
      </w:tr>
      <w:tr>
        <w:tblPrEx>
          <w:tblCellMar>
            <w:top w:w="0" w:type="dxa"/>
            <w:left w:w="108" w:type="dxa"/>
            <w:bottom w:w="0" w:type="dxa"/>
            <w:right w:w="108" w:type="dxa"/>
          </w:tblCellMar>
        </w:tblPrEx>
        <w:trPr>
          <w:trHeight w:val="4968"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highlight w:val="none"/>
              </w:rPr>
              <w:t>投标人应具备的资格条件</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left"/>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投标人为中华人民共和国境内依法设立的法人或其他组织（若以分公司名义参与投标，必须出具总公司授权参与的证明）。营业执照经营范围至少包括下列范围之一：①食品，②粮油制品，③奶制品等类似范围。</w:t>
            </w:r>
          </w:p>
          <w:p>
            <w:pPr>
              <w:spacing w:before="0" w:after="0" w:afterAutospacing="0"/>
              <w:ind w:left="0" w:right="0" w:firstLine="0"/>
              <w:jc w:val="left"/>
              <w:rPr>
                <w:rFonts w:ascii="宋体" w:hAnsi="宋体"/>
                <w:highlight w:val="none"/>
              </w:rPr>
            </w:pPr>
            <w:r>
              <w:rPr>
                <w:rFonts w:hint="eastAsia" w:ascii="宋体" w:hAnsi="宋体"/>
                <w:highlight w:val="none"/>
              </w:rPr>
              <w:t>（2）投标人须具有有效的《食品经营许可证》</w:t>
            </w:r>
            <w:r>
              <w:rPr>
                <w:rFonts w:hint="eastAsia" w:ascii="宋体" w:hAnsi="宋体"/>
                <w:b/>
                <w:highlight w:val="none"/>
              </w:rPr>
              <w:t>（如《食品经营许可证》为下属门店或机构的，则由投标人出具相关证明）</w:t>
            </w:r>
            <w:r>
              <w:rPr>
                <w:rFonts w:hint="eastAsia" w:ascii="宋体" w:hAnsi="宋体"/>
                <w:highlight w:val="none"/>
              </w:rPr>
              <w:t>或仅销售预包装食品经营者备案等类似证明材料。</w:t>
            </w:r>
          </w:p>
          <w:p>
            <w:pPr>
              <w:spacing w:before="0" w:after="0" w:afterAutospacing="0"/>
              <w:ind w:left="0" w:right="0" w:firstLine="0"/>
              <w:jc w:val="left"/>
              <w:rPr>
                <w:rFonts w:ascii="宋体" w:hAnsi="宋体"/>
                <w:highlight w:val="none"/>
              </w:rPr>
            </w:pPr>
            <w:r>
              <w:rPr>
                <w:rFonts w:hint="eastAsia" w:ascii="宋体" w:hAnsi="宋体"/>
                <w:highlight w:val="none"/>
              </w:rPr>
              <w:t>（3）投标人没有处于被广西行政主管部门或业主取消投标资格的处罚期内，且没有处于被责令停业，财产被接管、破产状态，投标截止时间前3年内没有骗取中标、严重违约或重大质量安全责任事故的情况；</w:t>
            </w:r>
          </w:p>
          <w:p>
            <w:pPr>
              <w:spacing w:before="0" w:after="0" w:afterAutospacing="0"/>
              <w:ind w:left="0" w:right="0" w:firstLine="0"/>
              <w:rPr>
                <w:rFonts w:ascii="宋体" w:hAnsi="宋体"/>
                <w:highlight w:val="none"/>
              </w:rPr>
            </w:pPr>
            <w:r>
              <w:rPr>
                <w:rFonts w:hint="eastAsia" w:ascii="宋体" w:hAnsi="宋体"/>
                <w:highlight w:val="none"/>
              </w:rPr>
              <w:t>（</w:t>
            </w:r>
            <w:r>
              <w:rPr>
                <w:rFonts w:ascii="宋体" w:hAnsi="宋体"/>
                <w:highlight w:val="none"/>
              </w:rPr>
              <w:t>4</w:t>
            </w:r>
            <w:r>
              <w:rPr>
                <w:rFonts w:hint="eastAsia" w:ascii="宋体" w:hAnsi="宋体"/>
                <w:highlight w:val="none"/>
              </w:rPr>
              <w:t>）单位负责人为同一人或者存在控股、管理关系的不同单位，不得参加同一标段投标或者未划分标段的同一招标项目投标。</w:t>
            </w:r>
          </w:p>
          <w:p>
            <w:pPr>
              <w:spacing w:before="0" w:after="0" w:afterAutospacing="0"/>
              <w:ind w:left="0" w:right="0" w:firstLine="0"/>
              <w:rPr>
                <w:rFonts w:ascii="宋体" w:hAnsi="宋体"/>
                <w:highlight w:val="none"/>
              </w:rPr>
            </w:pPr>
            <w:r>
              <w:rPr>
                <w:rFonts w:hint="eastAsia" w:ascii="宋体" w:hAnsi="宋体"/>
                <w:highlight w:val="none"/>
              </w:rPr>
              <w:t>（5）本项目不接受联合体投标。</w:t>
            </w:r>
          </w:p>
        </w:tc>
      </w:tr>
      <w:tr>
        <w:tblPrEx>
          <w:tblCellMar>
            <w:top w:w="0" w:type="dxa"/>
            <w:left w:w="108" w:type="dxa"/>
            <w:bottom w:w="0" w:type="dxa"/>
            <w:right w:w="108" w:type="dxa"/>
          </w:tblCellMar>
        </w:tblPrEx>
        <w:trPr>
          <w:trHeight w:val="241"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highlight w:val="none"/>
              </w:rPr>
            </w:pPr>
            <w:r>
              <w:rPr>
                <w:rFonts w:hint="eastAsia"/>
                <w:highlight w:val="none"/>
              </w:rPr>
              <w:t>投标人要求澄清招标文件</w:t>
            </w:r>
          </w:p>
          <w:p>
            <w:pPr>
              <w:spacing w:before="0" w:after="0" w:afterAutospacing="0"/>
              <w:ind w:left="0" w:right="0" w:firstLine="0"/>
              <w:rPr>
                <w:rFonts w:ascii="宋体" w:hAnsi="宋体"/>
                <w:highlight w:val="none"/>
              </w:rPr>
            </w:pP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对招标文件提出异议或疑问的截止时间：投标截止时间10日前，即</w:t>
            </w:r>
            <w:r>
              <w:rPr>
                <w:rFonts w:hint="eastAsia" w:ascii="宋体" w:hAnsi="宋体"/>
                <w:highlight w:val="none"/>
                <w:u w:val="single"/>
              </w:rPr>
              <w:t xml:space="preserve"> </w:t>
            </w:r>
            <w:r>
              <w:rPr>
                <w:rFonts w:hint="eastAsia" w:ascii="宋体" w:hAnsi="宋体"/>
                <w:highlight w:val="none"/>
                <w:u w:val="single"/>
                <w:lang w:val="en-US" w:eastAsia="zh-CN"/>
              </w:rPr>
              <w:t>2024年5月7日前</w:t>
            </w:r>
            <w:r>
              <w:rPr>
                <w:rFonts w:hint="eastAsia" w:ascii="宋体" w:hAnsi="宋体"/>
                <w:highlight w:val="none"/>
                <w:u w:val="single"/>
              </w:rPr>
              <w:t xml:space="preserve"> </w:t>
            </w:r>
            <w:r>
              <w:rPr>
                <w:rFonts w:hint="eastAsia" w:ascii="宋体" w:hAnsi="宋体"/>
                <w:highlight w:val="none"/>
              </w:rPr>
              <w:t>；</w:t>
            </w:r>
          </w:p>
          <w:p>
            <w:pPr>
              <w:spacing w:before="0" w:after="0" w:afterAutospacing="0" w:line="276" w:lineRule="auto"/>
              <w:ind w:left="0" w:right="0" w:firstLine="0"/>
              <w:rPr>
                <w:rFonts w:ascii="宋体" w:hAnsi="宋体"/>
                <w:highlight w:val="none"/>
              </w:rPr>
            </w:pPr>
            <w:r>
              <w:rPr>
                <w:rFonts w:hint="eastAsia" w:ascii="宋体" w:hAnsi="宋体"/>
                <w:highlight w:val="none"/>
              </w:rPr>
              <w:t>投标人不在规定期限内提出，招标人有权不予答复，或答复后投标截止时间由招标人确定是否顺延。</w:t>
            </w:r>
          </w:p>
          <w:p>
            <w:pPr>
              <w:spacing w:before="0" w:after="0" w:afterAutospacing="0"/>
              <w:ind w:left="0" w:right="0" w:firstLine="0"/>
              <w:rPr>
                <w:rFonts w:ascii="宋体" w:hAnsi="宋体"/>
                <w:highlight w:val="none"/>
              </w:rPr>
            </w:pPr>
            <w:r>
              <w:rPr>
                <w:rFonts w:hint="eastAsia" w:ascii="宋体" w:hAnsi="宋体"/>
                <w:highlight w:val="none"/>
              </w:rPr>
              <w:t>形式：以书面形式提交招标代理机构，同时发送电子版，</w:t>
            </w:r>
          </w:p>
          <w:p>
            <w:pPr>
              <w:spacing w:before="0" w:after="0" w:afterAutospacing="0"/>
              <w:ind w:left="0" w:right="0" w:firstLine="0"/>
              <w:rPr>
                <w:rFonts w:ascii="宋体" w:hAnsi="宋体"/>
                <w:highlight w:val="none"/>
                <w:u w:val="single"/>
              </w:rPr>
            </w:pPr>
            <w:r>
              <w:rPr>
                <w:rFonts w:hint="eastAsia" w:ascii="宋体" w:hAnsi="宋体"/>
                <w:highlight w:val="none"/>
              </w:rPr>
              <w:t>接收邮箱：</w:t>
            </w:r>
            <w:r>
              <w:rPr>
                <w:rFonts w:hint="eastAsia" w:ascii="宋体" w:hAnsi="宋体"/>
                <w:highlight w:val="none"/>
                <w:u w:val="single"/>
              </w:rPr>
              <w:t xml:space="preserve">  ctzx0601@163.com  </w:t>
            </w:r>
          </w:p>
        </w:tc>
      </w:tr>
      <w:tr>
        <w:tblPrEx>
          <w:tblCellMar>
            <w:top w:w="0" w:type="dxa"/>
            <w:left w:w="108" w:type="dxa"/>
            <w:bottom w:w="0" w:type="dxa"/>
            <w:right w:w="108" w:type="dxa"/>
          </w:tblCellMar>
        </w:tblPrEx>
        <w:trPr>
          <w:trHeight w:val="241"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highlight w:val="none"/>
              </w:rPr>
            </w:pPr>
            <w:r>
              <w:rPr>
                <w:rFonts w:hint="eastAsia"/>
                <w:highlight w:val="none"/>
              </w:rPr>
              <w:t>招标文件澄清发布方式</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投标截止时间10日前。投标人不在规定期限内提出，南宁轨道交通</w:t>
            </w:r>
          </w:p>
          <w:p>
            <w:pPr>
              <w:spacing w:before="0" w:after="0" w:afterAutospacing="0" w:line="240" w:lineRule="auto"/>
              <w:ind w:left="0" w:right="0" w:firstLine="0"/>
              <w:rPr>
                <w:rFonts w:ascii="宋体" w:hAnsi="宋体"/>
                <w:highlight w:val="none"/>
              </w:rPr>
            </w:pPr>
            <w:r>
              <w:rPr>
                <w:rFonts w:hint="eastAsia" w:ascii="宋体" w:hAnsi="宋体"/>
                <w:highlight w:val="none"/>
              </w:rPr>
              <w:t>运营有限公司工会委员会有权不予答复，或答复后投标截止时间由南</w:t>
            </w:r>
          </w:p>
          <w:p>
            <w:pPr>
              <w:spacing w:before="0" w:after="0" w:afterAutospacing="0" w:line="240" w:lineRule="auto"/>
              <w:ind w:left="0" w:right="0" w:firstLine="0"/>
              <w:rPr>
                <w:rFonts w:ascii="宋体" w:hAnsi="宋体"/>
                <w:highlight w:val="none"/>
              </w:rPr>
            </w:pPr>
            <w:r>
              <w:rPr>
                <w:rFonts w:hint="eastAsia" w:ascii="宋体" w:hAnsi="宋体"/>
                <w:highlight w:val="none"/>
              </w:rPr>
              <w:t>宁轨道交通运营有限公司工会委员会确定是否顺延。</w:t>
            </w:r>
          </w:p>
          <w:p>
            <w:pPr>
              <w:spacing w:before="0" w:after="0" w:afterAutospacing="0" w:line="276" w:lineRule="auto"/>
              <w:ind w:left="0" w:right="0" w:firstLine="0"/>
              <w:rPr>
                <w:rFonts w:ascii="宋体" w:hAnsi="宋体"/>
                <w:highlight w:val="none"/>
              </w:rPr>
            </w:pPr>
            <w:r>
              <w:rPr>
                <w:rFonts w:hint="eastAsia" w:ascii="宋体" w:hAnsi="宋体"/>
                <w:highlight w:val="none"/>
              </w:rPr>
              <w:t>澄清在广西壮族自治区招标投标公共服务平台（http://zbtb.gxi.gov.cn:9000/）、南宁轨道交通集团有限责任公司官网、e车网（http://www.ecrrc.com/）上发布。</w:t>
            </w:r>
          </w:p>
        </w:tc>
      </w:tr>
      <w:tr>
        <w:tblPrEx>
          <w:tblCellMar>
            <w:top w:w="0" w:type="dxa"/>
            <w:left w:w="108" w:type="dxa"/>
            <w:bottom w:w="0" w:type="dxa"/>
            <w:right w:w="108" w:type="dxa"/>
          </w:tblCellMar>
        </w:tblPrEx>
        <w:trPr>
          <w:trHeight w:val="241"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highlight w:val="none"/>
              </w:rPr>
            </w:pPr>
            <w:r>
              <w:rPr>
                <w:rFonts w:hint="eastAsia"/>
                <w:highlight w:val="none"/>
              </w:rPr>
              <w:t>投标人确认收到澄清的方式</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不需要确认。澄清文件在发布公告的网站上发布之日起，视为投标人已收到该澄清。投标人未及时关注招标人在网站上发布的澄清文件造成的损失，由投标人自行负责。</w:t>
            </w:r>
          </w:p>
        </w:tc>
      </w:tr>
      <w:tr>
        <w:tblPrEx>
          <w:tblCellMar>
            <w:top w:w="0" w:type="dxa"/>
            <w:left w:w="108" w:type="dxa"/>
            <w:bottom w:w="0" w:type="dxa"/>
            <w:right w:w="108" w:type="dxa"/>
          </w:tblCellMar>
        </w:tblPrEx>
        <w:trPr>
          <w:trHeight w:val="1378"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10</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构成投标文件的组成</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投标文件组成部分：</w:t>
            </w:r>
            <w:r>
              <w:rPr>
                <w:rFonts w:hint="eastAsia"/>
                <w:highlight w:val="none"/>
              </w:rPr>
              <w:t>资格审查文件、资信文件、技术文件、报价文件</w:t>
            </w:r>
          </w:p>
          <w:p>
            <w:pPr>
              <w:spacing w:before="0" w:after="0" w:afterAutospacing="0" w:line="240" w:lineRule="auto"/>
              <w:ind w:left="0" w:right="0" w:firstLine="0"/>
              <w:rPr>
                <w:b/>
                <w:highlight w:val="none"/>
              </w:rPr>
            </w:pPr>
            <w:r>
              <w:rPr>
                <w:rFonts w:hint="eastAsia"/>
                <w:b/>
                <w:highlight w:val="none"/>
              </w:rPr>
              <w:t>资格审查文件</w:t>
            </w:r>
          </w:p>
          <w:p>
            <w:pPr>
              <w:spacing w:before="0" w:after="0" w:afterAutospacing="0" w:line="240" w:lineRule="auto"/>
              <w:ind w:left="0" w:right="0" w:firstLine="0"/>
              <w:rPr>
                <w:highlight w:val="none"/>
              </w:rPr>
            </w:pPr>
            <w:r>
              <w:rPr>
                <w:rFonts w:hint="eastAsia"/>
                <w:highlight w:val="none"/>
              </w:rPr>
              <w:t>（1）法定代表人授权书（格式见A1）及法定代表人资格证明书（格式见A2），法定代表人及委托代理人身份证复印件；（如无授权时，只需提供法定代表人资格证明书和法定代表人身份证复印件。）</w:t>
            </w:r>
          </w:p>
          <w:p>
            <w:pPr>
              <w:spacing w:before="0" w:after="0" w:afterAutospacing="0" w:line="240" w:lineRule="auto"/>
              <w:ind w:left="0" w:right="0" w:firstLine="0"/>
              <w:rPr>
                <w:rFonts w:ascii="宋体" w:hAnsi="宋体"/>
                <w:highlight w:val="none"/>
              </w:rPr>
            </w:pPr>
            <w:r>
              <w:rPr>
                <w:rFonts w:hint="eastAsia"/>
                <w:highlight w:val="none"/>
              </w:rPr>
              <w:t>（</w:t>
            </w:r>
            <w:r>
              <w:rPr>
                <w:highlight w:val="none"/>
              </w:rPr>
              <w:t>2</w:t>
            </w:r>
            <w:r>
              <w:rPr>
                <w:rFonts w:hint="eastAsia"/>
                <w:highlight w:val="none"/>
              </w:rPr>
              <w:t>）投标人有效的</w:t>
            </w:r>
            <w:r>
              <w:rPr>
                <w:rFonts w:hint="eastAsia" w:ascii="宋体" w:hAnsi="宋体"/>
                <w:highlight w:val="none"/>
              </w:rPr>
              <w:t>营业执照副本或事业单位法人证书等证明文件复印件；</w:t>
            </w:r>
          </w:p>
          <w:p>
            <w:pPr>
              <w:spacing w:before="0" w:after="0" w:afterAutospacing="0" w:line="240" w:lineRule="auto"/>
              <w:ind w:left="0" w:right="0" w:firstLine="0"/>
              <w:rPr>
                <w:highlight w:val="none"/>
              </w:rPr>
            </w:pPr>
            <w:r>
              <w:rPr>
                <w:rFonts w:hint="eastAsia"/>
                <w:highlight w:val="none"/>
              </w:rPr>
              <w:t>（3）投标人须具有有效的《食品经营许可证》</w:t>
            </w:r>
            <w:r>
              <w:rPr>
                <w:rFonts w:hint="eastAsia" w:ascii="宋体" w:hAnsi="宋体"/>
                <w:b/>
                <w:highlight w:val="none"/>
              </w:rPr>
              <w:t>（如《食品经营许可证》为下属门店或机构的，则由投标人出具相关证明）</w:t>
            </w:r>
            <w:r>
              <w:rPr>
                <w:rFonts w:hint="eastAsia"/>
                <w:highlight w:val="none"/>
              </w:rPr>
              <w:t>或仅销售预包装食品经营者备案等类似证明材料；</w:t>
            </w:r>
          </w:p>
          <w:p>
            <w:pPr>
              <w:spacing w:before="0" w:after="0" w:afterAutospacing="0" w:line="240" w:lineRule="auto"/>
              <w:ind w:left="0" w:right="0" w:firstLine="0"/>
              <w:rPr>
                <w:highlight w:val="none"/>
              </w:rPr>
            </w:pPr>
            <w:r>
              <w:rPr>
                <w:rFonts w:hint="eastAsia"/>
                <w:highlight w:val="none"/>
              </w:rPr>
              <w:t>（4）承诺书（格式见A3）；</w:t>
            </w:r>
          </w:p>
          <w:p>
            <w:pPr>
              <w:spacing w:before="0" w:after="0" w:afterAutospacing="0" w:line="240" w:lineRule="auto"/>
              <w:ind w:left="0" w:right="0" w:firstLine="0"/>
              <w:rPr>
                <w:b/>
                <w:sz w:val="24"/>
                <w:szCs w:val="24"/>
                <w:highlight w:val="none"/>
              </w:rPr>
            </w:pPr>
            <w:r>
              <w:rPr>
                <w:rFonts w:hint="eastAsia"/>
                <w:highlight w:val="none"/>
              </w:rPr>
              <w:t>（5）投标人认为应提交的其他投标资料（如有）。</w:t>
            </w:r>
          </w:p>
          <w:p>
            <w:pPr>
              <w:spacing w:before="0" w:after="0" w:afterAutospacing="0" w:line="240" w:lineRule="auto"/>
              <w:ind w:left="0" w:right="0" w:firstLine="0"/>
              <w:rPr>
                <w:b/>
                <w:highlight w:val="none"/>
              </w:rPr>
            </w:pPr>
            <w:r>
              <w:rPr>
                <w:rFonts w:hint="eastAsia"/>
                <w:b/>
                <w:highlight w:val="none"/>
              </w:rPr>
              <w:t>资信文件</w:t>
            </w:r>
          </w:p>
          <w:p>
            <w:pPr>
              <w:spacing w:before="0" w:after="0" w:afterAutospacing="0"/>
              <w:ind w:left="0" w:right="0" w:firstLine="0"/>
              <w:rPr>
                <w:highlight w:val="none"/>
              </w:rPr>
            </w:pPr>
            <w:r>
              <w:rPr>
                <w:rFonts w:hint="eastAsia"/>
                <w:highlight w:val="none"/>
              </w:rPr>
              <w:t>（1）财务状况；（如有）</w:t>
            </w:r>
          </w:p>
          <w:p>
            <w:pPr>
              <w:spacing w:before="0" w:after="0" w:afterAutospacing="0"/>
              <w:ind w:left="0" w:right="0" w:firstLine="0"/>
              <w:rPr>
                <w:highlight w:val="none"/>
              </w:rPr>
            </w:pPr>
            <w:r>
              <w:rPr>
                <w:rFonts w:hint="eastAsia"/>
                <w:highlight w:val="none"/>
              </w:rPr>
              <w:t>（2）纳税信用等级；（如有）</w:t>
            </w:r>
          </w:p>
          <w:p>
            <w:pPr>
              <w:spacing w:before="0" w:after="0" w:afterAutospacing="0"/>
              <w:ind w:left="0" w:right="0" w:firstLine="0"/>
              <w:rPr>
                <w:highlight w:val="none"/>
              </w:rPr>
            </w:pPr>
            <w:r>
              <w:rPr>
                <w:rFonts w:hint="eastAsia"/>
                <w:highlight w:val="none"/>
              </w:rPr>
              <w:t>（3）企业管理体系认证；（如有）</w:t>
            </w:r>
          </w:p>
          <w:p>
            <w:pPr>
              <w:spacing w:before="0" w:after="0" w:afterAutospacing="0"/>
              <w:ind w:left="0" w:right="0" w:firstLine="0"/>
              <w:rPr>
                <w:highlight w:val="none"/>
              </w:rPr>
            </w:pPr>
            <w:r>
              <w:rPr>
                <w:rFonts w:hint="eastAsia"/>
                <w:highlight w:val="none"/>
              </w:rPr>
              <w:t>（4）</w:t>
            </w:r>
            <w:r>
              <w:rPr>
                <w:rFonts w:hint="eastAsia" w:ascii="宋体" w:hAnsi="宋体"/>
                <w:highlight w:val="none"/>
              </w:rPr>
              <w:t>供货能力保障</w:t>
            </w:r>
            <w:r>
              <w:rPr>
                <w:rFonts w:hint="eastAsia"/>
                <w:highlight w:val="none"/>
              </w:rPr>
              <w:t>；（如有）</w:t>
            </w:r>
          </w:p>
          <w:p>
            <w:pPr>
              <w:spacing w:before="0" w:after="0" w:afterAutospacing="0"/>
              <w:ind w:left="0" w:right="0" w:firstLine="0"/>
              <w:rPr>
                <w:highlight w:val="none"/>
              </w:rPr>
            </w:pPr>
            <w:r>
              <w:rPr>
                <w:rFonts w:hint="eastAsia"/>
                <w:highlight w:val="none"/>
              </w:rPr>
              <w:t>（5）信誉；（如有）</w:t>
            </w:r>
          </w:p>
          <w:p>
            <w:pPr>
              <w:spacing w:before="0" w:after="0" w:afterAutospacing="0"/>
              <w:ind w:left="0" w:right="0" w:firstLine="0"/>
              <w:rPr>
                <w:highlight w:val="none"/>
              </w:rPr>
            </w:pPr>
            <w:r>
              <w:rPr>
                <w:rFonts w:hint="eastAsia"/>
                <w:highlight w:val="none"/>
              </w:rPr>
              <w:t>（6）投标人认为应提交的其他投标资料。（如有）</w:t>
            </w:r>
          </w:p>
          <w:p>
            <w:pPr>
              <w:spacing w:before="0" w:after="0" w:afterAutospacing="0" w:line="240" w:lineRule="auto"/>
              <w:ind w:left="0" w:right="0" w:firstLine="0"/>
              <w:rPr>
                <w:b/>
                <w:highlight w:val="none"/>
              </w:rPr>
            </w:pPr>
            <w:r>
              <w:rPr>
                <w:rFonts w:hint="eastAsia"/>
                <w:b/>
                <w:highlight w:val="none"/>
              </w:rPr>
              <w:t>技术文件</w:t>
            </w:r>
          </w:p>
          <w:p>
            <w:pPr>
              <w:spacing w:before="0" w:after="0" w:afterAutospacing="0"/>
              <w:ind w:left="0" w:right="0" w:firstLine="0"/>
              <w:rPr>
                <w:highlight w:val="none"/>
              </w:rPr>
            </w:pPr>
            <w:r>
              <w:rPr>
                <w:rFonts w:hint="eastAsia"/>
                <w:highlight w:val="none"/>
              </w:rPr>
              <w:t>（1）技术响应表（格式见</w:t>
            </w:r>
            <w:r>
              <w:rPr>
                <w:highlight w:val="none"/>
              </w:rPr>
              <w:t>C1</w:t>
            </w:r>
            <w:r>
              <w:rPr>
                <w:rFonts w:hint="eastAsia"/>
                <w:highlight w:val="none"/>
              </w:rPr>
              <w:t>）；</w:t>
            </w:r>
          </w:p>
          <w:p>
            <w:pPr>
              <w:spacing w:before="0" w:after="0" w:afterAutospacing="0"/>
              <w:ind w:left="0" w:right="0" w:firstLine="0"/>
              <w:rPr>
                <w:highlight w:val="none"/>
              </w:rPr>
            </w:pPr>
            <w:r>
              <w:rPr>
                <w:rFonts w:hint="eastAsia"/>
                <w:highlight w:val="none"/>
              </w:rPr>
              <w:t>（2）合同条款响应表（格式见</w:t>
            </w:r>
            <w:r>
              <w:rPr>
                <w:highlight w:val="none"/>
              </w:rPr>
              <w:t>C2</w:t>
            </w:r>
            <w:r>
              <w:rPr>
                <w:rFonts w:hint="eastAsia"/>
                <w:highlight w:val="none"/>
              </w:rPr>
              <w:t>）；</w:t>
            </w:r>
          </w:p>
          <w:p>
            <w:pPr>
              <w:spacing w:before="0" w:after="0" w:afterAutospacing="0"/>
              <w:ind w:left="0" w:right="0" w:firstLine="0"/>
              <w:rPr>
                <w:highlight w:val="none"/>
              </w:rPr>
            </w:pPr>
            <w:r>
              <w:rPr>
                <w:rFonts w:hint="eastAsia"/>
                <w:highlight w:val="none"/>
              </w:rPr>
              <w:t>（3）按期交货承诺书（格式见C3）；</w:t>
            </w:r>
          </w:p>
          <w:p>
            <w:pPr>
              <w:spacing w:before="0" w:after="0" w:afterAutospacing="0"/>
              <w:ind w:left="0" w:right="0" w:firstLine="0"/>
              <w:rPr>
                <w:highlight w:val="none"/>
              </w:rPr>
            </w:pPr>
            <w:r>
              <w:rPr>
                <w:rFonts w:hint="eastAsia"/>
                <w:highlight w:val="none"/>
              </w:rPr>
              <w:t>（4）投标人认为应提交的其他投标资料。（如有）</w:t>
            </w:r>
          </w:p>
          <w:p>
            <w:pPr>
              <w:spacing w:before="0" w:after="0" w:afterAutospacing="0" w:line="240" w:lineRule="auto"/>
              <w:ind w:left="0" w:right="0" w:firstLine="0"/>
              <w:rPr>
                <w:b/>
                <w:highlight w:val="none"/>
              </w:rPr>
            </w:pPr>
            <w:r>
              <w:rPr>
                <w:rFonts w:hint="eastAsia"/>
                <w:b/>
                <w:highlight w:val="none"/>
              </w:rPr>
              <w:t>报价文件</w:t>
            </w:r>
          </w:p>
          <w:p>
            <w:pPr>
              <w:spacing w:before="0" w:after="0" w:afterAutospacing="0" w:line="240" w:lineRule="auto"/>
              <w:ind w:left="0" w:right="0" w:firstLine="0"/>
              <w:rPr>
                <w:highlight w:val="none"/>
              </w:rPr>
            </w:pPr>
            <w:r>
              <w:rPr>
                <w:rFonts w:hint="eastAsia"/>
                <w:highlight w:val="none"/>
              </w:rPr>
              <w:t>（</w:t>
            </w:r>
            <w:r>
              <w:rPr>
                <w:highlight w:val="none"/>
              </w:rPr>
              <w:t>1</w:t>
            </w:r>
            <w:r>
              <w:rPr>
                <w:rFonts w:hint="eastAsia"/>
                <w:highlight w:val="none"/>
              </w:rPr>
              <w:t>）开标一览表（格式见D1）；</w:t>
            </w:r>
          </w:p>
          <w:p>
            <w:pPr>
              <w:spacing w:before="0" w:after="0" w:afterAutospacing="0" w:line="240" w:lineRule="auto"/>
              <w:ind w:left="0" w:right="0" w:firstLine="0"/>
              <w:rPr>
                <w:highlight w:val="none"/>
              </w:rPr>
            </w:pPr>
            <w:r>
              <w:rPr>
                <w:rFonts w:hint="eastAsia"/>
                <w:highlight w:val="none"/>
              </w:rPr>
              <w:t>（</w:t>
            </w:r>
            <w:r>
              <w:rPr>
                <w:highlight w:val="none"/>
              </w:rPr>
              <w:t>2</w:t>
            </w:r>
            <w:r>
              <w:rPr>
                <w:rFonts w:hint="eastAsia"/>
                <w:highlight w:val="none"/>
              </w:rPr>
              <w:t>）投标函（格式见D2）；</w:t>
            </w:r>
          </w:p>
          <w:p>
            <w:pPr>
              <w:spacing w:before="0" w:after="0" w:afterAutospacing="0" w:line="240" w:lineRule="auto"/>
              <w:ind w:left="0" w:right="0" w:firstLine="0"/>
              <w:rPr>
                <w:highlight w:val="none"/>
              </w:rPr>
            </w:pPr>
            <w:r>
              <w:rPr>
                <w:rFonts w:hint="eastAsia"/>
                <w:highlight w:val="none"/>
              </w:rPr>
              <w:t>（</w:t>
            </w:r>
            <w:r>
              <w:rPr>
                <w:highlight w:val="none"/>
              </w:rPr>
              <w:t>3</w:t>
            </w:r>
            <w:r>
              <w:rPr>
                <w:rFonts w:hint="eastAsia"/>
                <w:highlight w:val="none"/>
              </w:rPr>
              <w:t>）投标报价表（格式见D3）；</w:t>
            </w:r>
          </w:p>
          <w:p>
            <w:pPr>
              <w:spacing w:before="0" w:after="0" w:afterAutospacing="0" w:line="240" w:lineRule="auto"/>
              <w:ind w:left="0" w:right="0" w:firstLine="0"/>
              <w:rPr>
                <w:rFonts w:ascii="宋体" w:hAnsi="宋体"/>
                <w:highlight w:val="none"/>
              </w:rPr>
            </w:pPr>
            <w:r>
              <w:rPr>
                <w:rFonts w:hint="eastAsia"/>
                <w:highlight w:val="none"/>
              </w:rPr>
              <w:t>（4）投标人认为应提交的其他投标资料。（如有）</w:t>
            </w:r>
          </w:p>
        </w:tc>
      </w:tr>
      <w:tr>
        <w:tblPrEx>
          <w:tblCellMar>
            <w:top w:w="0" w:type="dxa"/>
            <w:left w:w="108" w:type="dxa"/>
            <w:bottom w:w="0" w:type="dxa"/>
            <w:right w:w="108" w:type="dxa"/>
          </w:tblCellMar>
        </w:tblPrEx>
        <w:trPr>
          <w:trHeight w:val="70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投标报价</w:t>
            </w:r>
          </w:p>
        </w:tc>
        <w:tc>
          <w:tcPr>
            <w:tcW w:w="6447" w:type="dxa"/>
            <w:tcBorders>
              <w:top w:val="single" w:color="auto" w:sz="4" w:space="0"/>
              <w:left w:val="nil"/>
              <w:bottom w:val="single" w:color="auto" w:sz="4" w:space="0"/>
              <w:right w:val="single" w:color="auto" w:sz="4" w:space="0"/>
            </w:tcBorders>
            <w:vAlign w:val="center"/>
          </w:tcPr>
          <w:p>
            <w:pPr>
              <w:tabs>
                <w:tab w:val="left" w:pos="8364"/>
              </w:tabs>
              <w:spacing w:before="0" w:after="0" w:afterAutospacing="0"/>
              <w:ind w:left="0" w:right="0" w:firstLine="0"/>
              <w:rPr>
                <w:rFonts w:ascii="宋体" w:hAnsi="宋体"/>
                <w:highlight w:val="none"/>
              </w:rPr>
            </w:pPr>
            <w:r>
              <w:rPr>
                <w:rFonts w:hint="eastAsia"/>
                <w:highlight w:val="none"/>
              </w:rPr>
              <w:t>（1）</w:t>
            </w:r>
            <w:r>
              <w:rPr>
                <w:highlight w:val="none"/>
              </w:rPr>
              <w:t>本项目采用含</w:t>
            </w:r>
            <w:r>
              <w:rPr>
                <w:rFonts w:hint="eastAsia"/>
                <w:highlight w:val="none"/>
              </w:rPr>
              <w:t>增值</w:t>
            </w:r>
            <w:r>
              <w:rPr>
                <w:highlight w:val="none"/>
              </w:rPr>
              <w:t>税报价</w:t>
            </w:r>
            <w:r>
              <w:rPr>
                <w:rFonts w:hint="eastAsia"/>
                <w:highlight w:val="none"/>
              </w:rPr>
              <w:t>；</w:t>
            </w:r>
          </w:p>
          <w:p>
            <w:pPr>
              <w:spacing w:before="0" w:after="0" w:afterAutospacing="0"/>
              <w:ind w:left="0" w:right="0" w:firstLine="0"/>
              <w:rPr>
                <w:rFonts w:ascii="宋体" w:hAnsi="宋体"/>
                <w:highlight w:val="none"/>
              </w:rPr>
            </w:pPr>
            <w:r>
              <w:rPr>
                <w:rFonts w:hint="eastAsia" w:ascii="宋体" w:hAnsi="宋体"/>
                <w:highlight w:val="none"/>
              </w:rPr>
              <w:t>（2）投标人须按第六章《用户需求书》中的技术需求及数量表的顺序填报投标报价表，不允许打乱顺序。投标人应完整地填写招标文件中提供的“开标一览表”及“投标报价表”。</w:t>
            </w:r>
          </w:p>
        </w:tc>
      </w:tr>
      <w:tr>
        <w:tblPrEx>
          <w:tblCellMar>
            <w:top w:w="0" w:type="dxa"/>
            <w:left w:w="108" w:type="dxa"/>
            <w:bottom w:w="0" w:type="dxa"/>
            <w:right w:w="108" w:type="dxa"/>
          </w:tblCellMar>
        </w:tblPrEx>
        <w:trPr>
          <w:trHeight w:val="70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投标</w:t>
            </w:r>
            <w:r>
              <w:rPr>
                <w:rFonts w:hint="eastAsia"/>
                <w:highlight w:val="none"/>
              </w:rPr>
              <w:t>保证金</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不要求递交投标保证金</w:t>
            </w:r>
          </w:p>
        </w:tc>
      </w:tr>
      <w:tr>
        <w:tblPrEx>
          <w:tblCellMar>
            <w:top w:w="0" w:type="dxa"/>
            <w:left w:w="108" w:type="dxa"/>
            <w:bottom w:w="0" w:type="dxa"/>
            <w:right w:w="108" w:type="dxa"/>
          </w:tblCellMar>
        </w:tblPrEx>
        <w:trPr>
          <w:trHeight w:val="551" w:hRule="atLeast"/>
        </w:trPr>
        <w:tc>
          <w:tcPr>
            <w:tcW w:w="851"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15.1</w:t>
            </w:r>
          </w:p>
        </w:tc>
        <w:tc>
          <w:tcPr>
            <w:tcW w:w="1843" w:type="dxa"/>
            <w:tcBorders>
              <w:top w:val="single" w:color="auto" w:sz="4" w:space="0"/>
              <w:left w:val="nil"/>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投标</w:t>
            </w:r>
            <w:r>
              <w:rPr>
                <w:rFonts w:hint="eastAsia"/>
                <w:highlight w:val="none"/>
              </w:rPr>
              <w:t>有效期</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自投标截止时间起</w:t>
            </w:r>
            <w:r>
              <w:rPr>
                <w:rFonts w:hint="eastAsia" w:ascii="宋体" w:hAnsi="宋体"/>
                <w:b/>
                <w:bCs/>
                <w:highlight w:val="none"/>
                <w:u w:val="single"/>
              </w:rPr>
              <w:t>120</w:t>
            </w:r>
            <w:r>
              <w:rPr>
                <w:rFonts w:hint="eastAsia" w:ascii="宋体" w:hAnsi="宋体"/>
                <w:highlight w:val="none"/>
              </w:rPr>
              <w:t>天</w:t>
            </w:r>
          </w:p>
        </w:tc>
      </w:tr>
      <w:tr>
        <w:tblPrEx>
          <w:tblCellMar>
            <w:top w:w="0" w:type="dxa"/>
            <w:left w:w="108" w:type="dxa"/>
            <w:bottom w:w="0" w:type="dxa"/>
            <w:right w:w="108" w:type="dxa"/>
          </w:tblCellMar>
        </w:tblPrEx>
        <w:trPr>
          <w:trHeight w:val="241" w:hRule="atLeast"/>
        </w:trPr>
        <w:tc>
          <w:tcPr>
            <w:tcW w:w="851"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highlight w:val="none"/>
              </w:rPr>
            </w:pPr>
            <w:r>
              <w:rPr>
                <w:rFonts w:hint="eastAsia"/>
                <w:highlight w:val="none"/>
              </w:rPr>
              <w:t>投标文件份数</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正本1份，副本4份。</w:t>
            </w:r>
          </w:p>
        </w:tc>
      </w:tr>
      <w:tr>
        <w:tblPrEx>
          <w:tblCellMar>
            <w:top w:w="0" w:type="dxa"/>
            <w:left w:w="108" w:type="dxa"/>
            <w:bottom w:w="0" w:type="dxa"/>
            <w:right w:w="108" w:type="dxa"/>
          </w:tblCellMar>
        </w:tblPrEx>
        <w:trPr>
          <w:trHeight w:val="140" w:hRule="atLeast"/>
        </w:trPr>
        <w:tc>
          <w:tcPr>
            <w:tcW w:w="851"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电子文件</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1.投标人在递交投标文件时，同时递交投标文件电子版。</w:t>
            </w:r>
          </w:p>
          <w:p>
            <w:pPr>
              <w:spacing w:before="0" w:after="0" w:afterAutospacing="0" w:line="276" w:lineRule="auto"/>
              <w:ind w:left="0" w:right="0" w:firstLine="0"/>
              <w:rPr>
                <w:rFonts w:ascii="宋体" w:hAnsi="宋体"/>
                <w:highlight w:val="none"/>
              </w:rPr>
            </w:pPr>
            <w:r>
              <w:rPr>
                <w:rFonts w:hint="eastAsia" w:ascii="宋体" w:hAnsi="宋体"/>
                <w:highlight w:val="none"/>
              </w:rPr>
              <w:t>2.投标文件电子版内容：</w:t>
            </w:r>
            <w:r>
              <w:rPr>
                <w:rFonts w:ascii="宋体" w:hAnsi="宋体"/>
                <w:highlight w:val="none"/>
              </w:rPr>
              <w:t>资格</w:t>
            </w:r>
            <w:r>
              <w:rPr>
                <w:rFonts w:hint="eastAsia" w:ascii="宋体" w:hAnsi="宋体"/>
                <w:highlight w:val="none"/>
              </w:rPr>
              <w:t>审查</w:t>
            </w:r>
            <w:r>
              <w:rPr>
                <w:rFonts w:ascii="宋体" w:hAnsi="宋体"/>
                <w:highlight w:val="none"/>
              </w:rPr>
              <w:t>文件、</w:t>
            </w:r>
            <w:r>
              <w:rPr>
                <w:rFonts w:hint="eastAsia" w:ascii="宋体" w:hAnsi="宋体"/>
                <w:highlight w:val="none"/>
              </w:rPr>
              <w:t>资信文件、</w:t>
            </w:r>
            <w:r>
              <w:rPr>
                <w:rFonts w:ascii="宋体" w:hAnsi="宋体"/>
                <w:highlight w:val="none"/>
              </w:rPr>
              <w:t>技术文件</w:t>
            </w:r>
            <w:r>
              <w:rPr>
                <w:rFonts w:hint="eastAsia" w:ascii="宋体" w:hAnsi="宋体"/>
                <w:highlight w:val="none"/>
              </w:rPr>
              <w:t>和报价</w:t>
            </w:r>
            <w:r>
              <w:rPr>
                <w:rFonts w:ascii="宋体" w:hAnsi="宋体"/>
                <w:highlight w:val="none"/>
              </w:rPr>
              <w:t>文件</w:t>
            </w:r>
          </w:p>
          <w:p>
            <w:pPr>
              <w:spacing w:before="0" w:after="0" w:afterAutospacing="0" w:line="276" w:lineRule="auto"/>
              <w:ind w:left="0" w:right="0" w:firstLine="0"/>
              <w:rPr>
                <w:rFonts w:ascii="宋体" w:hAnsi="宋体"/>
                <w:highlight w:val="none"/>
              </w:rPr>
            </w:pPr>
            <w:r>
              <w:rPr>
                <w:rFonts w:ascii="宋体" w:hAnsi="宋体"/>
                <w:highlight w:val="none"/>
              </w:rPr>
              <w:t>3.</w:t>
            </w:r>
            <w:r>
              <w:rPr>
                <w:rFonts w:hint="eastAsia" w:ascii="宋体" w:hAnsi="宋体"/>
                <w:highlight w:val="none"/>
              </w:rPr>
              <w:t>投标文件电子版份数：</w:t>
            </w:r>
            <w:r>
              <w:rPr>
                <w:rFonts w:ascii="宋体" w:hAnsi="宋体"/>
                <w:highlight w:val="none"/>
              </w:rPr>
              <w:t>2</w:t>
            </w:r>
            <w:r>
              <w:rPr>
                <w:rFonts w:hint="eastAsia" w:ascii="宋体" w:hAnsi="宋体"/>
                <w:highlight w:val="none"/>
              </w:rPr>
              <w:t>份。</w:t>
            </w:r>
          </w:p>
          <w:p>
            <w:pPr>
              <w:tabs>
                <w:tab w:val="left" w:pos="8364"/>
              </w:tabs>
              <w:spacing w:before="0" w:after="0" w:afterAutospacing="0"/>
              <w:ind w:left="0" w:right="0" w:firstLine="0"/>
              <w:rPr>
                <w:highlight w:val="none"/>
              </w:rPr>
            </w:pPr>
            <w:r>
              <w:rPr>
                <w:rFonts w:ascii="宋体" w:hAnsi="宋体"/>
                <w:highlight w:val="none"/>
              </w:rPr>
              <w:t>4.</w:t>
            </w:r>
            <w:r>
              <w:rPr>
                <w:rFonts w:hint="eastAsia" w:ascii="宋体" w:hAnsi="宋体"/>
                <w:highlight w:val="none"/>
              </w:rPr>
              <w:t>投标文件电子版形式：每份</w:t>
            </w:r>
            <w:r>
              <w:rPr>
                <w:rFonts w:ascii="宋体" w:hAnsi="宋体"/>
                <w:highlight w:val="none"/>
              </w:rPr>
              <w:t>以office</w:t>
            </w:r>
            <w:r>
              <w:rPr>
                <w:rFonts w:hint="eastAsia" w:ascii="宋体" w:hAnsi="宋体"/>
                <w:highlight w:val="none"/>
              </w:rPr>
              <w:t>或WPS版本</w:t>
            </w:r>
            <w:r>
              <w:rPr>
                <w:rFonts w:ascii="宋体" w:hAnsi="宋体"/>
                <w:highlight w:val="none"/>
              </w:rPr>
              <w:t>(</w:t>
            </w:r>
            <w:r>
              <w:rPr>
                <w:rFonts w:hint="eastAsia" w:ascii="宋体" w:hAnsi="宋体"/>
                <w:highlight w:val="none"/>
              </w:rPr>
              <w:t>文本内容为</w:t>
            </w:r>
            <w:r>
              <w:rPr>
                <w:rFonts w:ascii="宋体" w:hAnsi="宋体"/>
                <w:highlight w:val="none"/>
              </w:rPr>
              <w:t>Word</w:t>
            </w:r>
            <w:r>
              <w:rPr>
                <w:rFonts w:hint="eastAsia" w:ascii="宋体" w:hAnsi="宋体"/>
                <w:highlight w:val="none"/>
              </w:rPr>
              <w:t>格式，清单为</w:t>
            </w:r>
            <w:r>
              <w:rPr>
                <w:rFonts w:ascii="宋体" w:hAnsi="宋体"/>
                <w:highlight w:val="none"/>
              </w:rPr>
              <w:t>word</w:t>
            </w:r>
            <w:r>
              <w:rPr>
                <w:rFonts w:hint="eastAsia" w:ascii="宋体" w:hAnsi="宋体"/>
                <w:highlight w:val="none"/>
              </w:rPr>
              <w:t>或</w:t>
            </w:r>
            <w:r>
              <w:rPr>
                <w:rFonts w:ascii="宋体" w:hAnsi="宋体"/>
                <w:highlight w:val="none"/>
              </w:rPr>
              <w:t>Excel</w:t>
            </w:r>
            <w:r>
              <w:rPr>
                <w:rFonts w:hint="eastAsia" w:ascii="宋体" w:hAnsi="宋体"/>
                <w:highlight w:val="none"/>
              </w:rPr>
              <w:t>格式）的全套投标文件</w:t>
            </w:r>
            <w:r>
              <w:rPr>
                <w:rFonts w:ascii="宋体" w:hAnsi="宋体"/>
                <w:highlight w:val="none"/>
              </w:rPr>
              <w:t>(资格</w:t>
            </w:r>
            <w:r>
              <w:rPr>
                <w:rFonts w:hint="eastAsia" w:ascii="宋体" w:hAnsi="宋体"/>
                <w:highlight w:val="none"/>
              </w:rPr>
              <w:t>审查</w:t>
            </w:r>
            <w:r>
              <w:rPr>
                <w:rFonts w:ascii="宋体" w:hAnsi="宋体"/>
                <w:highlight w:val="none"/>
              </w:rPr>
              <w:t>文件、</w:t>
            </w:r>
            <w:r>
              <w:rPr>
                <w:rFonts w:hint="eastAsia" w:ascii="宋体" w:hAnsi="宋体"/>
                <w:highlight w:val="none"/>
              </w:rPr>
              <w:t>资信文件、</w:t>
            </w:r>
            <w:r>
              <w:rPr>
                <w:rFonts w:ascii="宋体" w:hAnsi="宋体"/>
                <w:highlight w:val="none"/>
              </w:rPr>
              <w:t>技术文件</w:t>
            </w:r>
            <w:r>
              <w:rPr>
                <w:rFonts w:hint="eastAsia" w:ascii="宋体" w:hAnsi="宋体"/>
                <w:highlight w:val="none"/>
              </w:rPr>
              <w:t>和报价</w:t>
            </w:r>
            <w:r>
              <w:rPr>
                <w:rFonts w:ascii="宋体" w:hAnsi="宋体"/>
                <w:highlight w:val="none"/>
              </w:rPr>
              <w:t>文件)</w:t>
            </w:r>
            <w:r>
              <w:rPr>
                <w:rFonts w:hint="eastAsia" w:ascii="宋体" w:hAnsi="宋体"/>
                <w:highlight w:val="none"/>
              </w:rPr>
              <w:t>和盖章后的全套投标文件</w:t>
            </w:r>
            <w:r>
              <w:rPr>
                <w:rFonts w:ascii="宋体" w:hAnsi="宋体"/>
                <w:highlight w:val="none"/>
              </w:rPr>
              <w:t>(资格</w:t>
            </w:r>
            <w:r>
              <w:rPr>
                <w:rFonts w:hint="eastAsia" w:ascii="宋体" w:hAnsi="宋体"/>
                <w:highlight w:val="none"/>
              </w:rPr>
              <w:t>审查</w:t>
            </w:r>
            <w:r>
              <w:rPr>
                <w:rFonts w:ascii="宋体" w:hAnsi="宋体"/>
                <w:highlight w:val="none"/>
              </w:rPr>
              <w:t>文件、</w:t>
            </w:r>
            <w:r>
              <w:rPr>
                <w:rFonts w:hint="eastAsia" w:ascii="宋体" w:hAnsi="宋体"/>
                <w:highlight w:val="none"/>
              </w:rPr>
              <w:t>资信文件、</w:t>
            </w:r>
            <w:r>
              <w:rPr>
                <w:rFonts w:ascii="宋体" w:hAnsi="宋体"/>
                <w:highlight w:val="none"/>
              </w:rPr>
              <w:t>技术文件</w:t>
            </w:r>
            <w:r>
              <w:rPr>
                <w:rFonts w:hint="eastAsia" w:ascii="宋体" w:hAnsi="宋体"/>
                <w:highlight w:val="none"/>
              </w:rPr>
              <w:t>和报价</w:t>
            </w:r>
            <w:r>
              <w:rPr>
                <w:rFonts w:ascii="宋体" w:hAnsi="宋体"/>
                <w:highlight w:val="none"/>
              </w:rPr>
              <w:t>文件)</w:t>
            </w:r>
            <w:r>
              <w:rPr>
                <w:rFonts w:hint="eastAsia" w:ascii="宋体" w:hAnsi="宋体"/>
                <w:highlight w:val="none"/>
              </w:rPr>
              <w:t>正本的</w:t>
            </w:r>
            <w:r>
              <w:rPr>
                <w:rFonts w:ascii="宋体" w:hAnsi="宋体"/>
                <w:highlight w:val="none"/>
              </w:rPr>
              <w:t>PDF</w:t>
            </w:r>
            <w:r>
              <w:rPr>
                <w:rFonts w:hint="eastAsia" w:ascii="宋体" w:hAnsi="宋体"/>
                <w:highlight w:val="none"/>
              </w:rPr>
              <w:t>版本扫描件</w:t>
            </w:r>
            <w:r>
              <w:rPr>
                <w:rFonts w:ascii="宋体" w:hAnsi="宋体"/>
                <w:highlight w:val="none"/>
              </w:rPr>
              <w:t>。</w:t>
            </w:r>
          </w:p>
          <w:p>
            <w:pPr>
              <w:spacing w:before="0" w:after="0" w:afterAutospacing="0" w:line="276" w:lineRule="auto"/>
              <w:ind w:left="0" w:right="0" w:firstLine="0"/>
              <w:rPr>
                <w:rFonts w:ascii="宋体" w:hAnsi="宋体"/>
                <w:highlight w:val="none"/>
              </w:rPr>
            </w:pPr>
            <w:r>
              <w:rPr>
                <w:rFonts w:hint="eastAsia" w:ascii="宋体" w:hAnsi="宋体"/>
                <w:highlight w:val="none"/>
              </w:rPr>
              <w:t>保存介质：</w:t>
            </w:r>
            <w:r>
              <w:rPr>
                <w:rFonts w:ascii="宋体" w:hAnsi="宋体"/>
                <w:highlight w:val="none"/>
              </w:rPr>
              <w:t>U</w:t>
            </w:r>
            <w:r>
              <w:rPr>
                <w:rFonts w:hint="eastAsia" w:ascii="宋体" w:hAnsi="宋体"/>
                <w:highlight w:val="none"/>
              </w:rPr>
              <w:t>盘。</w:t>
            </w:r>
          </w:p>
          <w:p>
            <w:pPr>
              <w:spacing w:before="0" w:after="0" w:afterAutospacing="0" w:line="276" w:lineRule="auto"/>
              <w:ind w:left="0" w:right="0" w:firstLine="0"/>
              <w:rPr>
                <w:rFonts w:ascii="宋体" w:hAnsi="宋体"/>
                <w:highlight w:val="none"/>
              </w:rPr>
            </w:pPr>
            <w:r>
              <w:rPr>
                <w:rFonts w:ascii="宋体" w:hAnsi="宋体"/>
                <w:highlight w:val="none"/>
              </w:rPr>
              <w:t>5</w:t>
            </w:r>
            <w:r>
              <w:rPr>
                <w:rFonts w:hint="eastAsia" w:ascii="宋体" w:hAnsi="宋体"/>
                <w:highlight w:val="none"/>
              </w:rPr>
              <w:t>.</w:t>
            </w:r>
            <w:r>
              <w:rPr>
                <w:rFonts w:ascii="宋体" w:hAnsi="宋体"/>
                <w:highlight w:val="none"/>
              </w:rPr>
              <w:t>投标文件电子版密封方式：投标文件电子版与纸质版投标文件一并装入投标文件袋中。</w:t>
            </w:r>
          </w:p>
        </w:tc>
      </w:tr>
      <w:tr>
        <w:tblPrEx>
          <w:tblCellMar>
            <w:top w:w="0" w:type="dxa"/>
            <w:left w:w="108" w:type="dxa"/>
            <w:bottom w:w="0" w:type="dxa"/>
            <w:right w:w="108" w:type="dxa"/>
          </w:tblCellMar>
        </w:tblPrEx>
        <w:trPr>
          <w:trHeight w:val="14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17.1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封装</w:t>
            </w:r>
            <w:r>
              <w:rPr>
                <w:rFonts w:hint="eastAsia"/>
                <w:highlight w:val="none"/>
              </w:rPr>
              <w:t>方式</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（1）投标文件正本与副本应分别装订成册，封面上应分别标明“正本”和“副本”字样。</w:t>
            </w:r>
          </w:p>
          <w:p>
            <w:pPr>
              <w:spacing w:before="0" w:after="0" w:afterAutospacing="0" w:line="276" w:lineRule="auto"/>
              <w:ind w:left="0" w:right="0" w:firstLine="0"/>
              <w:rPr>
                <w:rFonts w:ascii="宋体" w:hAnsi="宋体"/>
                <w:highlight w:val="none"/>
              </w:rPr>
            </w:pPr>
            <w:r>
              <w:rPr>
                <w:rFonts w:hint="eastAsia" w:ascii="宋体" w:hAnsi="宋体"/>
                <w:highlight w:val="none"/>
              </w:rPr>
              <w:t>（2）投标人可将投标文件封装为1个包。</w:t>
            </w:r>
          </w:p>
          <w:p>
            <w:pPr>
              <w:spacing w:before="0" w:after="0" w:afterAutospacing="0" w:line="276" w:lineRule="auto"/>
              <w:ind w:left="0" w:right="0" w:firstLine="0"/>
              <w:rPr>
                <w:rFonts w:ascii="宋体" w:hAnsi="宋体"/>
                <w:highlight w:val="none"/>
              </w:rPr>
            </w:pPr>
            <w:r>
              <w:rPr>
                <w:rFonts w:hint="eastAsia" w:ascii="宋体" w:hAnsi="宋体"/>
                <w:highlight w:val="none"/>
              </w:rPr>
              <w:t>（3）所有密封箱/袋应保证其密封性，并骑缝加盖投标人单位公章。</w:t>
            </w:r>
          </w:p>
        </w:tc>
      </w:tr>
      <w:tr>
        <w:tblPrEx>
          <w:tblCellMar>
            <w:top w:w="0" w:type="dxa"/>
            <w:left w:w="108" w:type="dxa"/>
            <w:bottom w:w="0" w:type="dxa"/>
            <w:right w:w="108" w:type="dxa"/>
          </w:tblCellMar>
        </w:tblPrEx>
        <w:trPr>
          <w:trHeight w:val="14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17.2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highlight w:val="none"/>
              </w:rPr>
              <w:t>所有密封箱/袋都应具有下列识别标志：</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highlight w:val="none"/>
              </w:rPr>
            </w:pPr>
            <w:r>
              <w:rPr>
                <w:rFonts w:hint="eastAsia"/>
                <w:highlight w:val="none"/>
              </w:rPr>
              <w:t>（1）项目</w:t>
            </w:r>
            <w:r>
              <w:rPr>
                <w:rFonts w:hint="eastAsia" w:ascii="宋体" w:hAnsi="宋体"/>
                <w:highlight w:val="none"/>
              </w:rPr>
              <w:t>名称</w:t>
            </w:r>
            <w:r>
              <w:rPr>
                <w:rFonts w:hint="eastAsia"/>
                <w:highlight w:val="none"/>
              </w:rPr>
              <w:t>：（填入项目名称）；</w:t>
            </w:r>
          </w:p>
          <w:p>
            <w:pPr>
              <w:spacing w:before="0" w:after="0" w:afterAutospacing="0" w:line="276" w:lineRule="auto"/>
              <w:ind w:left="0" w:right="0" w:firstLine="0"/>
              <w:rPr>
                <w:highlight w:val="none"/>
              </w:rPr>
            </w:pPr>
            <w:r>
              <w:rPr>
                <w:rFonts w:hint="eastAsia"/>
                <w:highlight w:val="none"/>
              </w:rPr>
              <w:t>（2）项目编号：（填入项目编号）；</w:t>
            </w:r>
          </w:p>
          <w:p>
            <w:pPr>
              <w:spacing w:before="0" w:after="0" w:afterAutospacing="0" w:line="276" w:lineRule="auto"/>
              <w:ind w:left="0" w:right="0" w:firstLine="0"/>
              <w:rPr>
                <w:rFonts w:ascii="宋体" w:hAnsi="宋体"/>
                <w:highlight w:val="none"/>
              </w:rPr>
            </w:pPr>
            <w:r>
              <w:rPr>
                <w:rFonts w:hint="eastAsia"/>
                <w:highlight w:val="none"/>
              </w:rPr>
              <w:t>（3）“  年  月  日  时  分开标，此时间前不得开封”</w:t>
            </w:r>
          </w:p>
        </w:tc>
      </w:tr>
      <w:tr>
        <w:tblPrEx>
          <w:tblCellMar>
            <w:top w:w="0" w:type="dxa"/>
            <w:left w:w="108" w:type="dxa"/>
            <w:bottom w:w="0" w:type="dxa"/>
            <w:right w:w="108" w:type="dxa"/>
          </w:tblCellMar>
        </w:tblPrEx>
        <w:trPr>
          <w:trHeight w:val="14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highlight w:val="none"/>
              </w:rPr>
            </w:pPr>
            <w:r>
              <w:rPr>
                <w:rFonts w:hint="eastAsia"/>
                <w:highlight w:val="none"/>
              </w:rPr>
              <w:t>投标截止时间（开标时间）</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详见招标公告。</w:t>
            </w:r>
          </w:p>
        </w:tc>
      </w:tr>
      <w:tr>
        <w:tblPrEx>
          <w:tblCellMar>
            <w:top w:w="0" w:type="dxa"/>
            <w:left w:w="108" w:type="dxa"/>
            <w:bottom w:w="0" w:type="dxa"/>
            <w:right w:w="108" w:type="dxa"/>
          </w:tblCellMar>
        </w:tblPrEx>
        <w:trPr>
          <w:trHeight w:val="14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18.2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highlight w:val="none"/>
              </w:rPr>
            </w:pPr>
            <w:r>
              <w:rPr>
                <w:rFonts w:hint="eastAsia"/>
                <w:highlight w:val="none"/>
              </w:rPr>
              <w:t>递交投标文件地点</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630" w:right="0" w:hanging="630" w:hangingChars="300"/>
              <w:jc w:val="left"/>
              <w:rPr>
                <w:rFonts w:ascii="宋体" w:hAnsi="宋体"/>
                <w:highlight w:val="none"/>
              </w:rPr>
            </w:pPr>
            <w:r>
              <w:rPr>
                <w:rFonts w:hint="eastAsia" w:ascii="宋体" w:hAnsi="宋体"/>
                <w:highlight w:val="none"/>
              </w:rPr>
              <w:t>详见招标公告。</w:t>
            </w:r>
          </w:p>
        </w:tc>
      </w:tr>
      <w:tr>
        <w:tblPrEx>
          <w:tblCellMar>
            <w:top w:w="0" w:type="dxa"/>
            <w:left w:w="108" w:type="dxa"/>
            <w:bottom w:w="0" w:type="dxa"/>
            <w:right w:w="108" w:type="dxa"/>
          </w:tblCellMar>
        </w:tblPrEx>
        <w:trPr>
          <w:trHeight w:val="14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开标</w:t>
            </w:r>
            <w:r>
              <w:rPr>
                <w:rFonts w:hint="eastAsia"/>
                <w:highlight w:val="none"/>
              </w:rPr>
              <w:t>地点</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highlight w:val="none"/>
              </w:rPr>
              <w:t>南宁市青秀区云景路71号广西城通工程咨询有限责任公司4楼401开标室</w:t>
            </w:r>
          </w:p>
        </w:tc>
      </w:tr>
      <w:tr>
        <w:tblPrEx>
          <w:tblCellMar>
            <w:top w:w="0" w:type="dxa"/>
            <w:left w:w="108" w:type="dxa"/>
            <w:bottom w:w="0" w:type="dxa"/>
            <w:right w:w="108" w:type="dxa"/>
          </w:tblCellMar>
        </w:tblPrEx>
        <w:trPr>
          <w:trHeight w:val="24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22.3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highlight w:val="none"/>
              </w:rPr>
            </w:pPr>
            <w:r>
              <w:rPr>
                <w:highlight w:val="none"/>
              </w:rPr>
              <w:t>开标</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highlight w:val="none"/>
              </w:rPr>
            </w:pPr>
            <w:r>
              <w:rPr>
                <w:highlight w:val="none"/>
              </w:rPr>
              <w:t>开标顺序：</w:t>
            </w:r>
            <w:r>
              <w:rPr>
                <w:highlight w:val="none"/>
                <w:u w:val="single"/>
              </w:rPr>
              <w:t>随机</w:t>
            </w:r>
          </w:p>
        </w:tc>
      </w:tr>
      <w:tr>
        <w:tblPrEx>
          <w:tblCellMar>
            <w:top w:w="0" w:type="dxa"/>
            <w:left w:w="108" w:type="dxa"/>
            <w:bottom w:w="0" w:type="dxa"/>
            <w:right w:w="108" w:type="dxa"/>
          </w:tblCellMar>
        </w:tblPrEx>
        <w:trPr>
          <w:trHeight w:val="24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23.1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highlight w:val="none"/>
              </w:rPr>
            </w:pPr>
            <w:r>
              <w:rPr>
                <w:highlight w:val="none"/>
              </w:rPr>
              <w:t>评标委员会的组建</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bookmarkStart w:id="96" w:name="EBa378068603ea4135a471662f37485f80"/>
            <w:r>
              <w:rPr>
                <w:rFonts w:ascii="宋体" w:hAnsi="宋体"/>
                <w:highlight w:val="none"/>
              </w:rPr>
              <w:t>评标委员会构成：成员人数为5人及以上单数，其中技术、经济等方面的专家组成不得少于成员总数的2/3，招标人委派评标专家不得多于成员总数的1/3。</w:t>
            </w:r>
            <w:bookmarkEnd w:id="96"/>
          </w:p>
        </w:tc>
      </w:tr>
      <w:tr>
        <w:tblPrEx>
          <w:tblCellMar>
            <w:top w:w="0" w:type="dxa"/>
            <w:left w:w="108" w:type="dxa"/>
            <w:bottom w:w="0" w:type="dxa"/>
            <w:right w:w="108" w:type="dxa"/>
          </w:tblCellMar>
        </w:tblPrEx>
        <w:trPr>
          <w:trHeight w:val="98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24.3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ascii="宋体" w:hAnsi="宋体"/>
                <w:highlight w:val="none"/>
              </w:rPr>
              <w:t>是否授权评标委员会确定</w:t>
            </w:r>
            <w:r>
              <w:rPr>
                <w:highlight w:val="none"/>
              </w:rPr>
              <w:t>中标</w:t>
            </w:r>
            <w:r>
              <w:rPr>
                <w:rFonts w:ascii="宋体" w:hAnsi="宋体"/>
                <w:highlight w:val="none"/>
              </w:rPr>
              <w:t>人</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ascii="宋体" w:hAnsi="宋体"/>
                <w:highlight w:val="none"/>
              </w:rPr>
              <w:t>否，评标委员会根据</w:t>
            </w:r>
            <w:r>
              <w:rPr>
                <w:rFonts w:hint="eastAsia" w:ascii="宋体" w:hAnsi="宋体"/>
                <w:highlight w:val="none"/>
              </w:rPr>
              <w:t>评标</w:t>
            </w:r>
            <w:r>
              <w:rPr>
                <w:rFonts w:ascii="宋体" w:hAnsi="宋体"/>
                <w:highlight w:val="none"/>
              </w:rPr>
              <w:t>情况，</w:t>
            </w:r>
            <w:r>
              <w:rPr>
                <w:rFonts w:hint="eastAsia" w:ascii="宋体" w:hAnsi="宋体" w:cs="Arial"/>
                <w:highlight w:val="none"/>
              </w:rPr>
              <w:t>按照综合得分由高到低的顺序推荐</w:t>
            </w:r>
            <w:r>
              <w:rPr>
                <w:rFonts w:ascii="Arial Unicode MS" w:hAnsi="Arial Unicode MS" w:eastAsia="Arial Unicode MS" w:cs="Arial Unicode MS"/>
                <w:highlight w:val="none"/>
              </w:rPr>
              <w:t>3</w:t>
            </w:r>
            <w:r>
              <w:rPr>
                <w:rFonts w:hint="eastAsia" w:ascii="宋体" w:hAnsi="宋体" w:cs="Arial"/>
                <w:highlight w:val="none"/>
              </w:rPr>
              <w:t>名中标候选人</w:t>
            </w:r>
            <w:r>
              <w:rPr>
                <w:rFonts w:ascii="宋体" w:hAnsi="宋体"/>
                <w:highlight w:val="none"/>
              </w:rPr>
              <w:t>（当中标候选人不足3名时按实际数量推荐），并标明排序。</w:t>
            </w:r>
          </w:p>
        </w:tc>
      </w:tr>
      <w:tr>
        <w:tblPrEx>
          <w:tblCellMar>
            <w:top w:w="0" w:type="dxa"/>
            <w:left w:w="108" w:type="dxa"/>
            <w:bottom w:w="0" w:type="dxa"/>
            <w:right w:w="108" w:type="dxa"/>
          </w:tblCellMar>
        </w:tblPrEx>
        <w:trPr>
          <w:trHeight w:val="24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26.4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放弃中标人资格</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中标人如放弃中标资格，则纳入南宁轨道交通集团有限责任公司的不良信用名单。</w:t>
            </w:r>
          </w:p>
        </w:tc>
      </w:tr>
      <w:tr>
        <w:tblPrEx>
          <w:tblCellMar>
            <w:top w:w="0" w:type="dxa"/>
            <w:left w:w="108" w:type="dxa"/>
            <w:bottom w:w="0" w:type="dxa"/>
            <w:right w:w="108" w:type="dxa"/>
          </w:tblCellMar>
        </w:tblPrEx>
        <w:trPr>
          <w:trHeight w:val="838"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27.1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履约保证金</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highlight w:val="none"/>
              </w:rPr>
              <w:t>无</w:t>
            </w:r>
          </w:p>
        </w:tc>
      </w:tr>
      <w:tr>
        <w:tblPrEx>
          <w:tblCellMar>
            <w:top w:w="0" w:type="dxa"/>
            <w:left w:w="108" w:type="dxa"/>
            <w:bottom w:w="0" w:type="dxa"/>
            <w:right w:w="108" w:type="dxa"/>
          </w:tblCellMar>
        </w:tblPrEx>
        <w:trPr>
          <w:trHeight w:val="242" w:hRule="atLeast"/>
        </w:trPr>
        <w:tc>
          <w:tcPr>
            <w:tcW w:w="851"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40</w:t>
            </w:r>
          </w:p>
        </w:tc>
        <w:tc>
          <w:tcPr>
            <w:tcW w:w="1843" w:type="dxa"/>
            <w:tcBorders>
              <w:top w:val="single" w:color="auto" w:sz="4" w:space="0"/>
              <w:left w:val="nil"/>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分包</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sym w:font="Wingdings 2" w:char="0052"/>
            </w:r>
            <w:r>
              <w:rPr>
                <w:rFonts w:ascii="宋体" w:hAnsi="宋体"/>
                <w:highlight w:val="none"/>
              </w:rPr>
              <w:t>不允许</w:t>
            </w:r>
          </w:p>
        </w:tc>
      </w:tr>
      <w:tr>
        <w:tblPrEx>
          <w:tblCellMar>
            <w:top w:w="0" w:type="dxa"/>
            <w:left w:w="108" w:type="dxa"/>
            <w:bottom w:w="0" w:type="dxa"/>
            <w:right w:w="108" w:type="dxa"/>
          </w:tblCellMar>
        </w:tblPrEx>
        <w:trPr>
          <w:trHeight w:val="242" w:hRule="atLeast"/>
        </w:trPr>
        <w:tc>
          <w:tcPr>
            <w:tcW w:w="851"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41</w:t>
            </w:r>
          </w:p>
        </w:tc>
        <w:tc>
          <w:tcPr>
            <w:tcW w:w="1843" w:type="dxa"/>
            <w:tcBorders>
              <w:top w:val="single" w:color="auto" w:sz="4" w:space="0"/>
              <w:left w:val="nil"/>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是否允许递交备选投标</w:t>
            </w:r>
            <w:r>
              <w:rPr>
                <w:rFonts w:hint="eastAsia"/>
                <w:highlight w:val="none"/>
              </w:rPr>
              <w:t>方案</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不允许</w:t>
            </w:r>
          </w:p>
        </w:tc>
      </w:tr>
      <w:tr>
        <w:tblPrEx>
          <w:tblCellMar>
            <w:top w:w="0" w:type="dxa"/>
            <w:left w:w="108" w:type="dxa"/>
            <w:bottom w:w="0" w:type="dxa"/>
            <w:right w:w="108" w:type="dxa"/>
          </w:tblCellMar>
        </w:tblPrEx>
        <w:trPr>
          <w:trHeight w:val="24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43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招标代理费用</w:t>
            </w:r>
          </w:p>
        </w:tc>
        <w:tc>
          <w:tcPr>
            <w:tcW w:w="644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jc w:val="left"/>
              <w:rPr>
                <w:rFonts w:ascii="宋体" w:hAnsi="宋体"/>
                <w:highlight w:val="none"/>
              </w:rPr>
            </w:pPr>
            <w:r>
              <w:rPr>
                <w:rFonts w:hint="eastAsia" w:ascii="宋体" w:hAnsi="宋体"/>
                <w:highlight w:val="none"/>
              </w:rPr>
              <w:t>本项目招标代理服务费及招标上限控制价编制费由中标人在领取中标通知书前，一次性向招标代理机构支付，暂按含税预算价</w:t>
            </w:r>
            <w:r>
              <w:rPr>
                <w:rFonts w:hint="eastAsia" w:ascii="宋体" w:hAnsi="宋体"/>
                <w:highlight w:val="none"/>
                <w:u w:val="single"/>
              </w:rPr>
              <w:t xml:space="preserve">  216 </w:t>
            </w:r>
            <w:r>
              <w:rPr>
                <w:rFonts w:hint="eastAsia" w:ascii="宋体" w:hAnsi="宋体"/>
                <w:b/>
                <w:bCs/>
                <w:highlight w:val="none"/>
              </w:rPr>
              <w:t>万元</w:t>
            </w:r>
            <w:r>
              <w:rPr>
                <w:rFonts w:hint="eastAsia" w:ascii="宋体" w:hAnsi="宋体"/>
                <w:highlight w:val="none"/>
              </w:rPr>
              <w:t>计算，预计</w:t>
            </w:r>
            <w:r>
              <w:rPr>
                <w:rFonts w:hint="eastAsia" w:ascii="宋体" w:hAnsi="宋体"/>
                <w:highlight w:val="none"/>
                <w:u w:val="single"/>
              </w:rPr>
              <w:t xml:space="preserve">  </w:t>
            </w:r>
            <w:r>
              <w:rPr>
                <w:rFonts w:hint="eastAsia"/>
                <w:sz w:val="24"/>
                <w:highlight w:val="none"/>
                <w:u w:val="single"/>
              </w:rPr>
              <w:t>¥30536.00</w:t>
            </w:r>
            <w:r>
              <w:rPr>
                <w:rFonts w:hint="eastAsia" w:ascii="宋体" w:hAnsi="宋体"/>
                <w:highlight w:val="none"/>
                <w:u w:val="single"/>
              </w:rPr>
              <w:t xml:space="preserve">  </w:t>
            </w:r>
            <w:r>
              <w:rPr>
                <w:rFonts w:hint="eastAsia" w:ascii="宋体" w:hAnsi="宋体"/>
                <w:b/>
                <w:bCs/>
                <w:highlight w:val="none"/>
              </w:rPr>
              <w:t>元</w:t>
            </w:r>
            <w:r>
              <w:rPr>
                <w:rFonts w:hint="eastAsia" w:ascii="宋体" w:hAnsi="宋体"/>
                <w:highlight w:val="none"/>
              </w:rPr>
              <w:t>。最终实际支付金额以中标价为基数计算，根据招标人与招标代理机构签订的《招标代理合同》，本项目委托招标代理服务费及招标上限控制价编制费用按货物类标准计取，具体计算方式详见本投标人须知第43条招标代理费用。</w:t>
            </w:r>
          </w:p>
          <w:p>
            <w:pPr>
              <w:spacing w:before="0" w:after="0" w:afterAutospacing="0" w:line="276" w:lineRule="auto"/>
              <w:ind w:left="0" w:right="0" w:firstLine="0"/>
              <w:jc w:val="left"/>
              <w:rPr>
                <w:rFonts w:ascii="宋体" w:hAnsi="宋体"/>
                <w:highlight w:val="none"/>
              </w:rPr>
            </w:pPr>
            <w:r>
              <w:rPr>
                <w:rFonts w:hint="eastAsia" w:ascii="宋体" w:hAnsi="宋体"/>
                <w:highlight w:val="none"/>
              </w:rPr>
              <w:t>中标人在领取中标通知书前，根据招标人合约法规部出具的招标代理费用支付单，一次性向招标代理机构支付。招标代理机构在收到费用后5个工作日内向中标人开具增值税发票。中标人提供转账凭证向招标人领取中标通知书。</w:t>
            </w:r>
          </w:p>
        </w:tc>
      </w:tr>
      <w:tr>
        <w:tblPrEx>
          <w:tblCellMar>
            <w:top w:w="0" w:type="dxa"/>
            <w:left w:w="108" w:type="dxa"/>
            <w:bottom w:w="0" w:type="dxa"/>
            <w:right w:w="108" w:type="dxa"/>
          </w:tblCellMar>
        </w:tblPrEx>
        <w:trPr>
          <w:trHeight w:val="135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44</w:t>
            </w:r>
          </w:p>
        </w:tc>
        <w:tc>
          <w:tcPr>
            <w:tcW w:w="184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需要补充的其它内容</w:t>
            </w:r>
          </w:p>
        </w:tc>
        <w:tc>
          <w:tcPr>
            <w:tcW w:w="64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1.本招标文件中描述投标人的</w:t>
            </w:r>
            <w:r>
              <w:rPr>
                <w:rFonts w:ascii="宋体" w:hAnsi="宋体"/>
                <w:highlight w:val="none"/>
              </w:rPr>
              <w:t>“</w:t>
            </w:r>
            <w:r>
              <w:rPr>
                <w:rFonts w:hint="eastAsia" w:ascii="宋体" w:hAnsi="宋体"/>
                <w:highlight w:val="none"/>
              </w:rPr>
              <w:t>公章</w:t>
            </w:r>
            <w:r>
              <w:rPr>
                <w:rFonts w:ascii="宋体" w:hAnsi="宋体"/>
                <w:highlight w:val="none"/>
              </w:rPr>
              <w:t>”</w:t>
            </w:r>
            <w:r>
              <w:rPr>
                <w:rFonts w:hint="eastAsia" w:ascii="宋体" w:hAnsi="宋体"/>
                <w:highlight w:val="none"/>
              </w:rPr>
              <w:t>是指根据我国对公章的管理规定，用投标人法定主体行为名称制作的印章，除本招标文件有特殊规定外，投标人的财务章、部门章、分公司章、工会章、合同章、投标专用章、业务专用章等其它形式印章均不能代替公章。</w:t>
            </w:r>
          </w:p>
          <w:p>
            <w:pPr>
              <w:numPr>
                <w:ilvl w:val="255"/>
                <w:numId w:val="0"/>
              </w:numPr>
              <w:spacing w:before="0" w:after="0" w:afterAutospacing="0" w:line="276" w:lineRule="auto"/>
              <w:ind w:right="0"/>
              <w:rPr>
                <w:rFonts w:ascii="宋体" w:hAnsi="宋体"/>
                <w:highlight w:val="none"/>
              </w:rPr>
            </w:pPr>
            <w:r>
              <w:rPr>
                <w:rFonts w:hint="eastAsia" w:ascii="宋体" w:hAnsi="宋体"/>
                <w:highlight w:val="none"/>
              </w:rPr>
              <w:t>2.本招标文件中描述投标人的</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是指投标人的法定代表人或委托代理人亲自在招标文件规定签署处亲笔写上个人的名字或者加盖个人签字章的行为。</w:t>
            </w:r>
          </w:p>
          <w:p>
            <w:pPr>
              <w:numPr>
                <w:ilvl w:val="255"/>
                <w:numId w:val="0"/>
              </w:numPr>
              <w:spacing w:before="0" w:after="0" w:afterAutospacing="0" w:line="276" w:lineRule="auto"/>
              <w:ind w:right="0"/>
              <w:rPr>
                <w:highlight w:val="none"/>
              </w:rPr>
            </w:pPr>
            <w:r>
              <w:rPr>
                <w:rFonts w:hint="eastAsia" w:ascii="宋体" w:hAnsi="宋体"/>
                <w:highlight w:val="none"/>
              </w:rPr>
              <w:t>3.</w:t>
            </w:r>
            <w:r>
              <w:rPr>
                <w:rFonts w:hint="eastAsia"/>
                <w:highlight w:val="none"/>
              </w:rPr>
              <w:t>在签订合同前，招标人与中标人依据本次招标文件中的用户需求书、中标人的投标文件（如技术响应表、技术文件等），按照二者较优值形成技术规格书。并经双方确认后构成本合同的有效组成部分。在本合同执行中的技术指标以技术规格书为准。若中标人在定标后及合同签订前，以上述事项为借口而不履行合同签订手续及执行合同，则视作放弃中标资格。</w:t>
            </w:r>
          </w:p>
          <w:p>
            <w:pPr>
              <w:spacing w:before="0" w:after="0" w:afterAutospacing="0" w:line="276" w:lineRule="auto"/>
              <w:ind w:left="0" w:right="0" w:firstLine="0"/>
              <w:rPr>
                <w:rFonts w:ascii="宋体" w:hAnsi="宋体"/>
                <w:highlight w:val="none"/>
              </w:rPr>
            </w:pPr>
            <w:r>
              <w:rPr>
                <w:rFonts w:hint="eastAsia" w:ascii="宋体" w:hAnsi="宋体"/>
                <w:highlight w:val="none"/>
              </w:rPr>
              <w:t>4.本项目招标文件的最终解释权归招标人。</w:t>
            </w:r>
          </w:p>
          <w:p>
            <w:pPr>
              <w:spacing w:before="0" w:after="0" w:afterAutospacing="0" w:line="276" w:lineRule="auto"/>
              <w:ind w:left="0" w:right="0" w:firstLine="0"/>
              <w:rPr>
                <w:rFonts w:ascii="宋体" w:hAnsi="宋体"/>
                <w:highlight w:val="none"/>
              </w:rPr>
            </w:pPr>
          </w:p>
        </w:tc>
      </w:tr>
    </w:tbl>
    <w:p>
      <w:pPr>
        <w:pStyle w:val="5"/>
        <w:spacing w:after="0" w:afterAutospacing="0" w:line="360" w:lineRule="auto"/>
        <w:ind w:left="484" w:leftChars="200" w:right="0" w:hanging="64" w:hangingChars="20"/>
        <w:rPr>
          <w:rFonts w:ascii="宋体" w:hAnsi="宋体" w:eastAsia="宋体"/>
          <w:sz w:val="24"/>
          <w:szCs w:val="24"/>
          <w:highlight w:val="none"/>
        </w:rPr>
      </w:pPr>
      <w:r>
        <w:rPr>
          <w:rFonts w:ascii="宋体" w:hAnsi="宋体" w:eastAsia="宋体"/>
          <w:highlight w:val="none"/>
        </w:rPr>
        <w:br w:type="page"/>
      </w:r>
      <w:bookmarkStart w:id="97" w:name="_Toc322528193"/>
      <w:bookmarkEnd w:id="97"/>
      <w:bookmarkStart w:id="98" w:name="_Toc31338"/>
      <w:bookmarkStart w:id="99" w:name="_Toc21432"/>
      <w:bookmarkStart w:id="100" w:name="_Toc24861"/>
      <w:bookmarkStart w:id="101" w:name="_Toc30180"/>
      <w:bookmarkStart w:id="102" w:name="_Toc775"/>
      <w:bookmarkStart w:id="103" w:name="_Toc13196"/>
      <w:bookmarkStart w:id="104" w:name="_Toc12518"/>
      <w:bookmarkStart w:id="105" w:name="_Toc7788"/>
      <w:bookmarkStart w:id="106" w:name="_Toc9437"/>
      <w:bookmarkStart w:id="107" w:name="_Toc9673"/>
      <w:bookmarkStart w:id="108" w:name="_Toc28260"/>
      <w:bookmarkStart w:id="109" w:name="_Toc25520"/>
      <w:bookmarkStart w:id="110" w:name="_Toc26146"/>
      <w:bookmarkStart w:id="111" w:name="_Toc32322"/>
      <w:bookmarkStart w:id="112" w:name="_Toc18284"/>
      <w:bookmarkStart w:id="113" w:name="_Toc11095"/>
      <w:bookmarkStart w:id="114" w:name="_Toc31821"/>
      <w:bookmarkStart w:id="115" w:name="_Toc28365"/>
      <w:bookmarkStart w:id="116" w:name="_Toc2342"/>
      <w:r>
        <w:rPr>
          <w:rFonts w:hint="eastAsia" w:ascii="宋体" w:hAnsi="宋体" w:eastAsia="宋体"/>
          <w:sz w:val="24"/>
          <w:szCs w:val="24"/>
          <w:highlight w:val="none"/>
        </w:rPr>
        <w:t>一、</w:t>
      </w:r>
      <w:r>
        <w:rPr>
          <w:rFonts w:ascii="宋体" w:hAnsi="宋体" w:eastAsia="宋体"/>
          <w:sz w:val="24"/>
          <w:szCs w:val="24"/>
          <w:highlight w:val="none"/>
        </w:rPr>
        <w:t>说明</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6"/>
        <w:spacing w:before="0" w:after="0" w:afterAutospacing="0"/>
        <w:ind w:left="0" w:right="0" w:firstLine="422" w:firstLineChars="200"/>
        <w:rPr>
          <w:rFonts w:ascii="宋体" w:hAnsi="宋体"/>
          <w:sz w:val="21"/>
          <w:szCs w:val="21"/>
          <w:highlight w:val="none"/>
        </w:rPr>
      </w:pPr>
      <w:bookmarkStart w:id="117" w:name="_Toc492478718"/>
      <w:bookmarkStart w:id="118" w:name="_Toc385427793"/>
      <w:bookmarkStart w:id="119" w:name="_Toc14066"/>
      <w:bookmarkStart w:id="120" w:name="_Toc5495"/>
      <w:bookmarkStart w:id="121" w:name="_Toc30570"/>
      <w:bookmarkStart w:id="122" w:name="_Toc6861"/>
      <w:bookmarkStart w:id="123" w:name="_Toc9366"/>
      <w:bookmarkStart w:id="124" w:name="_Toc17845"/>
      <w:bookmarkStart w:id="125" w:name="_Toc390098419"/>
      <w:bookmarkStart w:id="126" w:name="_Toc463"/>
      <w:bookmarkStart w:id="127" w:name="_Toc12526"/>
      <w:bookmarkStart w:id="128" w:name="_Toc375039064"/>
      <w:bookmarkStart w:id="129" w:name="_Toc21139"/>
      <w:bookmarkStart w:id="130" w:name="_Toc11224"/>
      <w:bookmarkStart w:id="131" w:name="_Toc383891168"/>
      <w:bookmarkStart w:id="132" w:name="_Toc7778"/>
      <w:bookmarkStart w:id="133" w:name="_Toc8166"/>
      <w:bookmarkStart w:id="134" w:name="_Toc12983505"/>
      <w:bookmarkStart w:id="135" w:name="_Toc31563"/>
      <w:bookmarkStart w:id="136" w:name="_Toc3364"/>
      <w:bookmarkStart w:id="137" w:name="_Toc27079"/>
      <w:bookmarkStart w:id="138" w:name="_Toc28326"/>
      <w:bookmarkStart w:id="139" w:name="_Toc3804"/>
      <w:r>
        <w:rPr>
          <w:rFonts w:hint="eastAsia" w:ascii="宋体" w:hAnsi="宋体"/>
          <w:sz w:val="21"/>
          <w:szCs w:val="21"/>
          <w:highlight w:val="none"/>
        </w:rPr>
        <w:t>1.</w:t>
      </w:r>
      <w:r>
        <w:rPr>
          <w:rFonts w:ascii="宋体" w:hAnsi="宋体"/>
          <w:sz w:val="21"/>
          <w:szCs w:val="21"/>
          <w:highlight w:val="none"/>
        </w:rPr>
        <w:t>项目说明</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spacing w:before="0" w:after="0" w:afterAutospacing="0"/>
        <w:ind w:left="0" w:right="0" w:firstLine="420" w:firstLineChars="200"/>
        <w:rPr>
          <w:rFonts w:ascii="宋体" w:hAnsi="宋体"/>
          <w:highlight w:val="none"/>
        </w:rPr>
      </w:pPr>
      <w:r>
        <w:rPr>
          <w:rFonts w:hint="eastAsia" w:ascii="宋体" w:hAnsi="宋体"/>
          <w:highlight w:val="none"/>
        </w:rPr>
        <w:t>1.1 招标人</w:t>
      </w:r>
      <w:r>
        <w:rPr>
          <w:rFonts w:ascii="宋体" w:hAnsi="宋体"/>
          <w:highlight w:val="none"/>
        </w:rPr>
        <w:t>：详见投标须知前附表。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1.2 招标代理机构</w:t>
      </w:r>
      <w:r>
        <w:rPr>
          <w:rFonts w:ascii="宋体" w:hAnsi="宋体"/>
          <w:highlight w:val="none"/>
        </w:rPr>
        <w:t>：详见投标须知前附表。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1.3 项目名称</w:t>
      </w:r>
      <w:r>
        <w:rPr>
          <w:rFonts w:ascii="宋体" w:hAnsi="宋体"/>
          <w:highlight w:val="none"/>
        </w:rPr>
        <w:t>：详见投标须知前附表。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1.4 项目编号</w:t>
      </w:r>
      <w:r>
        <w:rPr>
          <w:rFonts w:ascii="宋体" w:hAnsi="宋体"/>
          <w:highlight w:val="none"/>
        </w:rPr>
        <w:t>：详见投标须知前附表。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1.5 招标范围：</w:t>
      </w:r>
      <w:r>
        <w:rPr>
          <w:rFonts w:ascii="宋体" w:hAnsi="宋体"/>
          <w:highlight w:val="none"/>
        </w:rPr>
        <w:t>详见投标须知前附表。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1.6 交货期：</w:t>
      </w:r>
      <w:r>
        <w:rPr>
          <w:rFonts w:ascii="宋体" w:hAnsi="宋体"/>
          <w:highlight w:val="none"/>
        </w:rPr>
        <w:t>详见投标须知前附表。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1.7 资金来源及落实情况：</w:t>
      </w:r>
      <w:r>
        <w:rPr>
          <w:rFonts w:ascii="宋体" w:hAnsi="宋体"/>
          <w:highlight w:val="none"/>
        </w:rPr>
        <w:t>详见投标须知前附表。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1.8 招标上限控制价</w:t>
      </w:r>
      <w:r>
        <w:rPr>
          <w:rFonts w:ascii="宋体" w:hAnsi="宋体"/>
          <w:highlight w:val="none"/>
        </w:rPr>
        <w:t>：详见投标须知前附表。</w:t>
      </w:r>
    </w:p>
    <w:p>
      <w:pPr>
        <w:pStyle w:val="6"/>
        <w:spacing w:before="0" w:after="0" w:afterAutospacing="0"/>
        <w:ind w:left="0" w:right="0" w:firstLine="422" w:firstLineChars="200"/>
        <w:rPr>
          <w:rFonts w:ascii="宋体" w:hAnsi="宋体"/>
          <w:sz w:val="21"/>
          <w:szCs w:val="21"/>
          <w:highlight w:val="none"/>
        </w:rPr>
      </w:pPr>
      <w:bookmarkStart w:id="140" w:name="_Toc21874"/>
      <w:bookmarkStart w:id="141" w:name="_Toc390098420"/>
      <w:bookmarkStart w:id="142" w:name="_Toc4780"/>
      <w:bookmarkStart w:id="143" w:name="_Toc385427794"/>
      <w:bookmarkStart w:id="144" w:name="_Toc16860"/>
      <w:bookmarkStart w:id="145" w:name="_Toc492478719"/>
      <w:bookmarkStart w:id="146" w:name="_Toc12983506"/>
      <w:bookmarkStart w:id="147" w:name="_Toc8052"/>
      <w:bookmarkStart w:id="148" w:name="_Toc22987"/>
      <w:bookmarkStart w:id="149" w:name="_Toc6985"/>
      <w:bookmarkStart w:id="150" w:name="_Toc383891169"/>
      <w:bookmarkStart w:id="151" w:name="_Toc31314"/>
      <w:bookmarkStart w:id="152" w:name="_Toc1552"/>
      <w:bookmarkStart w:id="153" w:name="_Toc27845"/>
      <w:bookmarkStart w:id="154" w:name="_Toc6038"/>
      <w:bookmarkStart w:id="155" w:name="_Toc10907"/>
      <w:bookmarkStart w:id="156" w:name="_Toc27847"/>
      <w:bookmarkStart w:id="157" w:name="_Toc24429"/>
      <w:bookmarkStart w:id="158" w:name="_Toc375039065"/>
      <w:r>
        <w:rPr>
          <w:rFonts w:hint="eastAsia" w:ascii="宋体" w:hAnsi="宋体"/>
          <w:sz w:val="21"/>
          <w:szCs w:val="21"/>
          <w:highlight w:val="none"/>
        </w:rPr>
        <w:t>2.定义</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spacing w:before="0" w:after="0" w:afterAutospacing="0"/>
        <w:ind w:left="0" w:right="0" w:firstLine="420" w:firstLineChars="200"/>
        <w:rPr>
          <w:rFonts w:ascii="宋体" w:hAnsi="宋体"/>
          <w:highlight w:val="none"/>
        </w:rPr>
      </w:pPr>
      <w:r>
        <w:rPr>
          <w:rFonts w:ascii="宋体" w:hAnsi="宋体"/>
          <w:highlight w:val="none"/>
        </w:rPr>
        <w:t>本招标文件使用的下列词汇具有如下规定的意义。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 </w:t>
      </w:r>
      <w:r>
        <w:rPr>
          <w:rFonts w:ascii="宋体" w:hAnsi="宋体"/>
          <w:highlight w:val="none"/>
        </w:rPr>
        <w:t>“招标人”系指提出招标采购货物的国家机关、企业、事业单位或其它组织。本招标文件中招标人是指指</w:t>
      </w:r>
      <w:r>
        <w:rPr>
          <w:rFonts w:hint="eastAsia" w:ascii="宋体" w:hAnsi="宋体"/>
          <w:highlight w:val="none"/>
          <w:u w:val="single"/>
        </w:rPr>
        <w:t>南宁轨道交通运营有限公司工会委员会</w:t>
      </w:r>
      <w:r>
        <w:rPr>
          <w:rFonts w:ascii="宋体" w:hAnsi="宋体"/>
          <w:highlight w:val="none"/>
        </w:rPr>
        <w:t>。如无特别说明本招标文件中的“发包人、业主、甲方和招标人”均指：</w:t>
      </w:r>
      <w:r>
        <w:rPr>
          <w:rFonts w:hint="eastAsia" w:ascii="宋体" w:hAnsi="宋体"/>
          <w:highlight w:val="none"/>
        </w:rPr>
        <w:t>南宁轨道交通运营有限公司工会委员会</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2.2 </w:t>
      </w:r>
      <w:r>
        <w:rPr>
          <w:rFonts w:ascii="宋体" w:hAnsi="宋体"/>
          <w:highlight w:val="none"/>
        </w:rPr>
        <w:t>“招标代理机构”系指依照国家有关部门的管理规定，依法设立并取得招标资格证书、从事招标代理业务的中介组织。本招标文件中招标代理机构</w:t>
      </w:r>
      <w:r>
        <w:rPr>
          <w:rFonts w:hint="eastAsia" w:ascii="宋体" w:hAnsi="宋体"/>
          <w:highlight w:val="none"/>
        </w:rPr>
        <w:t>详见</w:t>
      </w:r>
      <w:r>
        <w:rPr>
          <w:rFonts w:ascii="宋体" w:hAnsi="宋体"/>
          <w:highlight w:val="none"/>
        </w:rPr>
        <w:t>投标须知前附表。</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2.3 “</w:t>
      </w:r>
      <w:r>
        <w:rPr>
          <w:rFonts w:hint="eastAsia" w:ascii="宋体" w:hAnsi="宋体"/>
          <w:highlight w:val="none"/>
        </w:rPr>
        <w:t>招标方</w:t>
      </w:r>
      <w:r>
        <w:rPr>
          <w:rFonts w:ascii="宋体" w:hAnsi="宋体"/>
          <w:highlight w:val="none"/>
        </w:rPr>
        <w:t>”</w:t>
      </w:r>
      <w:r>
        <w:rPr>
          <w:rFonts w:hint="eastAsia" w:ascii="宋体" w:hAnsi="宋体"/>
          <w:highlight w:val="none"/>
        </w:rPr>
        <w:t>系指招标人和招标代理机构。</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2.4 “投标人”</w:t>
      </w:r>
      <w:r>
        <w:rPr>
          <w:rFonts w:hint="eastAsia" w:ascii="宋体" w:hAnsi="宋体"/>
          <w:highlight w:val="none"/>
        </w:rPr>
        <w:t>系指响应招标、参加投标竞争的法人或其他组织</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2.5 “货物”系指投标人按招标文件规定向招标人提供的</w:t>
      </w:r>
      <w:r>
        <w:rPr>
          <w:rFonts w:hint="eastAsia" w:ascii="宋体" w:hAnsi="宋体"/>
          <w:highlight w:val="none"/>
        </w:rPr>
        <w:t>设备、材料、机械、仪器仪表、备品备件、工具、软件、手册及其它有关技术文件和资料等</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2.6  </w:t>
      </w:r>
      <w:r>
        <w:rPr>
          <w:rFonts w:ascii="宋体" w:hAnsi="宋体"/>
          <w:highlight w:val="none"/>
        </w:rPr>
        <w:t>“</w:t>
      </w:r>
      <w:r>
        <w:rPr>
          <w:rFonts w:hint="eastAsia" w:ascii="宋体" w:hAnsi="宋体"/>
          <w:highlight w:val="none"/>
        </w:rPr>
        <w:t>服务</w:t>
      </w:r>
      <w:r>
        <w:rPr>
          <w:rFonts w:ascii="宋体" w:hAnsi="宋体"/>
          <w:highlight w:val="none"/>
        </w:rPr>
        <w:t>”</w:t>
      </w:r>
      <w:r>
        <w:rPr>
          <w:rFonts w:hint="eastAsia" w:ascii="宋体" w:hAnsi="宋体"/>
          <w:highlight w:val="none"/>
        </w:rPr>
        <w:t>系指招标文件规定投标人须承担的与供货有关的辅助服务，包括但不限于详细设计、设计联络、设备及材料的软硬件开发与制造、深化设计、</w:t>
      </w:r>
      <w:r>
        <w:rPr>
          <w:rFonts w:hint="eastAsia" w:ascii="宋体" w:hAnsi="宋体" w:cs="Arial"/>
          <w:highlight w:val="none"/>
        </w:rPr>
        <w:t>系统集成、生产监造、</w:t>
      </w:r>
      <w:r>
        <w:rPr>
          <w:rFonts w:hint="eastAsia" w:ascii="宋体" w:hAnsi="宋体"/>
          <w:highlight w:val="none"/>
        </w:rPr>
        <w:t>采购、供货</w:t>
      </w:r>
      <w:r>
        <w:rPr>
          <w:rFonts w:hint="eastAsia" w:ascii="宋体" w:hAnsi="宋体" w:cs="宋体"/>
          <w:highlight w:val="none"/>
        </w:rPr>
        <w:t>、</w:t>
      </w:r>
      <w:r>
        <w:rPr>
          <w:rFonts w:hint="eastAsia" w:ascii="宋体" w:hAnsi="宋体" w:cs="Arial"/>
          <w:highlight w:val="none"/>
        </w:rPr>
        <w:t>工厂测试、出厂检验</w:t>
      </w:r>
      <w:r>
        <w:rPr>
          <w:rFonts w:hint="eastAsia" w:ascii="宋体" w:hAnsi="宋体"/>
          <w:highlight w:val="none"/>
        </w:rPr>
        <w:t>、包装</w:t>
      </w:r>
      <w:r>
        <w:rPr>
          <w:rFonts w:hint="eastAsia" w:ascii="宋体" w:hAnsi="宋体" w:cs="宋体"/>
          <w:highlight w:val="none"/>
        </w:rPr>
        <w:t>、</w:t>
      </w:r>
      <w:r>
        <w:rPr>
          <w:rFonts w:hint="eastAsia" w:ascii="宋体" w:hAnsi="宋体"/>
          <w:highlight w:val="none"/>
        </w:rPr>
        <w:t>运输、保险、装卸、</w:t>
      </w:r>
      <w:r>
        <w:rPr>
          <w:rFonts w:hint="eastAsia" w:ascii="宋体" w:hAnsi="宋体" w:cs="宋体"/>
          <w:highlight w:val="none"/>
        </w:rPr>
        <w:t>到货检查</w:t>
      </w:r>
      <w:r>
        <w:rPr>
          <w:rFonts w:hint="eastAsia" w:ascii="宋体" w:hAnsi="宋体"/>
          <w:highlight w:val="none"/>
        </w:rPr>
        <w:t>、设备安装</w:t>
      </w:r>
      <w:r>
        <w:rPr>
          <w:rFonts w:ascii="宋体" w:hAnsi="宋体"/>
          <w:highlight w:val="none"/>
        </w:rPr>
        <w:t>/</w:t>
      </w:r>
      <w:r>
        <w:rPr>
          <w:rFonts w:hint="eastAsia" w:ascii="宋体" w:hAnsi="宋体"/>
          <w:highlight w:val="none"/>
        </w:rPr>
        <w:t>安装督导、</w:t>
      </w:r>
      <w:r>
        <w:rPr>
          <w:rFonts w:hint="eastAsia" w:ascii="宋体" w:hAnsi="宋体" w:cs="宋体"/>
          <w:highlight w:val="none"/>
        </w:rPr>
        <w:t>系统及设备的单体调试、系统接口调试、</w:t>
      </w:r>
      <w:r>
        <w:rPr>
          <w:rFonts w:hint="eastAsia" w:ascii="宋体" w:hAnsi="宋体"/>
          <w:highlight w:val="none"/>
        </w:rPr>
        <w:t>综合联调、预验收、</w:t>
      </w:r>
      <w:r>
        <w:rPr>
          <w:rFonts w:hint="eastAsia" w:ascii="宋体" w:hAnsi="宋体" w:cs="宋体"/>
          <w:highlight w:val="none"/>
        </w:rPr>
        <w:t>消防验收、</w:t>
      </w:r>
      <w:r>
        <w:rPr>
          <w:rFonts w:hint="eastAsia" w:ascii="宋体" w:hAnsi="宋体"/>
          <w:highlight w:val="none"/>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highlight w:val="none"/>
        </w:rPr>
        <w:t>并确保系统通过验收及按要求时间节点开通、</w:t>
      </w:r>
      <w:r>
        <w:rPr>
          <w:rFonts w:hint="eastAsia" w:ascii="宋体" w:hAnsi="宋体"/>
          <w:highlight w:val="none"/>
        </w:rPr>
        <w:t>其他伴随服务和投标人应承担的其它义务。</w:t>
      </w:r>
    </w:p>
    <w:p>
      <w:pPr>
        <w:tabs>
          <w:tab w:val="left" w:pos="8364"/>
        </w:tabs>
        <w:spacing w:before="0" w:after="0" w:afterAutospacing="0"/>
        <w:ind w:left="0" w:right="0" w:firstLine="420" w:firstLineChars="200"/>
        <w:rPr>
          <w:highlight w:val="none"/>
        </w:rPr>
      </w:pPr>
      <w:r>
        <w:rPr>
          <w:rFonts w:hint="eastAsia" w:ascii="宋体" w:hAnsi="宋体"/>
          <w:highlight w:val="none"/>
        </w:rPr>
        <w:t xml:space="preserve">2.7 </w:t>
      </w:r>
      <w:r>
        <w:rPr>
          <w:rFonts w:ascii="宋体" w:hAnsi="宋体"/>
          <w:highlight w:val="none"/>
        </w:rPr>
        <w:t>“电子文件”系指以office</w:t>
      </w:r>
      <w:r>
        <w:rPr>
          <w:rFonts w:hint="eastAsia" w:ascii="宋体" w:hAnsi="宋体"/>
          <w:highlight w:val="none"/>
        </w:rPr>
        <w:t>或WPS版本</w:t>
      </w:r>
      <w:r>
        <w:rPr>
          <w:rFonts w:ascii="宋体" w:hAnsi="宋体"/>
          <w:highlight w:val="none"/>
        </w:rPr>
        <w:t>(</w:t>
      </w:r>
      <w:r>
        <w:rPr>
          <w:rFonts w:hint="eastAsia" w:ascii="宋体" w:hAnsi="宋体"/>
          <w:highlight w:val="none"/>
        </w:rPr>
        <w:t>文本内容为</w:t>
      </w:r>
      <w:r>
        <w:rPr>
          <w:rFonts w:ascii="宋体" w:hAnsi="宋体"/>
          <w:highlight w:val="none"/>
        </w:rPr>
        <w:t>Word</w:t>
      </w:r>
      <w:r>
        <w:rPr>
          <w:rFonts w:hint="eastAsia" w:ascii="宋体" w:hAnsi="宋体"/>
          <w:highlight w:val="none"/>
        </w:rPr>
        <w:t>格式，清单为</w:t>
      </w:r>
      <w:r>
        <w:rPr>
          <w:rFonts w:ascii="宋体" w:hAnsi="宋体"/>
          <w:highlight w:val="none"/>
        </w:rPr>
        <w:t>word</w:t>
      </w:r>
      <w:r>
        <w:rPr>
          <w:rFonts w:hint="eastAsia" w:ascii="宋体" w:hAnsi="宋体"/>
          <w:highlight w:val="none"/>
        </w:rPr>
        <w:t>或</w:t>
      </w:r>
      <w:r>
        <w:rPr>
          <w:rFonts w:ascii="宋体" w:hAnsi="宋体"/>
          <w:highlight w:val="none"/>
        </w:rPr>
        <w:t>Excel</w:t>
      </w:r>
      <w:r>
        <w:rPr>
          <w:rFonts w:hint="eastAsia" w:ascii="宋体" w:hAnsi="宋体"/>
          <w:highlight w:val="none"/>
        </w:rPr>
        <w:t>格式）的全套投标文件</w:t>
      </w:r>
      <w:r>
        <w:rPr>
          <w:rFonts w:ascii="宋体" w:hAnsi="宋体"/>
          <w:highlight w:val="none"/>
        </w:rPr>
        <w:t>(</w:t>
      </w:r>
      <w:r>
        <w:rPr>
          <w:rFonts w:hint="eastAsia" w:ascii="宋体" w:hAnsi="宋体" w:cs="Arial"/>
          <w:highlight w:val="none"/>
        </w:rPr>
        <w:t>资格审查文件、资信文件、报价文件和技术文件</w:t>
      </w:r>
      <w:r>
        <w:rPr>
          <w:rFonts w:ascii="宋体" w:hAnsi="宋体"/>
          <w:highlight w:val="none"/>
        </w:rPr>
        <w:t>)</w:t>
      </w:r>
      <w:r>
        <w:rPr>
          <w:rFonts w:hint="eastAsia" w:ascii="宋体" w:hAnsi="宋体"/>
          <w:highlight w:val="none"/>
        </w:rPr>
        <w:t>和盖章后的全套投标文件</w:t>
      </w:r>
      <w:r>
        <w:rPr>
          <w:rFonts w:ascii="宋体" w:hAnsi="宋体"/>
          <w:highlight w:val="none"/>
        </w:rPr>
        <w:t>(</w:t>
      </w:r>
      <w:r>
        <w:rPr>
          <w:rFonts w:hint="eastAsia" w:ascii="宋体" w:hAnsi="宋体" w:cs="Arial"/>
          <w:highlight w:val="none"/>
        </w:rPr>
        <w:t>资格审查文件、资信文件、报价文件和技术文件</w:t>
      </w:r>
      <w:r>
        <w:rPr>
          <w:rFonts w:ascii="宋体" w:hAnsi="宋体"/>
          <w:highlight w:val="none"/>
        </w:rPr>
        <w:t>)</w:t>
      </w:r>
      <w:r>
        <w:rPr>
          <w:rFonts w:hint="eastAsia" w:ascii="宋体" w:hAnsi="宋体"/>
          <w:highlight w:val="none"/>
        </w:rPr>
        <w:t>正本的</w:t>
      </w:r>
      <w:r>
        <w:rPr>
          <w:rFonts w:ascii="宋体" w:hAnsi="宋体"/>
          <w:highlight w:val="none"/>
        </w:rPr>
        <w:t>PDF</w:t>
      </w:r>
      <w:r>
        <w:rPr>
          <w:rFonts w:hint="eastAsia" w:ascii="宋体" w:hAnsi="宋体"/>
          <w:highlight w:val="none"/>
        </w:rPr>
        <w:t>版本扫描件</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2.8 </w:t>
      </w:r>
      <w:r>
        <w:rPr>
          <w:rFonts w:ascii="宋体" w:hAnsi="宋体"/>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2.9 </w:t>
      </w:r>
      <w:r>
        <w:rPr>
          <w:rFonts w:ascii="宋体" w:hAnsi="宋体"/>
          <w:highlight w:val="none"/>
        </w:rPr>
        <w:t>“日”、“天”系指日历天。</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2.1</w:t>
      </w:r>
      <w:r>
        <w:rPr>
          <w:rFonts w:hint="eastAsia" w:ascii="宋体" w:hAnsi="宋体"/>
          <w:highlight w:val="none"/>
        </w:rPr>
        <w:t>0</w:t>
      </w:r>
      <w:r>
        <w:rPr>
          <w:rFonts w:hint="eastAsia" w:ascii="宋体" w:hAnsi="宋体"/>
          <w:b/>
          <w:highlight w:val="none"/>
        </w:rPr>
        <w:t>“投标报价”</w:t>
      </w:r>
      <w:r>
        <w:rPr>
          <w:rFonts w:ascii="宋体" w:hAnsi="宋体"/>
          <w:b/>
          <w:highlight w:val="none"/>
        </w:rPr>
        <w:t>系指</w:t>
      </w:r>
      <w:r>
        <w:rPr>
          <w:rFonts w:hint="eastAsia" w:ascii="宋体" w:hAnsi="宋体"/>
          <w:b/>
          <w:highlight w:val="none"/>
        </w:rPr>
        <w:t>含增值税报价。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2.11“质保期”系指质量三包的期限。</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2.12“保质期”系指在特定的</w:t>
      </w:r>
      <w:r>
        <w:rPr>
          <w:rFonts w:ascii="宋体" w:hAnsi="宋体"/>
          <w:highlight w:val="none"/>
        </w:rPr>
        <w:t>贮存条件下，保持品质的期限</w:t>
      </w:r>
      <w:r>
        <w:rPr>
          <w:rFonts w:hint="eastAsia" w:ascii="宋体" w:hAnsi="宋体"/>
          <w:highlight w:val="none"/>
        </w:rPr>
        <w:t>。</w:t>
      </w:r>
    </w:p>
    <w:p>
      <w:pPr>
        <w:pStyle w:val="6"/>
        <w:spacing w:before="0" w:after="0" w:afterAutospacing="0"/>
        <w:ind w:left="0" w:right="0" w:firstLine="422" w:firstLineChars="200"/>
        <w:rPr>
          <w:rFonts w:ascii="宋体" w:hAnsi="宋体"/>
          <w:sz w:val="21"/>
          <w:szCs w:val="21"/>
          <w:highlight w:val="none"/>
        </w:rPr>
      </w:pPr>
      <w:bookmarkStart w:id="159" w:name="_Toc375039066"/>
      <w:bookmarkStart w:id="160" w:name="_Toc385427795"/>
      <w:bookmarkStart w:id="161" w:name="_Toc383891170"/>
      <w:bookmarkStart w:id="162" w:name="_Toc390098421"/>
      <w:bookmarkStart w:id="163" w:name="_Toc492478720"/>
      <w:bookmarkStart w:id="164" w:name="_Toc29401"/>
      <w:bookmarkStart w:id="165" w:name="_Toc22115"/>
      <w:bookmarkStart w:id="166" w:name="_Toc25786"/>
      <w:bookmarkStart w:id="167" w:name="_Toc24844"/>
      <w:bookmarkStart w:id="168" w:name="_Toc307"/>
      <w:bookmarkStart w:id="169" w:name="_Toc12983507"/>
      <w:bookmarkStart w:id="170" w:name="_Toc12940"/>
      <w:bookmarkStart w:id="171" w:name="_Toc29859"/>
      <w:bookmarkStart w:id="172" w:name="_Toc10653"/>
      <w:bookmarkStart w:id="173" w:name="_Toc8288"/>
      <w:bookmarkStart w:id="174" w:name="_Toc31477"/>
      <w:bookmarkStart w:id="175" w:name="_Toc17568"/>
      <w:bookmarkStart w:id="176" w:name="_Toc17075"/>
      <w:bookmarkStart w:id="177" w:name="_Toc7306"/>
      <w:bookmarkStart w:id="178" w:name="_Toc7797"/>
      <w:bookmarkStart w:id="179" w:name="_Toc9929"/>
      <w:bookmarkStart w:id="180" w:name="_Toc30498"/>
      <w:bookmarkStart w:id="181" w:name="_Toc22845"/>
      <w:r>
        <w:rPr>
          <w:rFonts w:ascii="宋体" w:hAnsi="宋体"/>
          <w:sz w:val="21"/>
          <w:szCs w:val="21"/>
          <w:highlight w:val="none"/>
        </w:rPr>
        <w:t>3.投标人</w:t>
      </w:r>
      <w:bookmarkEnd w:id="159"/>
      <w:bookmarkEnd w:id="160"/>
      <w:bookmarkEnd w:id="161"/>
      <w:bookmarkEnd w:id="162"/>
      <w:bookmarkEnd w:id="163"/>
      <w:r>
        <w:rPr>
          <w:rFonts w:hint="eastAsia" w:ascii="宋体" w:hAnsi="宋体"/>
          <w:sz w:val="21"/>
          <w:szCs w:val="21"/>
          <w:highlight w:val="none"/>
        </w:rPr>
        <w:t>资格</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宋体" w:hAnsi="宋体"/>
          <w:sz w:val="21"/>
          <w:szCs w:val="21"/>
          <w:highlight w:val="none"/>
        </w:rPr>
        <w:t>要求</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详见投标须知前附表。</w:t>
      </w:r>
    </w:p>
    <w:p>
      <w:pPr>
        <w:pStyle w:val="6"/>
        <w:spacing w:before="0" w:after="0" w:afterAutospacing="0"/>
        <w:ind w:left="0" w:right="0" w:firstLine="422" w:firstLineChars="200"/>
        <w:rPr>
          <w:rFonts w:ascii="宋体" w:hAnsi="宋体"/>
          <w:sz w:val="21"/>
          <w:szCs w:val="21"/>
          <w:highlight w:val="none"/>
        </w:rPr>
      </w:pPr>
      <w:bookmarkStart w:id="182" w:name="_Toc383891171"/>
      <w:bookmarkStart w:id="183" w:name="_Toc375039067"/>
      <w:bookmarkStart w:id="184" w:name="_Toc18668"/>
      <w:bookmarkStart w:id="185" w:name="_Toc4438"/>
      <w:bookmarkStart w:id="186" w:name="_Toc19081"/>
      <w:bookmarkStart w:id="187" w:name="_Toc25914"/>
      <w:bookmarkStart w:id="188" w:name="_Toc19709"/>
      <w:bookmarkStart w:id="189" w:name="_Toc24103"/>
      <w:bookmarkStart w:id="190" w:name="_Toc3292"/>
      <w:bookmarkStart w:id="191" w:name="_Toc21602"/>
      <w:bookmarkStart w:id="192" w:name="_Toc12983508"/>
      <w:bookmarkStart w:id="193" w:name="_Toc7103"/>
      <w:bookmarkStart w:id="194" w:name="_Toc7832"/>
      <w:bookmarkStart w:id="195" w:name="_Toc616"/>
      <w:bookmarkStart w:id="196" w:name="_Toc21215"/>
      <w:bookmarkStart w:id="197" w:name="_Toc390098422"/>
      <w:bookmarkStart w:id="198" w:name="_Toc1737"/>
      <w:bookmarkStart w:id="199" w:name="_Toc492478721"/>
      <w:bookmarkStart w:id="200" w:name="_Toc1125"/>
      <w:bookmarkStart w:id="201" w:name="_Toc30752"/>
      <w:bookmarkStart w:id="202" w:name="_Toc23146"/>
      <w:bookmarkStart w:id="203" w:name="_Toc31789"/>
      <w:bookmarkStart w:id="204" w:name="_Toc385427796"/>
      <w:r>
        <w:rPr>
          <w:rFonts w:hint="eastAsia" w:ascii="宋体" w:hAnsi="宋体"/>
          <w:sz w:val="21"/>
          <w:szCs w:val="21"/>
          <w:highlight w:val="none"/>
        </w:rPr>
        <w:t>4.</w:t>
      </w:r>
      <w:r>
        <w:rPr>
          <w:rFonts w:ascii="宋体" w:hAnsi="宋体"/>
          <w:sz w:val="21"/>
          <w:szCs w:val="21"/>
          <w:highlight w:val="none"/>
        </w:rPr>
        <w:t>投标费用</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投标人准备和参加投标活动发生的费用自理</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205" w:name="_Toc5691"/>
      <w:bookmarkStart w:id="206" w:name="_Toc20065"/>
      <w:bookmarkStart w:id="207" w:name="_Toc375039068"/>
      <w:bookmarkStart w:id="208" w:name="_Toc492478722"/>
      <w:bookmarkStart w:id="209" w:name="_Toc385427797"/>
      <w:bookmarkStart w:id="210" w:name="_Toc16039"/>
      <w:bookmarkStart w:id="211" w:name="_Toc31360"/>
      <w:bookmarkStart w:id="212" w:name="_Toc8710"/>
      <w:bookmarkStart w:id="213" w:name="_Toc27439"/>
      <w:bookmarkStart w:id="214" w:name="_Toc10629"/>
      <w:bookmarkStart w:id="215" w:name="_Toc7339"/>
      <w:bookmarkStart w:id="216" w:name="_Toc22354"/>
      <w:bookmarkStart w:id="217" w:name="_Toc16608"/>
      <w:bookmarkStart w:id="218" w:name="_Toc26534"/>
      <w:bookmarkStart w:id="219" w:name="_Toc4596"/>
      <w:bookmarkStart w:id="220" w:name="_Toc2986"/>
      <w:bookmarkStart w:id="221" w:name="_Toc383891172"/>
      <w:bookmarkStart w:id="222" w:name="_Toc28220"/>
      <w:bookmarkStart w:id="223" w:name="_Toc390098423"/>
      <w:bookmarkStart w:id="224" w:name="_Toc19617"/>
      <w:bookmarkStart w:id="225" w:name="_Toc5487"/>
      <w:bookmarkStart w:id="226" w:name="_Toc27010"/>
      <w:bookmarkStart w:id="227" w:name="_Toc6528"/>
      <w:bookmarkStart w:id="228" w:name="_Toc16530"/>
      <w:bookmarkStart w:id="229" w:name="_Toc16131"/>
      <w:bookmarkStart w:id="230" w:name="_Toc18528"/>
      <w:bookmarkStart w:id="231" w:name="_Toc9677"/>
      <w:bookmarkStart w:id="232" w:name="_Toc9057"/>
      <w:bookmarkStart w:id="233" w:name="_Toc5160"/>
      <w:bookmarkStart w:id="234" w:name="_Toc30912"/>
      <w:bookmarkStart w:id="235" w:name="_Toc8562"/>
      <w:bookmarkStart w:id="236" w:name="_Toc13176"/>
      <w:bookmarkStart w:id="237" w:name="_Toc3854"/>
      <w:bookmarkStart w:id="238" w:name="_Toc11793"/>
      <w:bookmarkStart w:id="239" w:name="_Toc15763"/>
      <w:bookmarkStart w:id="240" w:name="_Toc14871"/>
      <w:bookmarkStart w:id="241" w:name="_Toc12983509"/>
      <w:bookmarkStart w:id="242" w:name="_Toc20472"/>
      <w:bookmarkStart w:id="243" w:name="_Toc29160"/>
      <w:bookmarkStart w:id="244" w:name="_Toc2609"/>
      <w:bookmarkStart w:id="245" w:name="_Toc8081"/>
      <w:bookmarkStart w:id="246" w:name="_Toc23766"/>
      <w:r>
        <w:rPr>
          <w:rFonts w:hint="eastAsia" w:ascii="宋体" w:hAnsi="宋体" w:eastAsia="宋体"/>
          <w:sz w:val="24"/>
          <w:szCs w:val="24"/>
          <w:highlight w:val="none"/>
        </w:rPr>
        <w:t>二、</w:t>
      </w:r>
      <w:r>
        <w:rPr>
          <w:rFonts w:ascii="宋体" w:hAnsi="宋体" w:eastAsia="宋体"/>
          <w:sz w:val="24"/>
          <w:szCs w:val="24"/>
          <w:highlight w:val="none"/>
        </w:rPr>
        <w:t>招标文件</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6"/>
        <w:spacing w:before="0" w:after="0" w:afterAutospacing="0"/>
        <w:ind w:left="0" w:right="0" w:firstLine="422" w:firstLineChars="200"/>
        <w:rPr>
          <w:rFonts w:ascii="宋体" w:hAnsi="宋体"/>
          <w:sz w:val="21"/>
          <w:szCs w:val="21"/>
          <w:highlight w:val="none"/>
        </w:rPr>
      </w:pPr>
      <w:bookmarkStart w:id="247" w:name="_Toc27870"/>
      <w:bookmarkStart w:id="248" w:name="_Toc390098424"/>
      <w:bookmarkStart w:id="249" w:name="_Toc6764"/>
      <w:bookmarkStart w:id="250" w:name="_Toc29225"/>
      <w:bookmarkStart w:id="251" w:name="_Toc25378"/>
      <w:bookmarkStart w:id="252" w:name="_Toc9756"/>
      <w:bookmarkStart w:id="253" w:name="_Toc492478723"/>
      <w:bookmarkStart w:id="254" w:name="_Toc839"/>
      <w:bookmarkStart w:id="255" w:name="_Toc26333"/>
      <w:bookmarkStart w:id="256" w:name="_Toc12983510"/>
      <w:bookmarkStart w:id="257" w:name="_Toc19561"/>
      <w:bookmarkStart w:id="258" w:name="_Toc21811"/>
      <w:bookmarkStart w:id="259" w:name="_Toc13114"/>
      <w:bookmarkStart w:id="260" w:name="_Toc383891173"/>
      <w:bookmarkStart w:id="261" w:name="_Toc4157"/>
      <w:bookmarkStart w:id="262" w:name="_Toc5877"/>
      <w:bookmarkStart w:id="263" w:name="_Toc375039069"/>
      <w:bookmarkStart w:id="264" w:name="_Toc6637"/>
      <w:bookmarkStart w:id="265" w:name="_Toc385427798"/>
      <w:bookmarkStart w:id="266" w:name="_Toc29472"/>
      <w:bookmarkStart w:id="267" w:name="_Toc30401"/>
      <w:bookmarkStart w:id="268" w:name="_Toc18436"/>
      <w:bookmarkStart w:id="269" w:name="_Toc32710"/>
      <w:r>
        <w:rPr>
          <w:rFonts w:hint="eastAsia" w:ascii="宋体" w:hAnsi="宋体"/>
          <w:sz w:val="21"/>
          <w:szCs w:val="21"/>
          <w:highlight w:val="none"/>
        </w:rPr>
        <w:t>5.</w:t>
      </w:r>
      <w:r>
        <w:rPr>
          <w:rFonts w:ascii="宋体" w:hAnsi="宋体"/>
          <w:sz w:val="21"/>
          <w:szCs w:val="21"/>
          <w:highlight w:val="none"/>
        </w:rPr>
        <w:t>招标文件构成</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5.1 </w:t>
      </w:r>
      <w:r>
        <w:rPr>
          <w:rFonts w:ascii="宋体" w:hAnsi="宋体"/>
          <w:highlight w:val="none"/>
        </w:rPr>
        <w:t>招标文件包括下列内容：</w:t>
      </w:r>
    </w:p>
    <w:p>
      <w:pPr>
        <w:spacing w:before="0" w:after="0" w:afterAutospacing="0"/>
        <w:ind w:left="0" w:right="0" w:firstLine="850" w:firstLineChars="405"/>
        <w:rPr>
          <w:rFonts w:ascii="宋体" w:hAnsi="宋体"/>
          <w:highlight w:val="none"/>
        </w:rPr>
      </w:pPr>
      <w:r>
        <w:rPr>
          <w:rFonts w:hint="eastAsia" w:ascii="宋体" w:hAnsi="宋体"/>
          <w:highlight w:val="none"/>
        </w:rPr>
        <w:t xml:space="preserve">第一章 </w:t>
      </w:r>
      <w:r>
        <w:rPr>
          <w:rFonts w:ascii="宋体" w:hAnsi="宋体"/>
          <w:highlight w:val="none"/>
        </w:rPr>
        <w:t>招标公告</w:t>
      </w:r>
    </w:p>
    <w:p>
      <w:pPr>
        <w:spacing w:before="0" w:after="0" w:afterAutospacing="0"/>
        <w:ind w:left="0" w:right="0" w:firstLine="850" w:firstLineChars="405"/>
        <w:rPr>
          <w:rFonts w:ascii="宋体" w:hAnsi="宋体"/>
          <w:highlight w:val="none"/>
        </w:rPr>
      </w:pPr>
      <w:r>
        <w:rPr>
          <w:rFonts w:hint="eastAsia" w:ascii="宋体" w:hAnsi="宋体"/>
          <w:highlight w:val="none"/>
        </w:rPr>
        <w:t xml:space="preserve">第二章 </w:t>
      </w:r>
      <w:r>
        <w:rPr>
          <w:rFonts w:ascii="宋体" w:hAnsi="宋体"/>
          <w:highlight w:val="none"/>
        </w:rPr>
        <w:t>投标</w:t>
      </w:r>
      <w:r>
        <w:rPr>
          <w:rFonts w:hint="eastAsia" w:ascii="宋体" w:hAnsi="宋体"/>
          <w:highlight w:val="none"/>
        </w:rPr>
        <w:t>人</w:t>
      </w:r>
      <w:r>
        <w:rPr>
          <w:rFonts w:ascii="宋体" w:hAnsi="宋体"/>
          <w:highlight w:val="none"/>
        </w:rPr>
        <w:t>须知</w:t>
      </w:r>
    </w:p>
    <w:p>
      <w:pPr>
        <w:spacing w:before="0" w:after="0" w:afterAutospacing="0"/>
        <w:ind w:left="0" w:right="0" w:firstLine="850" w:firstLineChars="405"/>
        <w:rPr>
          <w:rFonts w:ascii="宋体" w:hAnsi="宋体"/>
          <w:highlight w:val="none"/>
        </w:rPr>
      </w:pPr>
      <w:r>
        <w:rPr>
          <w:rFonts w:hint="eastAsia" w:ascii="宋体" w:hAnsi="宋体"/>
          <w:highlight w:val="none"/>
        </w:rPr>
        <w:t>第三章 评标办法</w:t>
      </w:r>
    </w:p>
    <w:p>
      <w:pPr>
        <w:spacing w:before="0" w:after="0" w:afterAutospacing="0"/>
        <w:ind w:left="0" w:right="0" w:firstLine="850" w:firstLineChars="405"/>
        <w:rPr>
          <w:rFonts w:ascii="宋体" w:hAnsi="宋体"/>
          <w:highlight w:val="none"/>
        </w:rPr>
      </w:pPr>
      <w:r>
        <w:rPr>
          <w:rFonts w:hint="eastAsia" w:ascii="宋体" w:hAnsi="宋体"/>
          <w:highlight w:val="none"/>
        </w:rPr>
        <w:t xml:space="preserve">第四章 </w:t>
      </w:r>
      <w:r>
        <w:rPr>
          <w:rFonts w:ascii="宋体" w:hAnsi="宋体"/>
          <w:highlight w:val="none"/>
        </w:rPr>
        <w:t>合同条款</w:t>
      </w:r>
      <w:r>
        <w:rPr>
          <w:rFonts w:hint="eastAsia" w:ascii="宋体" w:hAnsi="宋体"/>
          <w:highlight w:val="none"/>
        </w:rPr>
        <w:t>及格式</w:t>
      </w:r>
    </w:p>
    <w:p>
      <w:pPr>
        <w:spacing w:before="0" w:after="0" w:afterAutospacing="0"/>
        <w:ind w:left="0" w:right="0" w:firstLine="850" w:firstLineChars="405"/>
        <w:rPr>
          <w:rFonts w:ascii="宋体" w:hAnsi="宋体"/>
          <w:highlight w:val="none"/>
        </w:rPr>
      </w:pPr>
      <w:r>
        <w:rPr>
          <w:rFonts w:hint="eastAsia" w:ascii="宋体" w:hAnsi="宋体"/>
          <w:highlight w:val="none"/>
        </w:rPr>
        <w:t xml:space="preserve">第五章 </w:t>
      </w:r>
      <w:r>
        <w:rPr>
          <w:rFonts w:ascii="宋体" w:hAnsi="宋体"/>
          <w:highlight w:val="none"/>
        </w:rPr>
        <w:t>投标文件格式</w:t>
      </w:r>
    </w:p>
    <w:p>
      <w:pPr>
        <w:spacing w:before="0" w:after="0" w:afterAutospacing="0"/>
        <w:ind w:left="0" w:right="0" w:firstLine="850" w:firstLineChars="405"/>
        <w:rPr>
          <w:rFonts w:ascii="宋体" w:hAnsi="宋体"/>
          <w:highlight w:val="none"/>
        </w:rPr>
      </w:pPr>
      <w:r>
        <w:rPr>
          <w:rFonts w:hint="eastAsia" w:ascii="宋体" w:hAnsi="宋体"/>
          <w:highlight w:val="none"/>
        </w:rPr>
        <w:t xml:space="preserve">第六章 </w:t>
      </w:r>
      <w:r>
        <w:rPr>
          <w:rFonts w:ascii="宋体" w:hAnsi="宋体"/>
          <w:highlight w:val="none"/>
        </w:rPr>
        <w:t>用户需求书</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5.2 </w:t>
      </w:r>
      <w:r>
        <w:rPr>
          <w:rFonts w:ascii="宋体" w:hAnsi="宋体"/>
          <w:highlight w:val="none"/>
        </w:rPr>
        <w:t>投标人应认真检阅招标文件中所有的章节、条款、格式、图纸、附表和附件等。如果在收到招标文件后发现有缺页、印刷不清楚或对其中内容不理解而未向</w:t>
      </w:r>
      <w:r>
        <w:rPr>
          <w:rFonts w:hint="eastAsia" w:ascii="宋体" w:hAnsi="宋体"/>
          <w:highlight w:val="none"/>
        </w:rPr>
        <w:t>招标人</w:t>
      </w:r>
      <w:r>
        <w:rPr>
          <w:rFonts w:ascii="宋体" w:hAnsi="宋体"/>
          <w:highlight w:val="none"/>
        </w:rPr>
        <w:t>提出，由此导致的投标失误，其责任由投标人自负。</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5.3 </w:t>
      </w:r>
      <w:r>
        <w:rPr>
          <w:rFonts w:ascii="宋体" w:hAnsi="宋体"/>
          <w:highlight w:val="none"/>
        </w:rPr>
        <w:t>投标人没有按照招标文件要求提交全部资料，或者投标没有对招标文件在各方面都作出实质性响应是投标人的风险，并可能导致其投标被否决。投标人在投标文件中提出的对招标文件的要求带有限制性的理解或注释将被视为没有全面响应招标文件的要求。</w:t>
      </w:r>
    </w:p>
    <w:p>
      <w:pPr>
        <w:pStyle w:val="6"/>
        <w:spacing w:before="0" w:after="0" w:afterAutospacing="0"/>
        <w:ind w:left="0" w:right="0" w:firstLine="422" w:firstLineChars="200"/>
        <w:rPr>
          <w:rFonts w:ascii="宋体" w:hAnsi="宋体"/>
          <w:sz w:val="21"/>
          <w:szCs w:val="21"/>
          <w:highlight w:val="none"/>
        </w:rPr>
      </w:pPr>
      <w:bookmarkStart w:id="270" w:name="_Toc28270"/>
      <w:bookmarkStart w:id="271" w:name="_Toc18631"/>
      <w:bookmarkStart w:id="272" w:name="_Toc2789"/>
      <w:bookmarkStart w:id="273" w:name="_Toc375039070"/>
      <w:bookmarkStart w:id="274" w:name="_Toc26909"/>
      <w:bookmarkStart w:id="275" w:name="_Toc2489"/>
      <w:bookmarkStart w:id="276" w:name="_Toc31848"/>
      <w:bookmarkStart w:id="277" w:name="_Toc383891174"/>
      <w:bookmarkStart w:id="278" w:name="_Toc492478724"/>
      <w:bookmarkStart w:id="279" w:name="_Toc26811"/>
      <w:bookmarkStart w:id="280" w:name="_Toc14426"/>
      <w:bookmarkStart w:id="281" w:name="_Toc17279"/>
      <w:bookmarkStart w:id="282" w:name="_Toc10162"/>
      <w:bookmarkStart w:id="283" w:name="_Toc31386"/>
      <w:bookmarkStart w:id="284" w:name="_Toc20903"/>
      <w:bookmarkStart w:id="285" w:name="_Toc15154"/>
      <w:bookmarkStart w:id="286" w:name="_Toc12983511"/>
      <w:bookmarkStart w:id="287" w:name="_Toc11896"/>
      <w:bookmarkStart w:id="288" w:name="_Toc21365"/>
      <w:bookmarkStart w:id="289" w:name="_Toc2664"/>
      <w:bookmarkStart w:id="290" w:name="_Toc385427799"/>
      <w:bookmarkStart w:id="291" w:name="_Toc29001"/>
      <w:bookmarkStart w:id="292" w:name="_Toc390098425"/>
      <w:r>
        <w:rPr>
          <w:rFonts w:hint="eastAsia" w:ascii="宋体" w:hAnsi="宋体"/>
          <w:sz w:val="21"/>
          <w:szCs w:val="21"/>
          <w:highlight w:val="none"/>
        </w:rPr>
        <w:t>6.</w:t>
      </w:r>
      <w:r>
        <w:rPr>
          <w:rFonts w:ascii="宋体" w:hAnsi="宋体"/>
          <w:sz w:val="21"/>
          <w:szCs w:val="21"/>
          <w:highlight w:val="none"/>
        </w:rPr>
        <w:t>招标文件的澄清</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spacing w:before="0" w:after="0" w:afterAutospacing="0"/>
        <w:ind w:left="0" w:right="0" w:firstLine="420" w:firstLineChars="200"/>
        <w:rPr>
          <w:rFonts w:ascii="宋体" w:hAnsi="宋体"/>
          <w:highlight w:val="none"/>
        </w:rPr>
      </w:pPr>
      <w:r>
        <w:rPr>
          <w:rFonts w:hint="eastAsia" w:ascii="宋体" w:hAnsi="宋体"/>
          <w:highlight w:val="none"/>
        </w:rPr>
        <w:t xml:space="preserve">6.1 </w:t>
      </w:r>
      <w:r>
        <w:rPr>
          <w:rFonts w:ascii="宋体" w:hAnsi="宋体"/>
          <w:highlight w:val="none"/>
        </w:rPr>
        <w:t>任何要求对招标文件进行澄清的投标人，应在投标须知前附表所规定的时间</w:t>
      </w:r>
      <w:r>
        <w:rPr>
          <w:rFonts w:hint="eastAsia" w:ascii="宋体" w:hAnsi="宋体"/>
          <w:highlight w:val="none"/>
        </w:rPr>
        <w:t>及形式向</w:t>
      </w:r>
      <w:r>
        <w:rPr>
          <w:rFonts w:ascii="宋体" w:hAnsi="宋体"/>
          <w:highlight w:val="none"/>
        </w:rPr>
        <w:t>招标代理机构</w:t>
      </w:r>
      <w:r>
        <w:rPr>
          <w:rFonts w:hint="eastAsia" w:ascii="宋体" w:hAnsi="宋体"/>
          <w:highlight w:val="none"/>
        </w:rPr>
        <w:t>提出。</w:t>
      </w:r>
    </w:p>
    <w:p>
      <w:pPr>
        <w:spacing w:before="0" w:after="0" w:afterAutospacing="0"/>
        <w:ind w:left="0" w:right="0" w:firstLine="420" w:firstLineChars="200"/>
        <w:rPr>
          <w:rFonts w:ascii="宋体" w:hAnsi="宋体"/>
          <w:highlight w:val="none"/>
        </w:rPr>
      </w:pPr>
      <w:r>
        <w:rPr>
          <w:rFonts w:hint="eastAsia" w:ascii="宋体" w:hAnsi="宋体"/>
          <w:highlight w:val="none"/>
        </w:rPr>
        <w:t>6.2 招标人</w:t>
      </w:r>
      <w:r>
        <w:rPr>
          <w:rFonts w:ascii="宋体" w:hAnsi="宋体"/>
          <w:highlight w:val="none"/>
        </w:rPr>
        <w:t>将根据投标人的</w:t>
      </w:r>
      <w:r>
        <w:rPr>
          <w:rFonts w:hint="eastAsia" w:ascii="宋体" w:hAnsi="宋体"/>
          <w:highlight w:val="none"/>
        </w:rPr>
        <w:t>书面</w:t>
      </w:r>
      <w:r>
        <w:rPr>
          <w:rFonts w:ascii="宋体" w:hAnsi="宋体"/>
          <w:highlight w:val="none"/>
        </w:rPr>
        <w:t>澄清要求</w:t>
      </w:r>
      <w:r>
        <w:rPr>
          <w:rFonts w:hint="eastAsia" w:ascii="宋体" w:hAnsi="宋体"/>
          <w:highlight w:val="none"/>
        </w:rPr>
        <w:t>进行澄清答复，答复的方式及投标人确认的方式详见投标须知前附表，招标人</w:t>
      </w:r>
      <w:r>
        <w:rPr>
          <w:rFonts w:ascii="宋体" w:hAnsi="宋体"/>
          <w:highlight w:val="none"/>
        </w:rPr>
        <w:t>只答复与招标文件内容有关的问题，并有权对任何与招标文件无关的问题不作回答。</w:t>
      </w:r>
    </w:p>
    <w:p>
      <w:pPr>
        <w:pStyle w:val="6"/>
        <w:spacing w:before="0" w:after="0" w:afterAutospacing="0"/>
        <w:ind w:left="0" w:right="0" w:firstLine="422" w:firstLineChars="200"/>
        <w:rPr>
          <w:rFonts w:ascii="宋体" w:hAnsi="宋体"/>
          <w:sz w:val="21"/>
          <w:szCs w:val="21"/>
          <w:highlight w:val="none"/>
        </w:rPr>
      </w:pPr>
      <w:bookmarkStart w:id="293" w:name="_Toc22529"/>
      <w:bookmarkStart w:id="294" w:name="_Toc15498"/>
      <w:bookmarkStart w:id="295" w:name="_Toc7063"/>
      <w:bookmarkStart w:id="296" w:name="_Toc27124"/>
      <w:bookmarkStart w:id="297" w:name="_Toc26952"/>
      <w:bookmarkStart w:id="298" w:name="_Toc492478725"/>
      <w:bookmarkStart w:id="299" w:name="_Toc390098426"/>
      <w:bookmarkStart w:id="300" w:name="_Toc29795"/>
      <w:bookmarkStart w:id="301" w:name="_Toc24191"/>
      <w:bookmarkStart w:id="302" w:name="_Toc24583"/>
      <w:bookmarkStart w:id="303" w:name="_Toc12983512"/>
      <w:bookmarkStart w:id="304" w:name="_Toc383891175"/>
      <w:bookmarkStart w:id="305" w:name="_Toc15137"/>
      <w:bookmarkStart w:id="306" w:name="_Toc14181"/>
      <w:bookmarkStart w:id="307" w:name="_Toc5364"/>
      <w:bookmarkStart w:id="308" w:name="_Toc30378"/>
      <w:bookmarkStart w:id="309" w:name="_Toc385427800"/>
      <w:bookmarkStart w:id="310" w:name="_Toc24128"/>
      <w:bookmarkStart w:id="311" w:name="_Toc2976"/>
      <w:bookmarkStart w:id="312" w:name="_Toc15674"/>
      <w:bookmarkStart w:id="313" w:name="_Toc375039071"/>
      <w:bookmarkStart w:id="314" w:name="_Toc2072"/>
      <w:bookmarkStart w:id="315" w:name="_Toc19345"/>
      <w:r>
        <w:rPr>
          <w:rFonts w:hint="eastAsia" w:ascii="宋体" w:hAnsi="宋体"/>
          <w:sz w:val="21"/>
          <w:szCs w:val="21"/>
          <w:highlight w:val="none"/>
        </w:rPr>
        <w:t>7.</w:t>
      </w:r>
      <w:r>
        <w:rPr>
          <w:rFonts w:ascii="宋体" w:hAnsi="宋体"/>
          <w:sz w:val="21"/>
          <w:szCs w:val="21"/>
          <w:highlight w:val="none"/>
        </w:rPr>
        <w:t>招标文件的补遗或修改</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7.1 </w:t>
      </w:r>
      <w:r>
        <w:rPr>
          <w:rFonts w:ascii="宋体" w:hAnsi="宋体"/>
          <w:highlight w:val="none"/>
        </w:rPr>
        <w:t>在投标截止期前，无论出于何种原因，</w:t>
      </w:r>
      <w:r>
        <w:rPr>
          <w:rFonts w:hint="eastAsia" w:ascii="宋体" w:hAnsi="宋体"/>
          <w:highlight w:val="none"/>
        </w:rPr>
        <w:t>招标人</w:t>
      </w:r>
      <w:r>
        <w:rPr>
          <w:rFonts w:ascii="宋体" w:hAnsi="宋体"/>
          <w:highlight w:val="none"/>
        </w:rPr>
        <w:t>可以主动或应投标人澄清要求对招标文件进行必要的补遗或修改。</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7.2 </w:t>
      </w:r>
      <w:r>
        <w:rPr>
          <w:rFonts w:ascii="宋体" w:hAnsi="宋体"/>
          <w:highlight w:val="none"/>
        </w:rPr>
        <w:t>招标文件的补遗或修改通知是招标文件的组成部分，补充招标文件在</w:t>
      </w:r>
      <w:r>
        <w:rPr>
          <w:rFonts w:hint="eastAsia" w:ascii="宋体" w:hAnsi="宋体"/>
          <w:highlight w:val="none"/>
        </w:rPr>
        <w:t>广西壮族自治区招标投标公共服务平台（http://zbtb.gxi.gov.cn:9000/）、南宁轨道交通集团有限责任公司官网、e车网（http://www.ecrrc.com/）</w:t>
      </w:r>
      <w:r>
        <w:rPr>
          <w:rFonts w:ascii="宋体" w:hAnsi="宋体"/>
          <w:highlight w:val="none"/>
        </w:rPr>
        <w:t>上发布之日起，视为投标人已收到该补充招标文件。投标人未及时关注</w:t>
      </w:r>
      <w:r>
        <w:rPr>
          <w:rFonts w:hint="eastAsia" w:ascii="宋体" w:hAnsi="宋体"/>
          <w:highlight w:val="none"/>
        </w:rPr>
        <w:t>广西壮族自治区招标投标公共服务平台（http://zbtb.gxi.gov.cn:9000/）、南宁轨道交通集团有限责任公司官网、e车网（http://www.ecrrc.com/）</w:t>
      </w:r>
      <w:r>
        <w:rPr>
          <w:rFonts w:ascii="宋体" w:hAnsi="宋体"/>
          <w:highlight w:val="none"/>
        </w:rPr>
        <w:t>上发布的补充招标文件造成的损失，由投标人自行负责。</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7.3 </w:t>
      </w:r>
      <w:r>
        <w:rPr>
          <w:rFonts w:ascii="宋体" w:hAnsi="宋体"/>
          <w:highlight w:val="none"/>
        </w:rPr>
        <w:t>当后发的补遗或修改通知与原招标文件或此前发出的补遗或修改通知之间存有不一致时，应以后发的补遗或修改通知为准。</w:t>
      </w:r>
    </w:p>
    <w:p>
      <w:pPr>
        <w:spacing w:before="0" w:after="0" w:afterAutospacing="0"/>
        <w:ind w:left="0" w:right="0" w:firstLine="420" w:firstLineChars="200"/>
        <w:rPr>
          <w:rFonts w:ascii="宋体" w:hAnsi="宋体"/>
          <w:highlight w:val="none"/>
        </w:rPr>
      </w:pPr>
      <w:r>
        <w:rPr>
          <w:rFonts w:hint="eastAsia" w:ascii="宋体" w:hAnsi="宋体"/>
          <w:highlight w:val="none"/>
        </w:rPr>
        <w:t>7.4若招标文件的补遗或修改通知影响到投标人投标文件编制的，</w:t>
      </w:r>
      <w:r>
        <w:rPr>
          <w:rFonts w:ascii="宋体" w:hAnsi="宋体"/>
          <w:highlight w:val="none"/>
        </w:rPr>
        <w:t>为使投标人准备投标时有充分时间对招标文件的补遗或修改部分进行研究，</w:t>
      </w:r>
      <w:r>
        <w:rPr>
          <w:rFonts w:hint="eastAsia" w:ascii="宋体" w:hAnsi="宋体"/>
          <w:highlight w:val="none"/>
        </w:rPr>
        <w:t>招标人</w:t>
      </w:r>
      <w:r>
        <w:rPr>
          <w:rFonts w:ascii="宋体" w:hAnsi="宋体"/>
          <w:highlight w:val="none"/>
        </w:rPr>
        <w:t>可适当推迟投标截止</w:t>
      </w:r>
      <w:r>
        <w:rPr>
          <w:rFonts w:hint="eastAsia" w:ascii="宋体" w:hAnsi="宋体"/>
          <w:highlight w:val="none"/>
        </w:rPr>
        <w:t>时间</w:t>
      </w:r>
      <w:r>
        <w:rPr>
          <w:rFonts w:ascii="宋体" w:hAnsi="宋体"/>
          <w:highlight w:val="none"/>
        </w:rPr>
        <w:t>。投标截止</w:t>
      </w:r>
      <w:r>
        <w:rPr>
          <w:rFonts w:hint="eastAsia" w:ascii="宋体" w:hAnsi="宋体"/>
          <w:highlight w:val="none"/>
        </w:rPr>
        <w:t>时间</w:t>
      </w:r>
      <w:r>
        <w:rPr>
          <w:rFonts w:ascii="宋体" w:hAnsi="宋体"/>
          <w:highlight w:val="none"/>
        </w:rPr>
        <w:t>距最后发出招标文件的答疑文件、补充文件、修改文件的日期不少于15天。</w:t>
      </w:r>
    </w:p>
    <w:p>
      <w:pPr>
        <w:pStyle w:val="5"/>
        <w:spacing w:after="0" w:afterAutospacing="0" w:line="360" w:lineRule="auto"/>
        <w:ind w:left="0" w:right="0" w:firstLine="482" w:firstLineChars="200"/>
        <w:rPr>
          <w:rFonts w:ascii="宋体" w:hAnsi="宋体" w:eastAsia="宋体"/>
          <w:sz w:val="24"/>
          <w:szCs w:val="24"/>
          <w:highlight w:val="none"/>
        </w:rPr>
      </w:pPr>
      <w:bookmarkStart w:id="316" w:name="_Toc22043"/>
      <w:bookmarkStart w:id="317" w:name="_Toc31736"/>
      <w:bookmarkStart w:id="318" w:name="_Toc5805"/>
      <w:bookmarkStart w:id="319" w:name="_Toc24557"/>
      <w:bookmarkStart w:id="320" w:name="_Toc11314"/>
      <w:bookmarkStart w:id="321" w:name="_Toc11141"/>
      <w:bookmarkStart w:id="322" w:name="_Toc385427801"/>
      <w:bookmarkStart w:id="323" w:name="_Toc27050"/>
      <w:bookmarkStart w:id="324" w:name="_Toc27913"/>
      <w:bookmarkStart w:id="325" w:name="_Toc2902"/>
      <w:bookmarkStart w:id="326" w:name="_Toc17335"/>
      <w:bookmarkStart w:id="327" w:name="_Toc11740"/>
      <w:bookmarkStart w:id="328" w:name="_Toc25583"/>
      <w:bookmarkStart w:id="329" w:name="_Toc10869"/>
      <w:bookmarkStart w:id="330" w:name="_Toc492478726"/>
      <w:bookmarkStart w:id="331" w:name="_Toc383891176"/>
      <w:bookmarkStart w:id="332" w:name="_Toc375039072"/>
      <w:bookmarkStart w:id="333" w:name="_Toc95"/>
      <w:bookmarkStart w:id="334" w:name="_Toc2429"/>
      <w:bookmarkStart w:id="335" w:name="_Toc17692"/>
      <w:bookmarkStart w:id="336" w:name="_Toc16406"/>
      <w:bookmarkStart w:id="337" w:name="_Toc24759"/>
      <w:bookmarkStart w:id="338" w:name="_Toc9124"/>
      <w:bookmarkStart w:id="339" w:name="_Toc4718"/>
      <w:bookmarkStart w:id="340" w:name="_Toc4590"/>
      <w:bookmarkStart w:id="341" w:name="_Toc30227"/>
      <w:bookmarkStart w:id="342" w:name="_Toc14038"/>
      <w:bookmarkStart w:id="343" w:name="_Toc3301"/>
      <w:bookmarkStart w:id="344" w:name="_Toc18679"/>
      <w:bookmarkStart w:id="345" w:name="_Toc14185"/>
      <w:bookmarkStart w:id="346" w:name="_Toc25361"/>
      <w:bookmarkStart w:id="347" w:name="_Toc390098427"/>
      <w:bookmarkStart w:id="348" w:name="_Toc7736"/>
      <w:bookmarkStart w:id="349" w:name="_Toc28044"/>
      <w:bookmarkStart w:id="350" w:name="_Toc12983513"/>
      <w:bookmarkStart w:id="351" w:name="_Toc7604"/>
      <w:bookmarkStart w:id="352" w:name="_Toc19652"/>
      <w:bookmarkStart w:id="353" w:name="_Toc20787"/>
      <w:bookmarkStart w:id="354" w:name="_Toc26205"/>
      <w:bookmarkStart w:id="355" w:name="_Toc31678"/>
      <w:bookmarkStart w:id="356" w:name="_Toc30363"/>
      <w:bookmarkStart w:id="357" w:name="_Toc28265"/>
      <w:r>
        <w:rPr>
          <w:rFonts w:hint="eastAsia" w:ascii="宋体" w:hAnsi="宋体" w:eastAsia="宋体"/>
          <w:sz w:val="24"/>
          <w:szCs w:val="24"/>
          <w:highlight w:val="none"/>
        </w:rPr>
        <w:t>三、</w:t>
      </w:r>
      <w:r>
        <w:rPr>
          <w:rFonts w:ascii="宋体" w:hAnsi="宋体" w:eastAsia="宋体"/>
          <w:sz w:val="24"/>
          <w:szCs w:val="24"/>
          <w:highlight w:val="none"/>
        </w:rPr>
        <w:t>投标文件</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6"/>
        <w:spacing w:before="0" w:after="0" w:afterAutospacing="0"/>
        <w:ind w:left="0" w:right="0" w:firstLine="422" w:firstLineChars="200"/>
        <w:rPr>
          <w:rFonts w:ascii="宋体" w:hAnsi="宋体"/>
          <w:sz w:val="21"/>
          <w:szCs w:val="21"/>
          <w:highlight w:val="none"/>
        </w:rPr>
      </w:pPr>
      <w:bookmarkStart w:id="358" w:name="_Toc385427802"/>
      <w:bookmarkStart w:id="359" w:name="_Toc13418"/>
      <w:bookmarkStart w:id="360" w:name="_Toc390098428"/>
      <w:bookmarkStart w:id="361" w:name="_Toc20025"/>
      <w:bookmarkStart w:id="362" w:name="_Toc1733"/>
      <w:bookmarkStart w:id="363" w:name="_Toc16435"/>
      <w:bookmarkStart w:id="364" w:name="_Toc492478727"/>
      <w:bookmarkStart w:id="365" w:name="_Toc11259"/>
      <w:bookmarkStart w:id="366" w:name="_Toc12074"/>
      <w:bookmarkStart w:id="367" w:name="_Toc12983514"/>
      <w:bookmarkStart w:id="368" w:name="_Toc26680"/>
      <w:bookmarkStart w:id="369" w:name="_Toc26150"/>
      <w:bookmarkStart w:id="370" w:name="_Toc4384"/>
      <w:bookmarkStart w:id="371" w:name="_Toc383891177"/>
      <w:bookmarkStart w:id="372" w:name="_Toc16186"/>
      <w:bookmarkStart w:id="373" w:name="_Toc2819"/>
      <w:bookmarkStart w:id="374" w:name="_Toc23794"/>
      <w:bookmarkStart w:id="375" w:name="_Toc12456"/>
      <w:bookmarkStart w:id="376" w:name="_Toc29862"/>
      <w:bookmarkStart w:id="377" w:name="_Toc21673"/>
      <w:bookmarkStart w:id="378" w:name="_Toc375039073"/>
      <w:bookmarkStart w:id="379" w:name="_Toc9592"/>
      <w:bookmarkStart w:id="380" w:name="_Toc18350"/>
      <w:r>
        <w:rPr>
          <w:rFonts w:hint="eastAsia" w:ascii="宋体" w:hAnsi="宋体"/>
          <w:sz w:val="21"/>
          <w:szCs w:val="21"/>
          <w:highlight w:val="none"/>
        </w:rPr>
        <w:t>8.</w:t>
      </w:r>
      <w:r>
        <w:rPr>
          <w:rFonts w:ascii="宋体" w:hAnsi="宋体"/>
          <w:sz w:val="21"/>
          <w:szCs w:val="21"/>
          <w:highlight w:val="none"/>
        </w:rPr>
        <w:t>编制要求</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投标人应认真阅读招标文件的所有内容，按招标文件的要求提供投标文件，并保证提供的全部资料的真实性，以使其投标对招标文件作出实质性响应，否则，其投标将被否决。</w:t>
      </w:r>
    </w:p>
    <w:p>
      <w:pPr>
        <w:pStyle w:val="6"/>
        <w:spacing w:before="0" w:after="0" w:afterAutospacing="0"/>
        <w:ind w:left="420" w:leftChars="200" w:right="0" w:firstLine="0"/>
        <w:rPr>
          <w:rFonts w:ascii="宋体" w:hAnsi="宋体"/>
          <w:sz w:val="21"/>
          <w:szCs w:val="21"/>
          <w:highlight w:val="none"/>
        </w:rPr>
      </w:pPr>
      <w:bookmarkStart w:id="381" w:name="_Toc3492"/>
      <w:bookmarkStart w:id="382" w:name="_Toc12207"/>
      <w:bookmarkStart w:id="383" w:name="_Toc11161"/>
      <w:bookmarkStart w:id="384" w:name="_Toc385427803"/>
      <w:bookmarkStart w:id="385" w:name="_Toc1047"/>
      <w:bookmarkStart w:id="386" w:name="_Toc12983515"/>
      <w:bookmarkStart w:id="387" w:name="_Toc16237"/>
      <w:bookmarkStart w:id="388" w:name="_Toc25770"/>
      <w:bookmarkStart w:id="389" w:name="_Toc9887"/>
      <w:bookmarkStart w:id="390" w:name="_Toc26753"/>
      <w:bookmarkStart w:id="391" w:name="_Toc24857"/>
      <w:bookmarkStart w:id="392" w:name="_Toc19885"/>
      <w:bookmarkStart w:id="393" w:name="_Toc11040"/>
      <w:bookmarkStart w:id="394" w:name="_Toc492478728"/>
      <w:bookmarkStart w:id="395" w:name="_Toc22026"/>
      <w:bookmarkStart w:id="396" w:name="_Toc15570"/>
      <w:bookmarkStart w:id="397" w:name="_Toc375039074"/>
      <w:bookmarkStart w:id="398" w:name="_Toc6261"/>
      <w:bookmarkStart w:id="399" w:name="_Toc28065"/>
      <w:bookmarkStart w:id="400" w:name="_Toc24935"/>
      <w:bookmarkStart w:id="401" w:name="_Toc390098429"/>
      <w:bookmarkStart w:id="402" w:name="_Toc383891178"/>
      <w:bookmarkStart w:id="403" w:name="_Toc28296"/>
      <w:r>
        <w:rPr>
          <w:rFonts w:hint="eastAsia" w:ascii="宋体" w:hAnsi="宋体"/>
          <w:sz w:val="21"/>
          <w:szCs w:val="21"/>
          <w:highlight w:val="none"/>
        </w:rPr>
        <w:t>9.</w:t>
      </w:r>
      <w:r>
        <w:rPr>
          <w:rFonts w:ascii="宋体" w:hAnsi="宋体"/>
          <w:sz w:val="21"/>
          <w:szCs w:val="21"/>
          <w:highlight w:val="none"/>
        </w:rPr>
        <w:t>投标语言及计量单位</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9.1 </w:t>
      </w:r>
      <w:r>
        <w:rPr>
          <w:rFonts w:ascii="宋体" w:hAnsi="宋体"/>
          <w:highlight w:val="none"/>
        </w:rPr>
        <w:t>投标人提交的投标文件以及投标人与招标人、招标代理机构就投标交换的文件和来往信件应以简体中文书写，同时允许投标文件附有英文版作为参考。如中文版本与英文版本有不同的解释时，以中文版本的解释为准。投标人提交的支持文件和印制的文献可以使用英文，但相应内容应附有中文翻译。</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9.2 </w:t>
      </w:r>
      <w:r>
        <w:rPr>
          <w:rFonts w:ascii="宋体" w:hAnsi="宋体"/>
          <w:highlight w:val="none"/>
        </w:rPr>
        <w:t>除在招标文件另有规定外，计量单位应使用中华人民共和国法定计量单位。</w:t>
      </w:r>
    </w:p>
    <w:p>
      <w:pPr>
        <w:pStyle w:val="6"/>
        <w:spacing w:before="0" w:after="0" w:afterAutospacing="0"/>
        <w:ind w:left="420" w:leftChars="200" w:right="0" w:firstLine="0"/>
        <w:rPr>
          <w:rFonts w:ascii="宋体" w:hAnsi="宋体"/>
          <w:sz w:val="21"/>
          <w:szCs w:val="21"/>
          <w:highlight w:val="none"/>
        </w:rPr>
      </w:pPr>
      <w:bookmarkStart w:id="404" w:name="_Toc28164"/>
      <w:bookmarkStart w:id="405" w:name="_Toc29881"/>
      <w:bookmarkStart w:id="406" w:name="_Toc16307"/>
      <w:bookmarkStart w:id="407" w:name="_Toc385427804"/>
      <w:bookmarkStart w:id="408" w:name="_Toc492478729"/>
      <w:bookmarkStart w:id="409" w:name="_Toc12983516"/>
      <w:bookmarkStart w:id="410" w:name="_Toc390098430"/>
      <w:bookmarkStart w:id="411" w:name="_Toc23364"/>
      <w:bookmarkStart w:id="412" w:name="_Toc24760"/>
      <w:bookmarkStart w:id="413" w:name="_Toc30356"/>
      <w:bookmarkStart w:id="414" w:name="_Toc19681"/>
      <w:bookmarkStart w:id="415" w:name="_Toc375039075"/>
      <w:bookmarkStart w:id="416" w:name="_Toc3877"/>
      <w:bookmarkStart w:id="417" w:name="_Toc14323"/>
      <w:bookmarkStart w:id="418" w:name="_Toc3411"/>
      <w:bookmarkStart w:id="419" w:name="_Toc15809"/>
      <w:bookmarkStart w:id="420" w:name="_Toc30991"/>
      <w:bookmarkStart w:id="421" w:name="_Toc53"/>
      <w:bookmarkStart w:id="422" w:name="_Toc383891179"/>
      <w:bookmarkStart w:id="423" w:name="_Toc18149"/>
      <w:bookmarkStart w:id="424" w:name="_Toc22476"/>
      <w:bookmarkStart w:id="425" w:name="_Toc3464"/>
      <w:bookmarkStart w:id="426" w:name="_Toc23229"/>
      <w:r>
        <w:rPr>
          <w:rFonts w:hint="eastAsia" w:ascii="宋体" w:hAnsi="宋体"/>
          <w:sz w:val="21"/>
          <w:szCs w:val="21"/>
          <w:highlight w:val="none"/>
        </w:rPr>
        <w:t>10.</w:t>
      </w:r>
      <w:r>
        <w:rPr>
          <w:rFonts w:ascii="宋体" w:hAnsi="宋体"/>
          <w:sz w:val="21"/>
          <w:szCs w:val="21"/>
          <w:highlight w:val="none"/>
        </w:rPr>
        <w:t>投标文件组成</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tabs>
          <w:tab w:val="left" w:pos="1134"/>
          <w:tab w:val="left" w:pos="1701"/>
          <w:tab w:val="left" w:pos="1843"/>
        </w:tabs>
        <w:spacing w:before="0" w:after="0" w:afterAutospacing="0"/>
        <w:ind w:left="0" w:right="0" w:firstLine="420" w:firstLineChars="200"/>
        <w:rPr>
          <w:rFonts w:ascii="宋体" w:hAnsi="宋体"/>
          <w:highlight w:val="none"/>
        </w:rPr>
      </w:pPr>
      <w:r>
        <w:rPr>
          <w:rFonts w:ascii="宋体" w:hAnsi="宋体"/>
          <w:highlight w:val="none"/>
        </w:rPr>
        <w:t>投标文件应提供足够、准确和真实的信息，以供评标委员会判断投标人是否具备承担本项目的能力。投标人递交的投标文件</w:t>
      </w:r>
      <w:r>
        <w:rPr>
          <w:rFonts w:hint="eastAsia" w:ascii="宋体" w:hAnsi="宋体"/>
          <w:highlight w:val="none"/>
        </w:rPr>
        <w:t>组成详见投标须知前附表</w:t>
      </w:r>
      <w:r>
        <w:rPr>
          <w:rFonts w:ascii="宋体" w:hAnsi="宋体"/>
          <w:highlight w:val="none"/>
        </w:rPr>
        <w:t>。</w:t>
      </w:r>
    </w:p>
    <w:p>
      <w:pPr>
        <w:pStyle w:val="6"/>
        <w:spacing w:before="0" w:after="0" w:afterAutospacing="0"/>
        <w:ind w:left="0" w:right="0" w:firstLine="422" w:firstLineChars="200"/>
        <w:rPr>
          <w:rFonts w:ascii="宋体" w:hAnsi="宋体"/>
          <w:sz w:val="21"/>
          <w:szCs w:val="21"/>
          <w:highlight w:val="none"/>
        </w:rPr>
      </w:pPr>
      <w:bookmarkStart w:id="427" w:name="_Toc20248"/>
      <w:bookmarkStart w:id="428" w:name="_Toc2395"/>
      <w:bookmarkStart w:id="429" w:name="_Toc492478730"/>
      <w:bookmarkStart w:id="430" w:name="_Toc7608"/>
      <w:bookmarkStart w:id="431" w:name="_Toc375039076"/>
      <w:bookmarkStart w:id="432" w:name="_Toc27019"/>
      <w:bookmarkStart w:id="433" w:name="_Toc20490"/>
      <w:bookmarkStart w:id="434" w:name="_Toc11211"/>
      <w:bookmarkStart w:id="435" w:name="_Toc27194"/>
      <w:bookmarkStart w:id="436" w:name="_Toc14308"/>
      <w:bookmarkStart w:id="437" w:name="_Toc15919"/>
      <w:bookmarkStart w:id="438" w:name="_Toc390098431"/>
      <w:bookmarkStart w:id="439" w:name="_Toc15448"/>
      <w:bookmarkStart w:id="440" w:name="_Toc383891180"/>
      <w:bookmarkStart w:id="441" w:name="_Toc8151"/>
      <w:bookmarkStart w:id="442" w:name="_Toc675"/>
      <w:bookmarkStart w:id="443" w:name="_Toc12983517"/>
      <w:bookmarkStart w:id="444" w:name="_Toc385427805"/>
      <w:bookmarkStart w:id="445" w:name="_Toc23002"/>
      <w:bookmarkStart w:id="446" w:name="_Toc3670"/>
      <w:bookmarkStart w:id="447" w:name="_Toc14630"/>
      <w:bookmarkStart w:id="448" w:name="_Toc16783"/>
      <w:bookmarkStart w:id="449" w:name="_Toc21144"/>
      <w:r>
        <w:rPr>
          <w:rFonts w:hint="eastAsia" w:ascii="宋体" w:hAnsi="宋体"/>
          <w:sz w:val="21"/>
          <w:szCs w:val="21"/>
          <w:highlight w:val="none"/>
        </w:rPr>
        <w:t>11.</w:t>
      </w:r>
      <w:r>
        <w:rPr>
          <w:rFonts w:ascii="宋体" w:hAnsi="宋体"/>
          <w:sz w:val="21"/>
          <w:szCs w:val="21"/>
          <w:highlight w:val="none"/>
        </w:rPr>
        <w:t>投标文件格式</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spacing w:before="0" w:after="0" w:afterAutospacing="0"/>
        <w:ind w:left="0" w:right="0" w:firstLine="420" w:firstLineChars="200"/>
        <w:jc w:val="left"/>
        <w:rPr>
          <w:rFonts w:ascii="宋体" w:hAnsi="宋体"/>
          <w:highlight w:val="none"/>
        </w:rPr>
      </w:pPr>
      <w:r>
        <w:rPr>
          <w:rFonts w:hint="eastAsia" w:ascii="宋体" w:hAnsi="宋体"/>
          <w:highlight w:val="none"/>
        </w:rPr>
        <w:t xml:space="preserve">11.1 </w:t>
      </w:r>
      <w:r>
        <w:rPr>
          <w:rFonts w:ascii="宋体" w:hAnsi="宋体"/>
          <w:highlight w:val="none"/>
        </w:rPr>
        <w:t>投标</w:t>
      </w:r>
      <w:r>
        <w:rPr>
          <w:rFonts w:hint="eastAsia" w:ascii="宋体" w:hAnsi="宋体"/>
          <w:highlight w:val="none"/>
        </w:rPr>
        <w:t>文件</w:t>
      </w:r>
      <w:r>
        <w:rPr>
          <w:rFonts w:ascii="宋体" w:hAnsi="宋体"/>
          <w:highlight w:val="none"/>
        </w:rPr>
        <w:t>应按</w:t>
      </w:r>
      <w:r>
        <w:rPr>
          <w:rFonts w:hint="eastAsia" w:ascii="宋体" w:hAnsi="宋体"/>
          <w:highlight w:val="none"/>
        </w:rPr>
        <w:t>第五章“投标文件格式”进行</w:t>
      </w:r>
      <w:r>
        <w:rPr>
          <w:rFonts w:ascii="宋体" w:hAnsi="宋体"/>
          <w:highlight w:val="none"/>
        </w:rPr>
        <w:t>编写，</w:t>
      </w:r>
      <w:r>
        <w:rPr>
          <w:rFonts w:hint="eastAsia" w:ascii="宋体" w:hAnsi="宋体"/>
          <w:highlight w:val="none"/>
        </w:rPr>
        <w:t>如有必要，可以增加附页，作为投标</w:t>
      </w:r>
    </w:p>
    <w:p>
      <w:pPr>
        <w:spacing w:before="0" w:after="0" w:afterAutospacing="0"/>
        <w:ind w:left="0" w:right="0" w:firstLine="0"/>
        <w:jc w:val="left"/>
        <w:rPr>
          <w:rFonts w:ascii="宋体" w:hAnsi="宋体"/>
          <w:highlight w:val="none"/>
        </w:rPr>
      </w:pPr>
      <w:r>
        <w:rPr>
          <w:rFonts w:hint="eastAsia" w:ascii="宋体" w:hAnsi="宋体"/>
          <w:highlight w:val="none"/>
        </w:rPr>
        <w:t>文件的组成部分。</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11.2</w:t>
      </w:r>
      <w:r>
        <w:rPr>
          <w:rFonts w:ascii="宋体" w:hAnsi="宋体"/>
          <w:highlight w:val="none"/>
        </w:rPr>
        <w:t>投标文件的规格：统一为A4印刷本，纸质封面，印刷本厚度</w:t>
      </w:r>
      <w:r>
        <w:rPr>
          <w:rFonts w:hint="eastAsia" w:ascii="宋体" w:hAnsi="宋体"/>
          <w:highlight w:val="none"/>
        </w:rPr>
        <w:t>宜</w:t>
      </w:r>
      <w:r>
        <w:rPr>
          <w:rFonts w:ascii="宋体" w:hAnsi="宋体"/>
          <w:highlight w:val="none"/>
        </w:rPr>
        <w:t>控制在</w:t>
      </w:r>
      <w:r>
        <w:rPr>
          <w:rFonts w:hint="eastAsia" w:ascii="宋体" w:hAnsi="宋体"/>
          <w:highlight w:val="none"/>
        </w:rPr>
        <w:t>5</w:t>
      </w:r>
      <w:r>
        <w:rPr>
          <w:rFonts w:ascii="宋体" w:hAnsi="宋体"/>
          <w:highlight w:val="none"/>
        </w:rPr>
        <w:t>公分以内，超过厚度</w:t>
      </w:r>
      <w:r>
        <w:rPr>
          <w:rFonts w:hint="eastAsia" w:ascii="宋体" w:hAnsi="宋体"/>
          <w:highlight w:val="none"/>
        </w:rPr>
        <w:t>可</w:t>
      </w:r>
      <w:r>
        <w:rPr>
          <w:rFonts w:ascii="宋体" w:hAnsi="宋体"/>
          <w:highlight w:val="none"/>
        </w:rPr>
        <w:t>分册装订。封面标明文件题名、编号、投标人名称、投标时间，</w:t>
      </w:r>
      <w:r>
        <w:rPr>
          <w:rFonts w:hint="eastAsia" w:ascii="宋体" w:hAnsi="宋体"/>
          <w:highlight w:val="none"/>
        </w:rPr>
        <w:t>封面上标明</w:t>
      </w:r>
      <w:r>
        <w:rPr>
          <w:rFonts w:ascii="宋体" w:hAnsi="宋体"/>
          <w:highlight w:val="none"/>
        </w:rPr>
        <w:t>正本（或副本）。</w:t>
      </w:r>
      <w:r>
        <w:rPr>
          <w:rFonts w:hint="eastAsia" w:ascii="宋体" w:hAnsi="宋体"/>
          <w:highlight w:val="none"/>
        </w:rPr>
        <w:t>使用不锈钢书钉或拉线装订或无线胶装</w:t>
      </w:r>
      <w:r>
        <w:rPr>
          <w:rFonts w:ascii="宋体" w:hAnsi="宋体"/>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11.3</w:t>
      </w:r>
      <w:r>
        <w:rPr>
          <w:rFonts w:ascii="宋体" w:hAnsi="宋体"/>
          <w:highlight w:val="none"/>
        </w:rPr>
        <w:t>投标文件的页码：每本</w:t>
      </w:r>
      <w:r>
        <w:rPr>
          <w:rFonts w:hint="eastAsia" w:ascii="宋体" w:hAnsi="宋体"/>
          <w:highlight w:val="none"/>
        </w:rPr>
        <w:t>正文</w:t>
      </w:r>
      <w:r>
        <w:rPr>
          <w:rFonts w:ascii="宋体" w:hAnsi="宋体"/>
          <w:highlight w:val="none"/>
        </w:rPr>
        <w:t>逐页从1开始，按照流水号编号。</w:t>
      </w:r>
    </w:p>
    <w:p>
      <w:pPr>
        <w:pStyle w:val="6"/>
        <w:spacing w:before="0" w:after="0" w:afterAutospacing="0"/>
        <w:ind w:left="0" w:right="0" w:firstLine="422" w:firstLineChars="200"/>
        <w:rPr>
          <w:rFonts w:ascii="宋体" w:hAnsi="宋体"/>
          <w:sz w:val="21"/>
          <w:szCs w:val="21"/>
          <w:highlight w:val="none"/>
        </w:rPr>
      </w:pPr>
      <w:bookmarkStart w:id="450" w:name="_Toc3813"/>
      <w:bookmarkStart w:id="451" w:name="_Toc383891181"/>
      <w:bookmarkStart w:id="452" w:name="_Toc390098432"/>
      <w:bookmarkStart w:id="453" w:name="_Toc16653"/>
      <w:bookmarkStart w:id="454" w:name="_Toc17526"/>
      <w:bookmarkStart w:id="455" w:name="_Toc385427806"/>
      <w:bookmarkStart w:id="456" w:name="_Toc17338"/>
      <w:bookmarkStart w:id="457" w:name="_Toc12983518"/>
      <w:bookmarkStart w:id="458" w:name="_Toc6671"/>
      <w:bookmarkStart w:id="459" w:name="_Toc17379"/>
      <w:bookmarkStart w:id="460" w:name="_Toc375039077"/>
      <w:bookmarkStart w:id="461" w:name="_Toc22295"/>
      <w:bookmarkStart w:id="462" w:name="_Toc3799"/>
      <w:bookmarkStart w:id="463" w:name="_Toc21084"/>
      <w:bookmarkStart w:id="464" w:name="_Toc20685"/>
      <w:bookmarkStart w:id="465" w:name="_Toc26482"/>
      <w:bookmarkStart w:id="466" w:name="_Toc14123"/>
      <w:bookmarkStart w:id="467" w:name="_Toc26974"/>
      <w:bookmarkStart w:id="468" w:name="_Toc7857"/>
      <w:bookmarkStart w:id="469" w:name="_Toc31743"/>
      <w:bookmarkStart w:id="470" w:name="_Toc9416"/>
      <w:bookmarkStart w:id="471" w:name="_Toc492478731"/>
      <w:bookmarkStart w:id="472" w:name="_Toc24264"/>
      <w:r>
        <w:rPr>
          <w:rFonts w:hint="eastAsia" w:ascii="宋体" w:hAnsi="宋体"/>
          <w:sz w:val="21"/>
          <w:szCs w:val="21"/>
          <w:highlight w:val="none"/>
        </w:rPr>
        <w:t>12.</w:t>
      </w:r>
      <w:r>
        <w:rPr>
          <w:rFonts w:ascii="宋体" w:hAnsi="宋体"/>
          <w:sz w:val="21"/>
          <w:szCs w:val="21"/>
          <w:highlight w:val="none"/>
        </w:rPr>
        <w:t>投标报价</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12.1</w:t>
      </w:r>
      <w:r>
        <w:rPr>
          <w:highlight w:val="none"/>
        </w:rPr>
        <w:t>本项目采用含</w:t>
      </w:r>
      <w:r>
        <w:rPr>
          <w:rFonts w:hint="eastAsia"/>
          <w:highlight w:val="none"/>
        </w:rPr>
        <w:t>增值</w:t>
      </w:r>
      <w:r>
        <w:rPr>
          <w:highlight w:val="none"/>
        </w:rPr>
        <w:t>税报价，在签订本项目合同时，</w:t>
      </w:r>
      <w:r>
        <w:rPr>
          <w:rFonts w:hint="eastAsia"/>
          <w:highlight w:val="none"/>
        </w:rPr>
        <w:t>遵循国家现行税法的相关规定</w:t>
      </w:r>
      <w:r>
        <w:rPr>
          <w:highlight w:val="none"/>
        </w:rPr>
        <w:t>在中标人含</w:t>
      </w:r>
      <w:r>
        <w:rPr>
          <w:rFonts w:hint="eastAsia"/>
          <w:highlight w:val="none"/>
        </w:rPr>
        <w:t>增值</w:t>
      </w:r>
      <w:r>
        <w:rPr>
          <w:highlight w:val="none"/>
        </w:rPr>
        <w:t>税</w:t>
      </w:r>
      <w:r>
        <w:rPr>
          <w:rFonts w:hint="eastAsia"/>
          <w:highlight w:val="none"/>
        </w:rPr>
        <w:t>单</w:t>
      </w:r>
      <w:r>
        <w:rPr>
          <w:highlight w:val="none"/>
        </w:rPr>
        <w:t>价的基础上</w:t>
      </w:r>
      <w:r>
        <w:rPr>
          <w:rFonts w:hint="eastAsia"/>
          <w:highlight w:val="none"/>
        </w:rPr>
        <w:t>逐项增加增值税额，并</w:t>
      </w:r>
      <w:r>
        <w:rPr>
          <w:highlight w:val="none"/>
        </w:rPr>
        <w:t>明确相应</w:t>
      </w:r>
      <w:r>
        <w:rPr>
          <w:rFonts w:hint="eastAsia"/>
          <w:highlight w:val="none"/>
        </w:rPr>
        <w:t>增值税</w:t>
      </w:r>
      <w:r>
        <w:rPr>
          <w:highlight w:val="none"/>
        </w:rPr>
        <w:t>税率和</w:t>
      </w:r>
      <w:r>
        <w:rPr>
          <w:rFonts w:hint="eastAsia"/>
          <w:highlight w:val="none"/>
        </w:rPr>
        <w:t>增值税额，</w:t>
      </w:r>
      <w:r>
        <w:rPr>
          <w:rFonts w:hint="eastAsia" w:ascii="宋体" w:hAnsi="宋体"/>
          <w:highlight w:val="none"/>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投标人须按第六章《用户需求书》中的技术需求及数量表的顺序填报投标报价表，不允许打乱顺序。投标人应完整地填写招标文件中提供的“开标一览表”及“投标报价表”。</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12.2 </w:t>
      </w:r>
      <w:r>
        <w:rPr>
          <w:rFonts w:hint="eastAsia" w:ascii="宋体" w:hAnsi="宋体"/>
          <w:highlight w:val="none"/>
        </w:rPr>
        <w:t>投标报价应包括货物制造准备、制造、仓储、包装、运输、保险、装卸、安装、服务、抽样及其检测费（如有）、计量检定费（如有）、计量校准检测费（如有）及质量保证期服务等履行合同标的全过程产生的所有成本和费用以及投标人应承担的费用。</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12.3</w:t>
      </w:r>
      <w:r>
        <w:rPr>
          <w:rFonts w:ascii="宋体" w:hAnsi="宋体"/>
          <w:highlight w:val="none"/>
        </w:rPr>
        <w:t>投标报价已包括所有应支付的，对专利权、著作权、注册商标专有使用权、计算机软件登记或其他知识产权而需要向其他方支付各项等费用</w:t>
      </w:r>
      <w:r>
        <w:rPr>
          <w:rFonts w:hint="eastAsia"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12.4 投标人应根据招标文件第六章“用户需求书”的要求及项目的实际需要自行考虑并完善供货、服务和施工安装（如有）内容。投标报价应将所有内容考虑在内，不得漏项或缺项。</w:t>
      </w:r>
      <w:r>
        <w:rPr>
          <w:rFonts w:hint="eastAsia" w:ascii="宋体" w:hAnsi="宋体"/>
          <w:b/>
          <w:highlight w:val="none"/>
        </w:rPr>
        <w:t>投标人应逐项计算并填写单价、合价和总价，投标人没有填写单价和合价的项目将视为缺项。</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12.5 同一规格、型号的货物、材料在各分项报价中应为同一单价。投标人对每种货物</w:t>
      </w:r>
      <w:r>
        <w:rPr>
          <w:rFonts w:ascii="宋体" w:hAnsi="宋体"/>
          <w:highlight w:val="none"/>
        </w:rPr>
        <w:t>(</w:t>
      </w:r>
      <w:r>
        <w:rPr>
          <w:rFonts w:hint="eastAsia" w:ascii="宋体" w:hAnsi="宋体"/>
          <w:highlight w:val="none"/>
        </w:rPr>
        <w:t>指完全相同的同一货物</w:t>
      </w:r>
      <w:r>
        <w:rPr>
          <w:rFonts w:ascii="宋体" w:hAnsi="宋体"/>
          <w:highlight w:val="none"/>
        </w:rPr>
        <w:t>)</w:t>
      </w:r>
      <w:r>
        <w:rPr>
          <w:rFonts w:hint="eastAsia" w:ascii="宋体" w:hAnsi="宋体"/>
          <w:highlight w:val="none"/>
        </w:rPr>
        <w:t>只允许有一个报价，如有不同报价，则以最低报价为准。</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12.</w:t>
      </w:r>
      <w:r>
        <w:rPr>
          <w:rFonts w:hint="eastAsia" w:ascii="宋体" w:hAnsi="宋体"/>
          <w:highlight w:val="none"/>
        </w:rPr>
        <w:t>6项目不接受</w:t>
      </w:r>
      <w:r>
        <w:rPr>
          <w:rFonts w:ascii="宋体" w:hAnsi="宋体"/>
          <w:highlight w:val="none"/>
        </w:rPr>
        <w:t>投标人免费</w:t>
      </w:r>
      <w:r>
        <w:rPr>
          <w:rFonts w:hint="eastAsia" w:ascii="宋体" w:hAnsi="宋体"/>
          <w:highlight w:val="none"/>
        </w:rPr>
        <w:t>、赠送、打折</w:t>
      </w:r>
      <w:r>
        <w:rPr>
          <w:rFonts w:ascii="宋体" w:hAnsi="宋体"/>
          <w:highlight w:val="none"/>
        </w:rPr>
        <w:t>提供</w:t>
      </w:r>
      <w:r>
        <w:rPr>
          <w:rFonts w:hint="eastAsia" w:ascii="宋体" w:hAnsi="宋体"/>
          <w:highlight w:val="none"/>
        </w:rPr>
        <w:t>任何形式的</w:t>
      </w:r>
      <w:r>
        <w:rPr>
          <w:rFonts w:ascii="宋体" w:hAnsi="宋体"/>
          <w:highlight w:val="none"/>
        </w:rPr>
        <w:t>产品、部件</w:t>
      </w:r>
      <w:r>
        <w:rPr>
          <w:rFonts w:hint="eastAsia" w:ascii="宋体" w:hAnsi="宋体"/>
          <w:highlight w:val="none"/>
        </w:rPr>
        <w:t>和服务。</w:t>
      </w:r>
    </w:p>
    <w:p>
      <w:pPr>
        <w:pStyle w:val="6"/>
        <w:spacing w:before="0" w:after="0" w:afterAutospacing="0"/>
        <w:ind w:left="420" w:leftChars="200" w:right="0" w:firstLine="0"/>
        <w:rPr>
          <w:rFonts w:ascii="宋体" w:hAnsi="宋体"/>
          <w:sz w:val="21"/>
          <w:szCs w:val="21"/>
          <w:highlight w:val="none"/>
        </w:rPr>
      </w:pPr>
      <w:bookmarkStart w:id="473" w:name="_Toc28476"/>
      <w:bookmarkStart w:id="474" w:name="_Toc10220"/>
      <w:bookmarkStart w:id="475" w:name="_Toc385427807"/>
      <w:bookmarkStart w:id="476" w:name="_Toc28880"/>
      <w:bookmarkStart w:id="477" w:name="_Toc21448"/>
      <w:bookmarkStart w:id="478" w:name="_Toc390098433"/>
      <w:bookmarkStart w:id="479" w:name="_Toc20156"/>
      <w:bookmarkStart w:id="480" w:name="_Toc492478732"/>
      <w:bookmarkStart w:id="481" w:name="_Toc2710"/>
      <w:bookmarkStart w:id="482" w:name="_Toc5836"/>
      <w:bookmarkStart w:id="483" w:name="_Toc12983519"/>
      <w:bookmarkStart w:id="484" w:name="_Toc15940"/>
      <w:bookmarkStart w:id="485" w:name="_Toc21430"/>
      <w:bookmarkStart w:id="486" w:name="_Toc7428"/>
      <w:bookmarkStart w:id="487" w:name="_Toc383891182"/>
      <w:bookmarkStart w:id="488" w:name="_Toc18875"/>
      <w:bookmarkStart w:id="489" w:name="_Toc21706"/>
      <w:bookmarkStart w:id="490" w:name="_Toc26064"/>
      <w:bookmarkStart w:id="491" w:name="_Toc1664"/>
      <w:bookmarkStart w:id="492" w:name="_Toc12947"/>
      <w:bookmarkStart w:id="493" w:name="_Toc25459"/>
      <w:bookmarkStart w:id="494" w:name="_Toc375039078"/>
      <w:bookmarkStart w:id="495" w:name="_Toc12762"/>
      <w:r>
        <w:rPr>
          <w:rFonts w:hint="eastAsia" w:ascii="宋体" w:hAnsi="宋体"/>
          <w:sz w:val="21"/>
          <w:szCs w:val="21"/>
          <w:highlight w:val="none"/>
        </w:rPr>
        <w:t>13.</w:t>
      </w:r>
      <w:r>
        <w:rPr>
          <w:rFonts w:ascii="宋体" w:hAnsi="宋体"/>
          <w:sz w:val="21"/>
          <w:szCs w:val="21"/>
          <w:highlight w:val="none"/>
        </w:rPr>
        <w:t>投标货币</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spacing w:before="0" w:after="0" w:afterAutospacing="0"/>
        <w:ind w:left="0" w:right="0" w:firstLine="420" w:firstLineChars="200"/>
        <w:rPr>
          <w:rFonts w:ascii="宋体" w:hAnsi="宋体"/>
          <w:highlight w:val="none"/>
        </w:rPr>
      </w:pPr>
      <w:r>
        <w:rPr>
          <w:rFonts w:ascii="宋体" w:hAnsi="宋体"/>
          <w:highlight w:val="none"/>
        </w:rPr>
        <w:t>投标人提供的货物和服务用人民币报价。在投标文件中的报价一律用人民币币种填报，招标人不接受任何非人民币币种的投标报价。</w:t>
      </w:r>
    </w:p>
    <w:p>
      <w:pPr>
        <w:pStyle w:val="6"/>
        <w:spacing w:before="0" w:after="0" w:afterAutospacing="0"/>
        <w:ind w:left="420" w:leftChars="200" w:right="0" w:firstLine="0"/>
        <w:rPr>
          <w:rFonts w:ascii="宋体" w:hAnsi="宋体"/>
          <w:sz w:val="21"/>
          <w:szCs w:val="21"/>
          <w:highlight w:val="none"/>
        </w:rPr>
      </w:pPr>
      <w:bookmarkStart w:id="496" w:name="_Toc14922"/>
      <w:bookmarkStart w:id="497" w:name="_Toc27508"/>
      <w:bookmarkStart w:id="498" w:name="_Toc28665"/>
      <w:bookmarkStart w:id="499" w:name="_Toc16314"/>
      <w:bookmarkStart w:id="500" w:name="_Toc11690"/>
      <w:bookmarkStart w:id="501" w:name="_Toc5974"/>
      <w:bookmarkStart w:id="502" w:name="_Toc1530"/>
      <w:bookmarkStart w:id="503" w:name="_Toc383891185"/>
      <w:bookmarkStart w:id="504" w:name="_Toc7417"/>
      <w:bookmarkStart w:id="505" w:name="_Toc9237"/>
      <w:bookmarkStart w:id="506" w:name="_Toc12049"/>
      <w:bookmarkStart w:id="507" w:name="_Toc30040"/>
      <w:bookmarkStart w:id="508" w:name="_Toc1624"/>
      <w:bookmarkStart w:id="509" w:name="_Toc12983520"/>
      <w:bookmarkStart w:id="510" w:name="_Toc14309"/>
      <w:bookmarkStart w:id="511" w:name="_Toc492478735"/>
      <w:bookmarkStart w:id="512" w:name="_Toc385427810"/>
      <w:bookmarkStart w:id="513" w:name="_Toc375039081"/>
      <w:bookmarkStart w:id="514" w:name="_Toc22051"/>
      <w:bookmarkStart w:id="515" w:name="_Toc24199"/>
      <w:bookmarkStart w:id="516" w:name="_Toc30848"/>
      <w:bookmarkStart w:id="517" w:name="_Toc390098436"/>
      <w:bookmarkStart w:id="518" w:name="_Toc30606"/>
      <w:r>
        <w:rPr>
          <w:rFonts w:hint="eastAsia" w:ascii="宋体" w:hAnsi="宋体"/>
          <w:sz w:val="21"/>
          <w:szCs w:val="21"/>
          <w:highlight w:val="none"/>
        </w:rPr>
        <w:t>14.</w:t>
      </w:r>
      <w:r>
        <w:rPr>
          <w:rFonts w:ascii="宋体" w:hAnsi="宋体"/>
          <w:sz w:val="21"/>
          <w:szCs w:val="21"/>
          <w:highlight w:val="none"/>
        </w:rPr>
        <w:t>投标保证金</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spacing w:before="0" w:after="0" w:afterAutospacing="0"/>
        <w:ind w:left="705" w:leftChars="200" w:right="0" w:hanging="285" w:hangingChars="136"/>
        <w:rPr>
          <w:rFonts w:hAnsi="宋体"/>
          <w:bCs/>
          <w:highlight w:val="none"/>
        </w:rPr>
      </w:pPr>
      <w:bookmarkStart w:id="519" w:name="_Toc24656"/>
      <w:bookmarkStart w:id="520" w:name="_Toc12983521"/>
      <w:bookmarkStart w:id="521" w:name="_Toc1604"/>
      <w:bookmarkStart w:id="522" w:name="_Toc20643"/>
      <w:bookmarkStart w:id="523" w:name="_Toc492478736"/>
      <w:bookmarkStart w:id="524" w:name="_Toc28997"/>
      <w:bookmarkStart w:id="525" w:name="_Toc28555"/>
      <w:bookmarkStart w:id="526" w:name="_Toc20070"/>
      <w:bookmarkStart w:id="527" w:name="_Toc4433"/>
      <w:bookmarkStart w:id="528" w:name="_Toc2268"/>
      <w:bookmarkStart w:id="529" w:name="_Toc383891186"/>
      <w:bookmarkStart w:id="530" w:name="_Toc20493"/>
      <w:bookmarkStart w:id="531" w:name="_Toc23114"/>
      <w:bookmarkStart w:id="532" w:name="_Toc10918"/>
      <w:bookmarkStart w:id="533" w:name="_Toc9117"/>
      <w:bookmarkStart w:id="534" w:name="_Toc390098437"/>
      <w:bookmarkStart w:id="535" w:name="_Toc375039082"/>
      <w:bookmarkStart w:id="536" w:name="_Toc845"/>
      <w:bookmarkStart w:id="537" w:name="_Toc30499"/>
      <w:bookmarkStart w:id="538" w:name="_Toc691"/>
      <w:bookmarkStart w:id="539" w:name="_Toc7808"/>
      <w:bookmarkStart w:id="540" w:name="_Toc385427811"/>
      <w:bookmarkStart w:id="541" w:name="_Toc5690"/>
      <w:r>
        <w:rPr>
          <w:rFonts w:hint="eastAsia" w:hAnsi="宋体"/>
          <w:bCs/>
          <w:highlight w:val="none"/>
        </w:rPr>
        <w:t>见投标人须知前附表</w:t>
      </w:r>
    </w:p>
    <w:p>
      <w:pPr>
        <w:pStyle w:val="6"/>
        <w:spacing w:before="0" w:after="0" w:afterAutospacing="0"/>
        <w:ind w:left="0" w:right="0" w:firstLine="422" w:firstLineChars="200"/>
        <w:rPr>
          <w:rFonts w:ascii="宋体" w:hAnsi="宋体"/>
          <w:sz w:val="21"/>
          <w:szCs w:val="21"/>
          <w:highlight w:val="none"/>
        </w:rPr>
      </w:pPr>
      <w:r>
        <w:rPr>
          <w:rFonts w:hint="eastAsia" w:ascii="宋体" w:hAnsi="宋体"/>
          <w:sz w:val="21"/>
          <w:szCs w:val="21"/>
          <w:highlight w:val="none"/>
        </w:rPr>
        <w:t>15.</w:t>
      </w:r>
      <w:r>
        <w:rPr>
          <w:rFonts w:ascii="宋体" w:hAnsi="宋体"/>
          <w:sz w:val="21"/>
          <w:szCs w:val="21"/>
          <w:highlight w:val="none"/>
        </w:rPr>
        <w:t>投标有效期</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15.1 </w:t>
      </w:r>
      <w:r>
        <w:rPr>
          <w:rFonts w:ascii="宋体" w:hAnsi="宋体"/>
          <w:highlight w:val="none"/>
        </w:rPr>
        <w:t>根据本须知前附表规定，投标应在投标须知前附表中规定的时间内保持有效。投标有效期不满足要求的投标将被视为非实质性响应投标而予以否决。</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15.2 出现特殊情况需要延长投标有效期的，招标人或招标代理机构以书面形式通知所有投标人延长投标有效期。投标人应予以书面答复，同意延长的，不得要求或被允许修改其投标文件；投标人拒绝延长的，其投标失效。</w:t>
      </w:r>
    </w:p>
    <w:p>
      <w:pPr>
        <w:pStyle w:val="6"/>
        <w:spacing w:before="0" w:after="0" w:afterAutospacing="0"/>
        <w:ind w:left="0" w:right="0" w:firstLine="422" w:firstLineChars="200"/>
        <w:rPr>
          <w:rFonts w:ascii="宋体" w:hAnsi="宋体"/>
          <w:sz w:val="21"/>
          <w:szCs w:val="21"/>
          <w:highlight w:val="none"/>
        </w:rPr>
      </w:pPr>
      <w:bookmarkStart w:id="542" w:name="_Toc19044"/>
      <w:bookmarkStart w:id="543" w:name="_Toc32020"/>
      <w:bookmarkStart w:id="544" w:name="_Toc3414"/>
      <w:bookmarkStart w:id="545" w:name="_Toc12983522"/>
      <w:bookmarkStart w:id="546" w:name="_Toc32525"/>
      <w:bookmarkStart w:id="547" w:name="_Toc492478737"/>
      <w:bookmarkStart w:id="548" w:name="_Toc375039083"/>
      <w:bookmarkStart w:id="549" w:name="_Toc19603"/>
      <w:bookmarkStart w:id="550" w:name="_Toc390098438"/>
      <w:bookmarkStart w:id="551" w:name="_Toc25684"/>
      <w:bookmarkStart w:id="552" w:name="_Toc6065"/>
      <w:bookmarkStart w:id="553" w:name="_Toc24922"/>
      <w:bookmarkStart w:id="554" w:name="_Toc301"/>
      <w:bookmarkStart w:id="555" w:name="_Toc383891187"/>
      <w:bookmarkStart w:id="556" w:name="_Toc25468"/>
      <w:bookmarkStart w:id="557" w:name="_Toc8100"/>
      <w:bookmarkStart w:id="558" w:name="_Toc14672"/>
      <w:bookmarkStart w:id="559" w:name="_Toc29108"/>
      <w:bookmarkStart w:id="560" w:name="_Toc27730"/>
      <w:bookmarkStart w:id="561" w:name="_Toc4216"/>
      <w:bookmarkStart w:id="562" w:name="_Toc385427812"/>
      <w:bookmarkStart w:id="563" w:name="_Toc12506"/>
      <w:bookmarkStart w:id="564" w:name="_Toc12435"/>
      <w:r>
        <w:rPr>
          <w:rFonts w:hint="eastAsia" w:ascii="宋体" w:hAnsi="宋体"/>
          <w:sz w:val="21"/>
          <w:szCs w:val="21"/>
          <w:highlight w:val="none"/>
        </w:rPr>
        <w:t>16.投标文件的制作和签署</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16.1 </w:t>
      </w:r>
      <w:r>
        <w:rPr>
          <w:rFonts w:ascii="宋体" w:hAnsi="宋体"/>
          <w:highlight w:val="none"/>
        </w:rPr>
        <w:t>投标人应按投标须知前附表所示套数准备投标文件。每套投标文件封面上应清楚地注明招标项目名称、</w:t>
      </w:r>
      <w:r>
        <w:rPr>
          <w:rFonts w:hint="eastAsia" w:ascii="宋体" w:hAnsi="宋体"/>
          <w:highlight w:val="none"/>
        </w:rPr>
        <w:t>项目编号</w:t>
      </w:r>
      <w:r>
        <w:rPr>
          <w:rFonts w:ascii="宋体" w:hAnsi="宋体"/>
          <w:highlight w:val="none"/>
        </w:rPr>
        <w:t>及投标人名称，同时加盖公章并由法定代表人或其</w:t>
      </w:r>
      <w:r>
        <w:rPr>
          <w:rFonts w:hint="eastAsia" w:ascii="宋体" w:hAnsi="宋体"/>
          <w:highlight w:val="none"/>
        </w:rPr>
        <w:t>委托代理人</w:t>
      </w:r>
      <w:r>
        <w:rPr>
          <w:rFonts w:ascii="宋体" w:hAnsi="宋体"/>
          <w:highlight w:val="none"/>
        </w:rPr>
        <w:t>签字或盖章，且须清楚地标明“正本”、“副本”或“电子文件”。若正本和副本不符，以正本为准，电子版与纸</w:t>
      </w:r>
      <w:r>
        <w:rPr>
          <w:rFonts w:hint="eastAsia" w:ascii="宋体" w:hAnsi="宋体"/>
          <w:highlight w:val="none"/>
        </w:rPr>
        <w:t>质</w:t>
      </w:r>
      <w:r>
        <w:rPr>
          <w:rFonts w:ascii="宋体" w:hAnsi="宋体"/>
          <w:highlight w:val="none"/>
        </w:rPr>
        <w:t>文件不符以纸</w:t>
      </w:r>
      <w:r>
        <w:rPr>
          <w:rFonts w:hint="eastAsia" w:ascii="宋体" w:hAnsi="宋体"/>
          <w:highlight w:val="none"/>
        </w:rPr>
        <w:t>质</w:t>
      </w:r>
      <w:r>
        <w:rPr>
          <w:rFonts w:ascii="宋体" w:hAnsi="宋体"/>
          <w:highlight w:val="none"/>
        </w:rPr>
        <w:t>文件为准。</w:t>
      </w:r>
      <w:r>
        <w:rPr>
          <w:rFonts w:hint="eastAsia" w:ascii="宋体" w:hAnsi="宋体"/>
          <w:b/>
          <w:highlight w:val="none"/>
        </w:rPr>
        <w:t>投标文件要按照资格审查文件、资信文件、技术文件和报价文件四部分文件单独装订成册。并按照投标须知规定的式样、密封和标记、时间和地点递交。</w:t>
      </w:r>
    </w:p>
    <w:p>
      <w:pPr>
        <w:tabs>
          <w:tab w:val="left" w:pos="1134"/>
          <w:tab w:val="left" w:pos="8364"/>
        </w:tabs>
        <w:spacing w:before="0" w:after="0" w:afterAutospacing="0"/>
        <w:ind w:left="0" w:right="0" w:firstLine="422" w:firstLineChars="200"/>
        <w:rPr>
          <w:rFonts w:ascii="宋体" w:hAnsi="宋体"/>
          <w:b/>
          <w:highlight w:val="none"/>
        </w:rPr>
      </w:pPr>
      <w:r>
        <w:rPr>
          <w:rFonts w:hint="eastAsia" w:ascii="宋体" w:hAnsi="宋体"/>
          <w:b/>
          <w:highlight w:val="none"/>
        </w:rPr>
        <w:t xml:space="preserve">16.2 </w:t>
      </w:r>
      <w:r>
        <w:rPr>
          <w:rFonts w:ascii="宋体" w:hAnsi="宋体"/>
          <w:b/>
          <w:highlight w:val="none"/>
        </w:rPr>
        <w:t>投标文件的正本需打印，并由投标人法定代表人或其</w:t>
      </w:r>
      <w:r>
        <w:rPr>
          <w:rFonts w:hint="eastAsia" w:ascii="宋体" w:hAnsi="宋体"/>
          <w:b/>
          <w:highlight w:val="none"/>
        </w:rPr>
        <w:t>委托代理人在招标文件规定的相关位置签字（或签章）和盖单位公章</w:t>
      </w:r>
      <w:r>
        <w:rPr>
          <w:rFonts w:ascii="宋体" w:hAnsi="宋体"/>
          <w:b/>
          <w:highlight w:val="none"/>
        </w:rPr>
        <w:t>。投标文件的副本可采用正本的复印件。</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16.3 </w:t>
      </w:r>
      <w:r>
        <w:rPr>
          <w:rFonts w:ascii="宋体" w:hAnsi="宋体"/>
          <w:highlight w:val="none"/>
        </w:rPr>
        <w:t>投标文件应无涂改和行间插字，除非是投标人造成的必须修改的错误，任何行间插字、涂改和增删，必须由投标人法定代表人或其</w:t>
      </w:r>
      <w:r>
        <w:rPr>
          <w:rFonts w:hint="eastAsia" w:ascii="宋体" w:hAnsi="宋体"/>
          <w:highlight w:val="none"/>
        </w:rPr>
        <w:t>委托代理人</w:t>
      </w:r>
      <w:r>
        <w:rPr>
          <w:rFonts w:ascii="宋体" w:hAnsi="宋体"/>
          <w:highlight w:val="none"/>
        </w:rPr>
        <w:t>在旁边</w:t>
      </w:r>
      <w:r>
        <w:rPr>
          <w:rFonts w:hint="eastAsia" w:ascii="宋体" w:hAnsi="宋体"/>
          <w:highlight w:val="none"/>
        </w:rPr>
        <w:t>签字（或盖章）</w:t>
      </w:r>
      <w:r>
        <w:rPr>
          <w:rFonts w:ascii="宋体" w:hAnsi="宋体"/>
          <w:highlight w:val="none"/>
        </w:rPr>
        <w:t>确认才有效。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16.4 </w:t>
      </w:r>
      <w:r>
        <w:rPr>
          <w:rFonts w:ascii="宋体" w:hAnsi="宋体"/>
          <w:highlight w:val="none"/>
        </w:rPr>
        <w:t>招标人及招标代理机构拒绝接受以电报、电话、传真、电子邮件形式的投标。</w:t>
      </w:r>
    </w:p>
    <w:p>
      <w:pPr>
        <w:pStyle w:val="5"/>
        <w:spacing w:after="0" w:afterAutospacing="0" w:line="360" w:lineRule="auto"/>
        <w:ind w:left="0" w:right="0" w:firstLine="482" w:firstLineChars="200"/>
        <w:rPr>
          <w:rFonts w:ascii="宋体" w:hAnsi="宋体" w:eastAsia="宋体"/>
          <w:sz w:val="24"/>
          <w:szCs w:val="24"/>
          <w:highlight w:val="none"/>
        </w:rPr>
      </w:pPr>
      <w:bookmarkStart w:id="565" w:name="_Toc26230"/>
      <w:bookmarkStart w:id="566" w:name="_Toc32176"/>
      <w:bookmarkStart w:id="567" w:name="_Toc383891188"/>
      <w:bookmarkStart w:id="568" w:name="_Toc17651"/>
      <w:bookmarkStart w:id="569" w:name="_Toc375039084"/>
      <w:bookmarkStart w:id="570" w:name="_Toc390098439"/>
      <w:bookmarkStart w:id="571" w:name="_Toc10234"/>
      <w:bookmarkStart w:id="572" w:name="_Toc18322"/>
      <w:bookmarkStart w:id="573" w:name="_Toc26241"/>
      <w:bookmarkStart w:id="574" w:name="_Toc30187"/>
      <w:bookmarkStart w:id="575" w:name="_Toc15116"/>
      <w:bookmarkStart w:id="576" w:name="_Toc6561"/>
      <w:bookmarkStart w:id="577" w:name="_Toc2975"/>
      <w:bookmarkStart w:id="578" w:name="_Toc30452"/>
      <w:bookmarkStart w:id="579" w:name="_Toc6101"/>
      <w:bookmarkStart w:id="580" w:name="_Toc15736"/>
      <w:bookmarkStart w:id="581" w:name="_Toc6014"/>
      <w:bookmarkStart w:id="582" w:name="_Toc23177"/>
      <w:bookmarkStart w:id="583" w:name="_Toc26551"/>
      <w:bookmarkStart w:id="584" w:name="_Toc1315"/>
      <w:bookmarkStart w:id="585" w:name="_Toc32054"/>
      <w:bookmarkStart w:id="586" w:name="_Toc9049"/>
      <w:bookmarkStart w:id="587" w:name="_Toc26501"/>
      <w:bookmarkStart w:id="588" w:name="_Toc12983523"/>
      <w:bookmarkStart w:id="589" w:name="_Toc2113"/>
      <w:bookmarkStart w:id="590" w:name="_Toc29333"/>
      <w:bookmarkStart w:id="591" w:name="_Toc26664"/>
      <w:bookmarkStart w:id="592" w:name="_Toc1952"/>
      <w:bookmarkStart w:id="593" w:name="_Toc30962"/>
      <w:bookmarkStart w:id="594" w:name="_Toc16409"/>
      <w:bookmarkStart w:id="595" w:name="_Toc15253"/>
      <w:bookmarkStart w:id="596" w:name="_Toc26776"/>
      <w:bookmarkStart w:id="597" w:name="_Toc759"/>
      <w:bookmarkStart w:id="598" w:name="_Toc32552"/>
      <w:bookmarkStart w:id="599" w:name="_Toc19126"/>
      <w:bookmarkStart w:id="600" w:name="_Toc24384"/>
      <w:bookmarkStart w:id="601" w:name="_Toc492478738"/>
      <w:bookmarkStart w:id="602" w:name="_Toc20498"/>
      <w:bookmarkStart w:id="603" w:name="_Toc25302"/>
      <w:bookmarkStart w:id="604" w:name="_Toc20584"/>
      <w:bookmarkStart w:id="605" w:name="_Toc385427813"/>
      <w:bookmarkStart w:id="606" w:name="_Toc17147"/>
      <w:r>
        <w:rPr>
          <w:rFonts w:hint="eastAsia" w:ascii="宋体" w:hAnsi="宋体" w:eastAsia="宋体"/>
          <w:sz w:val="24"/>
          <w:szCs w:val="24"/>
          <w:highlight w:val="none"/>
        </w:rPr>
        <w:t>四、</w:t>
      </w:r>
      <w:r>
        <w:rPr>
          <w:rFonts w:ascii="宋体" w:hAnsi="宋体" w:eastAsia="宋体"/>
          <w:sz w:val="24"/>
          <w:szCs w:val="24"/>
          <w:highlight w:val="none"/>
        </w:rPr>
        <w:t>投标</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6"/>
        <w:spacing w:before="0" w:after="0" w:afterAutospacing="0"/>
        <w:ind w:left="0" w:right="0" w:firstLine="422" w:firstLineChars="200"/>
        <w:rPr>
          <w:rFonts w:ascii="宋体" w:hAnsi="宋体"/>
          <w:sz w:val="21"/>
          <w:szCs w:val="21"/>
          <w:highlight w:val="none"/>
        </w:rPr>
      </w:pPr>
      <w:bookmarkStart w:id="607" w:name="_Toc385427814"/>
      <w:bookmarkStart w:id="608" w:name="_Toc15663"/>
      <w:bookmarkStart w:id="609" w:name="_Toc13829"/>
      <w:bookmarkStart w:id="610" w:name="_Toc383891189"/>
      <w:bookmarkStart w:id="611" w:name="_Toc12329"/>
      <w:bookmarkStart w:id="612" w:name="_Toc390098440"/>
      <w:bookmarkStart w:id="613" w:name="_Toc5922"/>
      <w:bookmarkStart w:id="614" w:name="_Toc17200"/>
      <w:bookmarkStart w:id="615" w:name="_Toc492478739"/>
      <w:bookmarkStart w:id="616" w:name="_Toc13621"/>
      <w:bookmarkStart w:id="617" w:name="_Toc26249"/>
      <w:bookmarkStart w:id="618" w:name="_Toc19495"/>
      <w:bookmarkStart w:id="619" w:name="_Toc15071"/>
      <w:bookmarkStart w:id="620" w:name="_Toc12983524"/>
      <w:bookmarkStart w:id="621" w:name="_Toc12117"/>
      <w:bookmarkStart w:id="622" w:name="_Toc18616"/>
      <w:bookmarkStart w:id="623" w:name="_Toc24648"/>
      <w:bookmarkStart w:id="624" w:name="_Toc15735"/>
      <w:bookmarkStart w:id="625" w:name="_Toc13875"/>
      <w:bookmarkStart w:id="626" w:name="_Toc15650"/>
      <w:bookmarkStart w:id="627" w:name="_Toc9307"/>
      <w:bookmarkStart w:id="628" w:name="_Toc30196"/>
      <w:bookmarkStart w:id="629" w:name="_Toc375039085"/>
      <w:r>
        <w:rPr>
          <w:rFonts w:hint="eastAsia" w:ascii="宋体" w:hAnsi="宋体"/>
          <w:sz w:val="21"/>
          <w:szCs w:val="21"/>
          <w:highlight w:val="none"/>
        </w:rPr>
        <w:t>17.</w:t>
      </w:r>
      <w:r>
        <w:rPr>
          <w:rFonts w:ascii="宋体" w:hAnsi="宋体"/>
          <w:sz w:val="21"/>
          <w:szCs w:val="21"/>
          <w:highlight w:val="none"/>
        </w:rPr>
        <w:t>投标文件</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Fonts w:hint="eastAsia" w:ascii="宋体" w:hAnsi="宋体"/>
          <w:sz w:val="21"/>
          <w:szCs w:val="21"/>
          <w:highlight w:val="none"/>
        </w:rPr>
        <w:t>的密封和标记</w:t>
      </w:r>
    </w:p>
    <w:p>
      <w:pPr>
        <w:tabs>
          <w:tab w:val="left" w:pos="1134"/>
          <w:tab w:val="left" w:pos="8364"/>
        </w:tabs>
        <w:spacing w:before="0" w:after="0" w:afterAutospacing="0"/>
        <w:ind w:left="0" w:right="0" w:firstLine="420" w:firstLineChars="200"/>
        <w:rPr>
          <w:rFonts w:ascii="宋体" w:hAnsi="宋体"/>
          <w:highlight w:val="none"/>
        </w:rPr>
      </w:pPr>
      <w:bookmarkStart w:id="630" w:name="_Toc390098441"/>
      <w:bookmarkStart w:id="631" w:name="_Toc383891190"/>
      <w:bookmarkStart w:id="632" w:name="_Toc375039086"/>
      <w:bookmarkStart w:id="633" w:name="_Toc385427815"/>
      <w:r>
        <w:rPr>
          <w:rFonts w:hint="eastAsia" w:ascii="宋体" w:hAnsi="宋体"/>
          <w:highlight w:val="none"/>
        </w:rPr>
        <w:t xml:space="preserve">17.1 </w:t>
      </w:r>
      <w:r>
        <w:rPr>
          <w:rFonts w:ascii="宋体" w:hAnsi="宋体"/>
          <w:highlight w:val="none"/>
        </w:rPr>
        <w:t>封装方式</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（1）投标文件正本与副本应分别装订成册，封面上应分别标明“正本”和“副本”字样。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）投标人可将投标文件封装为</w:t>
      </w:r>
      <w:r>
        <w:rPr>
          <w:rFonts w:ascii="宋体" w:hAnsi="宋体"/>
          <w:highlight w:val="none"/>
        </w:rPr>
        <w:t>1</w:t>
      </w:r>
      <w:r>
        <w:rPr>
          <w:rFonts w:hint="eastAsia" w:ascii="宋体" w:hAnsi="宋体"/>
          <w:highlight w:val="none"/>
        </w:rPr>
        <w:t>个包。</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（3）所有密封箱/袋应保证其密封性，并骑缝加盖投标人单位公章。</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17.2 </w:t>
      </w:r>
      <w:r>
        <w:rPr>
          <w:rFonts w:ascii="宋体" w:hAnsi="宋体"/>
          <w:highlight w:val="none"/>
        </w:rPr>
        <w:t>所有密封箱/袋都应具有下列识别标志：</w:t>
      </w:r>
    </w:p>
    <w:p>
      <w:pPr>
        <w:tabs>
          <w:tab w:val="left" w:pos="1155"/>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项目名称：</w:t>
      </w:r>
      <w:r>
        <w:rPr>
          <w:rFonts w:ascii="宋体" w:hAnsi="宋体"/>
          <w:highlight w:val="none"/>
          <w:u w:val="single"/>
        </w:rPr>
        <w:t>（填入项目名称）</w:t>
      </w:r>
      <w:r>
        <w:rPr>
          <w:rFonts w:ascii="宋体" w:hAnsi="宋体"/>
          <w:highlight w:val="none"/>
        </w:rPr>
        <w:t>；</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（2）项目编号</w:t>
      </w:r>
      <w:r>
        <w:rPr>
          <w:rFonts w:ascii="宋体" w:hAnsi="宋体"/>
          <w:highlight w:val="none"/>
        </w:rPr>
        <w:t>：</w:t>
      </w:r>
      <w:r>
        <w:rPr>
          <w:rFonts w:ascii="宋体" w:hAnsi="宋体"/>
          <w:highlight w:val="none"/>
          <w:u w:val="single"/>
        </w:rPr>
        <w:t>（填入</w:t>
      </w:r>
      <w:r>
        <w:rPr>
          <w:rFonts w:hint="eastAsia" w:ascii="宋体" w:hAnsi="宋体"/>
          <w:highlight w:val="none"/>
          <w:u w:val="single"/>
        </w:rPr>
        <w:t>项目编号</w:t>
      </w:r>
      <w:r>
        <w:rPr>
          <w:rFonts w:ascii="宋体" w:hAnsi="宋体"/>
          <w:highlight w:val="none"/>
          <w:u w:val="single"/>
        </w:rPr>
        <w:t>）</w:t>
      </w:r>
      <w:r>
        <w:rPr>
          <w:rFonts w:ascii="宋体" w:hAnsi="宋体"/>
          <w:highlight w:val="none"/>
        </w:rPr>
        <w:t>；</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 xml:space="preserve"> “</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r>
        <w:rPr>
          <w:rFonts w:hint="eastAsia" w:ascii="宋体" w:hAnsi="宋体"/>
          <w:highlight w:val="none"/>
          <w:u w:val="single"/>
        </w:rPr>
        <w:t xml:space="preserve">     </w:t>
      </w:r>
      <w:r>
        <w:rPr>
          <w:rFonts w:ascii="宋体" w:hAnsi="宋体"/>
          <w:highlight w:val="none"/>
        </w:rPr>
        <w:t>时</w:t>
      </w:r>
      <w:r>
        <w:rPr>
          <w:rFonts w:hint="eastAsia" w:ascii="宋体" w:hAnsi="宋体"/>
          <w:highlight w:val="none"/>
          <w:u w:val="single"/>
        </w:rPr>
        <w:t xml:space="preserve">     </w:t>
      </w:r>
      <w:r>
        <w:rPr>
          <w:rFonts w:ascii="宋体" w:hAnsi="宋体"/>
          <w:highlight w:val="none"/>
        </w:rPr>
        <w:t>分开标，此时间前不得开封”（填入</w:t>
      </w:r>
      <w:r>
        <w:rPr>
          <w:rFonts w:hint="eastAsia" w:ascii="宋体" w:hAnsi="宋体"/>
          <w:highlight w:val="none"/>
        </w:rPr>
        <w:t>投标须知</w:t>
      </w:r>
      <w:r>
        <w:rPr>
          <w:rFonts w:ascii="宋体" w:hAnsi="宋体"/>
          <w:highlight w:val="none"/>
        </w:rPr>
        <w:t>开标时间）字样。</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17.3 </w:t>
      </w:r>
      <w:r>
        <w:rPr>
          <w:rFonts w:ascii="宋体" w:hAnsi="宋体"/>
          <w:highlight w:val="none"/>
        </w:rPr>
        <w:t>所有密封箱</w:t>
      </w:r>
      <w:r>
        <w:rPr>
          <w:rFonts w:hint="eastAsia" w:ascii="宋体" w:hAnsi="宋体"/>
          <w:highlight w:val="none"/>
        </w:rPr>
        <w:t>/</w:t>
      </w:r>
      <w:r>
        <w:rPr>
          <w:rFonts w:ascii="宋体" w:hAnsi="宋体"/>
          <w:highlight w:val="none"/>
        </w:rPr>
        <w:t>袋上均应写明投标人的名称与地址，以便投标被宣布迟到时，能原封退回。</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17.4 </w:t>
      </w:r>
      <w:r>
        <w:rPr>
          <w:rFonts w:ascii="宋体" w:hAnsi="宋体"/>
          <w:highlight w:val="none"/>
        </w:rPr>
        <w:t>如果密封箱</w:t>
      </w:r>
      <w:r>
        <w:rPr>
          <w:rFonts w:hint="eastAsia" w:ascii="宋体" w:hAnsi="宋体"/>
          <w:highlight w:val="none"/>
        </w:rPr>
        <w:t>/</w:t>
      </w:r>
      <w:r>
        <w:rPr>
          <w:rFonts w:ascii="宋体" w:hAnsi="宋体"/>
          <w:highlight w:val="none"/>
        </w:rPr>
        <w:t>袋上没有按上述规定密封并加写标志，招标人将不承担投标文件错放或提前开封的责任，由此造成的提前开封的投标文件，招标人将予以拒绝，并退还给投标人。</w:t>
      </w:r>
    </w:p>
    <w:p>
      <w:pPr>
        <w:pStyle w:val="6"/>
        <w:spacing w:before="0" w:after="0" w:afterAutospacing="0"/>
        <w:ind w:left="0" w:right="0" w:firstLine="422" w:firstLineChars="200"/>
        <w:rPr>
          <w:rFonts w:ascii="宋体" w:hAnsi="宋体"/>
          <w:sz w:val="21"/>
          <w:szCs w:val="21"/>
          <w:highlight w:val="none"/>
        </w:rPr>
      </w:pPr>
      <w:r>
        <w:rPr>
          <w:rFonts w:hint="eastAsia" w:ascii="宋体" w:hAnsi="宋体"/>
          <w:sz w:val="21"/>
          <w:szCs w:val="21"/>
          <w:highlight w:val="none"/>
        </w:rPr>
        <w:t>18.</w:t>
      </w:r>
      <w:r>
        <w:rPr>
          <w:rFonts w:ascii="宋体" w:hAnsi="宋体"/>
          <w:sz w:val="21"/>
          <w:szCs w:val="21"/>
          <w:highlight w:val="none"/>
        </w:rPr>
        <w:t>投标文件</w:t>
      </w:r>
      <w:r>
        <w:rPr>
          <w:rFonts w:hint="eastAsia" w:ascii="宋体" w:hAnsi="宋体"/>
          <w:sz w:val="21"/>
          <w:szCs w:val="21"/>
          <w:highlight w:val="none"/>
        </w:rPr>
        <w:t>的递交</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18.1</w:t>
      </w:r>
      <w:r>
        <w:rPr>
          <w:rFonts w:ascii="宋体" w:hAnsi="宋体"/>
          <w:highlight w:val="none"/>
        </w:rPr>
        <w:t xml:space="preserve"> 投标人应在本章前附表规定的投标截止时间前递交投标文件。</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18</w:t>
      </w:r>
      <w:r>
        <w:rPr>
          <w:rFonts w:ascii="宋体" w:hAnsi="宋体"/>
          <w:highlight w:val="none"/>
        </w:rPr>
        <w:t>.2 投标人递交投标文件的地点：见“投标人须知前附表”。</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18</w:t>
      </w:r>
      <w:r>
        <w:rPr>
          <w:rFonts w:ascii="宋体" w:hAnsi="宋体"/>
          <w:highlight w:val="none"/>
        </w:rPr>
        <w:t>.3 除“投标人须知前附表”另有规定外，投标人所递交的投标文件不予退还。</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18</w:t>
      </w:r>
      <w:r>
        <w:rPr>
          <w:rFonts w:ascii="宋体" w:hAnsi="宋体"/>
          <w:highlight w:val="none"/>
        </w:rPr>
        <w:t>.4 逾期送达的或者未送达指定地点的投标文件，招标人</w:t>
      </w:r>
      <w:r>
        <w:rPr>
          <w:rFonts w:hint="eastAsia" w:ascii="宋体" w:hAnsi="宋体"/>
          <w:highlight w:val="none"/>
        </w:rPr>
        <w:t>将予以拒收</w:t>
      </w:r>
      <w:r>
        <w:rPr>
          <w:rFonts w:ascii="宋体" w:hAnsi="宋体"/>
          <w:highlight w:val="none"/>
        </w:rPr>
        <w:t>。</w:t>
      </w:r>
    </w:p>
    <w:p>
      <w:pPr>
        <w:tabs>
          <w:tab w:val="left" w:pos="1134"/>
          <w:tab w:val="left" w:pos="8364"/>
        </w:tabs>
        <w:spacing w:before="0" w:after="0" w:afterAutospacing="0"/>
        <w:ind w:left="0" w:right="0" w:firstLine="420" w:firstLineChars="200"/>
        <w:rPr>
          <w:rFonts w:hAnsi="宋体"/>
          <w:highlight w:val="none"/>
        </w:rPr>
      </w:pPr>
      <w:r>
        <w:rPr>
          <w:rFonts w:ascii="宋体" w:hAnsi="宋体"/>
          <w:highlight w:val="none"/>
        </w:rPr>
        <w:t>18.</w:t>
      </w:r>
      <w:r>
        <w:rPr>
          <w:rFonts w:hint="eastAsia" w:ascii="宋体" w:hAnsi="宋体"/>
          <w:highlight w:val="none"/>
        </w:rPr>
        <w:t>5 投标文件未</w:t>
      </w:r>
      <w:r>
        <w:rPr>
          <w:rFonts w:hint="eastAsia" w:ascii="宋体" w:hAnsi="宋体"/>
          <w:bCs/>
          <w:highlight w:val="none"/>
        </w:rPr>
        <w:t>按招标文件要求密封</w:t>
      </w:r>
      <w:r>
        <w:rPr>
          <w:rFonts w:hint="eastAsia" w:ascii="宋体" w:hAnsi="宋体"/>
          <w:highlight w:val="none"/>
        </w:rPr>
        <w:t>的，招标人有权拒收。</w:t>
      </w:r>
    </w:p>
    <w:p>
      <w:pPr>
        <w:pStyle w:val="6"/>
        <w:spacing w:before="0" w:after="0" w:afterAutospacing="0"/>
        <w:ind w:left="420" w:leftChars="200" w:right="0" w:firstLine="0"/>
        <w:rPr>
          <w:rFonts w:ascii="宋体" w:hAnsi="宋体"/>
          <w:sz w:val="21"/>
          <w:szCs w:val="21"/>
          <w:highlight w:val="none"/>
        </w:rPr>
      </w:pPr>
      <w:bookmarkStart w:id="634" w:name="_Toc22445"/>
      <w:bookmarkStart w:id="635" w:name="_Toc22180"/>
      <w:bookmarkStart w:id="636" w:name="_Toc6482"/>
      <w:bookmarkStart w:id="637" w:name="_Toc16266"/>
      <w:bookmarkStart w:id="638" w:name="_Toc23859"/>
      <w:bookmarkStart w:id="639" w:name="_Toc6339"/>
      <w:bookmarkStart w:id="640" w:name="_Toc32760"/>
      <w:bookmarkStart w:id="641" w:name="_Toc492478740"/>
      <w:bookmarkStart w:id="642" w:name="_Toc642"/>
      <w:bookmarkStart w:id="643" w:name="_Toc16755"/>
      <w:bookmarkStart w:id="644" w:name="_Toc11039"/>
      <w:bookmarkStart w:id="645" w:name="_Toc2337"/>
      <w:bookmarkStart w:id="646" w:name="_Toc4735"/>
      <w:bookmarkStart w:id="647" w:name="_Toc11096"/>
      <w:bookmarkStart w:id="648" w:name="_Toc13883"/>
      <w:bookmarkStart w:id="649" w:name="_Toc16818"/>
      <w:bookmarkStart w:id="650" w:name="_Toc28071"/>
      <w:bookmarkStart w:id="651" w:name="_Toc11255"/>
      <w:bookmarkStart w:id="652" w:name="_Toc12983525"/>
      <w:r>
        <w:rPr>
          <w:rFonts w:hint="eastAsia" w:ascii="宋体" w:hAnsi="宋体"/>
          <w:sz w:val="21"/>
          <w:szCs w:val="21"/>
          <w:highlight w:val="none"/>
        </w:rPr>
        <w:t>19.</w:t>
      </w:r>
      <w:r>
        <w:rPr>
          <w:rFonts w:ascii="宋体" w:hAnsi="宋体"/>
          <w:sz w:val="21"/>
          <w:szCs w:val="21"/>
          <w:highlight w:val="none"/>
        </w:rPr>
        <w:t>投标截止期</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19.1 </w:t>
      </w:r>
      <w:r>
        <w:rPr>
          <w:rFonts w:ascii="宋体" w:hAnsi="宋体"/>
          <w:highlight w:val="none"/>
        </w:rPr>
        <w:t>所有投标文件应派专人送交，并须按“投标须知前附表”中规定的投标截止时间</w:t>
      </w:r>
      <w:r>
        <w:rPr>
          <w:rFonts w:hint="eastAsia" w:ascii="宋体" w:hAnsi="宋体"/>
          <w:highlight w:val="none"/>
        </w:rPr>
        <w:t>前</w:t>
      </w:r>
      <w:r>
        <w:rPr>
          <w:rFonts w:ascii="宋体" w:hAnsi="宋体"/>
          <w:highlight w:val="none"/>
        </w:rPr>
        <w:t>送至开标地点。如有必要，投标人可事先自行到该场地进行察看。</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19.2 </w:t>
      </w:r>
      <w:r>
        <w:rPr>
          <w:rFonts w:ascii="宋体" w:hAnsi="宋体"/>
          <w:highlight w:val="none"/>
        </w:rPr>
        <w:t>出现投标须知第7条因招标文件的修改推迟投标截止时间时，则按招标代理机构和招标人修改通知规定的时间递交。在此情况下，招标代理机构、招标人和投标人受投标截止时间制约的所有权利和义务均应延长至新的投标截止时间。</w:t>
      </w:r>
    </w:p>
    <w:p>
      <w:pPr>
        <w:pStyle w:val="6"/>
        <w:spacing w:before="0" w:after="0" w:afterAutospacing="0"/>
        <w:ind w:left="420" w:leftChars="200" w:right="0" w:firstLine="0"/>
        <w:rPr>
          <w:rFonts w:ascii="宋体" w:hAnsi="宋体"/>
          <w:sz w:val="21"/>
          <w:szCs w:val="21"/>
          <w:highlight w:val="none"/>
        </w:rPr>
      </w:pPr>
      <w:bookmarkStart w:id="653" w:name="_Toc21960"/>
      <w:bookmarkStart w:id="654" w:name="_Toc385427816"/>
      <w:bookmarkStart w:id="655" w:name="_Toc3597"/>
      <w:bookmarkStart w:id="656" w:name="_Toc29066"/>
      <w:bookmarkStart w:id="657" w:name="_Toc324"/>
      <w:bookmarkStart w:id="658" w:name="_Toc32621"/>
      <w:bookmarkStart w:id="659" w:name="_Toc32252"/>
      <w:bookmarkStart w:id="660" w:name="_Toc10818"/>
      <w:bookmarkStart w:id="661" w:name="_Toc29473"/>
      <w:bookmarkStart w:id="662" w:name="_Toc492478741"/>
      <w:bookmarkStart w:id="663" w:name="_Toc26431"/>
      <w:bookmarkStart w:id="664" w:name="_Toc13581"/>
      <w:bookmarkStart w:id="665" w:name="_Toc14239"/>
      <w:bookmarkStart w:id="666" w:name="_Toc22945"/>
      <w:bookmarkStart w:id="667" w:name="_Toc9522"/>
      <w:bookmarkStart w:id="668" w:name="_Toc390098442"/>
      <w:bookmarkStart w:id="669" w:name="_Toc11373"/>
      <w:bookmarkStart w:id="670" w:name="_Toc15252"/>
      <w:bookmarkStart w:id="671" w:name="_Toc23404"/>
      <w:bookmarkStart w:id="672" w:name="_Toc375039087"/>
      <w:bookmarkStart w:id="673" w:name="_Toc12983526"/>
      <w:bookmarkStart w:id="674" w:name="_Toc383891191"/>
      <w:bookmarkStart w:id="675" w:name="_Toc2226"/>
      <w:r>
        <w:rPr>
          <w:rFonts w:hint="eastAsia" w:ascii="宋体" w:hAnsi="宋体"/>
          <w:sz w:val="21"/>
          <w:szCs w:val="21"/>
          <w:highlight w:val="none"/>
        </w:rPr>
        <w:t>20.</w:t>
      </w:r>
      <w:r>
        <w:rPr>
          <w:rFonts w:ascii="宋体" w:hAnsi="宋体"/>
          <w:sz w:val="21"/>
          <w:szCs w:val="21"/>
          <w:highlight w:val="none"/>
        </w:rPr>
        <w:t>迟交的投标文件</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招标代理机构将拒绝并原封退回在</w:t>
      </w:r>
      <w:r>
        <w:rPr>
          <w:rFonts w:hint="eastAsia" w:ascii="宋体" w:hAnsi="宋体"/>
          <w:highlight w:val="none"/>
        </w:rPr>
        <w:t>本须知前附表</w:t>
      </w:r>
      <w:r>
        <w:rPr>
          <w:rFonts w:ascii="宋体" w:hAnsi="宋体"/>
          <w:highlight w:val="none"/>
        </w:rPr>
        <w:t>规定的投标截止时间后收到的任何投标文件。</w:t>
      </w:r>
    </w:p>
    <w:p>
      <w:pPr>
        <w:pStyle w:val="6"/>
        <w:spacing w:before="0" w:after="0" w:afterAutospacing="0"/>
        <w:ind w:left="420" w:leftChars="200" w:right="0" w:firstLine="0"/>
        <w:rPr>
          <w:rFonts w:ascii="宋体" w:hAnsi="宋体"/>
          <w:sz w:val="21"/>
          <w:szCs w:val="21"/>
          <w:highlight w:val="none"/>
        </w:rPr>
      </w:pPr>
      <w:bookmarkStart w:id="676" w:name="_Toc26282"/>
      <w:bookmarkStart w:id="677" w:name="_Toc25427"/>
      <w:bookmarkStart w:id="678" w:name="_Toc9706"/>
      <w:bookmarkStart w:id="679" w:name="_Toc17797"/>
      <w:bookmarkStart w:id="680" w:name="_Toc390098443"/>
      <w:bookmarkStart w:id="681" w:name="_Toc21796"/>
      <w:bookmarkStart w:id="682" w:name="_Toc4605"/>
      <w:bookmarkStart w:id="683" w:name="_Toc375039088"/>
      <w:bookmarkStart w:id="684" w:name="_Toc14411"/>
      <w:bookmarkStart w:id="685" w:name="_Toc24030"/>
      <w:bookmarkStart w:id="686" w:name="_Toc12983527"/>
      <w:bookmarkStart w:id="687" w:name="_Toc492478742"/>
      <w:bookmarkStart w:id="688" w:name="_Toc14522"/>
      <w:bookmarkStart w:id="689" w:name="_Toc385427817"/>
      <w:bookmarkStart w:id="690" w:name="_Toc8636"/>
      <w:bookmarkStart w:id="691" w:name="_Toc23449"/>
      <w:bookmarkStart w:id="692" w:name="_Toc27195"/>
      <w:bookmarkStart w:id="693" w:name="_Toc383891192"/>
      <w:bookmarkStart w:id="694" w:name="_Toc29208"/>
      <w:bookmarkStart w:id="695" w:name="_Toc28452"/>
      <w:bookmarkStart w:id="696" w:name="_Toc243"/>
      <w:bookmarkStart w:id="697" w:name="_Toc12682"/>
      <w:bookmarkStart w:id="698" w:name="_Toc31033"/>
      <w:r>
        <w:rPr>
          <w:rFonts w:hint="eastAsia" w:ascii="宋体" w:hAnsi="宋体"/>
          <w:sz w:val="21"/>
          <w:szCs w:val="21"/>
          <w:highlight w:val="none"/>
        </w:rPr>
        <w:t>21.</w:t>
      </w:r>
      <w:r>
        <w:rPr>
          <w:rFonts w:ascii="宋体" w:hAnsi="宋体"/>
          <w:sz w:val="21"/>
          <w:szCs w:val="21"/>
          <w:highlight w:val="none"/>
        </w:rPr>
        <w:t>投标文件的修改和撤回</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21.1 </w:t>
      </w:r>
      <w:r>
        <w:rPr>
          <w:rFonts w:ascii="宋体" w:hAnsi="宋体"/>
          <w:highlight w:val="none"/>
        </w:rPr>
        <w:t>投标人在提交投标文件后可对其投标文件进行修改或撤回，但该修改或撤回的书面通知须在投标截止时间之前送达招标代理机构</w:t>
      </w:r>
      <w:r>
        <w:rPr>
          <w:rFonts w:hint="eastAsia" w:ascii="宋体" w:hAnsi="宋体"/>
          <w:highlight w:val="none"/>
        </w:rPr>
        <w:t>，</w:t>
      </w:r>
      <w:r>
        <w:rPr>
          <w:rFonts w:ascii="宋体" w:hAnsi="宋体"/>
          <w:highlight w:val="none"/>
        </w:rPr>
        <w:t>且该通知需经</w:t>
      </w:r>
      <w:r>
        <w:rPr>
          <w:rFonts w:hint="eastAsia" w:ascii="宋体" w:hAnsi="宋体"/>
          <w:highlight w:val="none"/>
        </w:rPr>
        <w:t>法定代表人或</w:t>
      </w:r>
      <w:r>
        <w:rPr>
          <w:rFonts w:ascii="宋体" w:hAnsi="宋体"/>
          <w:highlight w:val="none"/>
        </w:rPr>
        <w:t>正式授权的投标人代表签字方为有效。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21.2 </w:t>
      </w:r>
      <w:r>
        <w:rPr>
          <w:rFonts w:ascii="宋体" w:hAnsi="宋体"/>
          <w:highlight w:val="none"/>
        </w:rPr>
        <w:t>投标人对投标文件修改的书面材料应按本投标须知</w:t>
      </w:r>
      <w:r>
        <w:rPr>
          <w:rFonts w:hint="eastAsia" w:ascii="宋体" w:hAnsi="宋体"/>
          <w:highlight w:val="none"/>
        </w:rPr>
        <w:t>16</w:t>
      </w:r>
      <w:r>
        <w:rPr>
          <w:rFonts w:ascii="宋体" w:hAnsi="宋体"/>
          <w:highlight w:val="none"/>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highlight w:val="none"/>
        </w:rPr>
        <w:t>17</w:t>
      </w:r>
      <w:r>
        <w:rPr>
          <w:rFonts w:ascii="宋体" w:hAnsi="宋体"/>
          <w:highlight w:val="none"/>
        </w:rPr>
        <w:t>条</w:t>
      </w:r>
      <w:r>
        <w:rPr>
          <w:rFonts w:ascii="宋体" w:hAnsi="宋体"/>
          <w:highlight w:val="none"/>
        </w:rPr>
        <w:fldChar w:fldCharType="end"/>
      </w:r>
      <w:r>
        <w:rPr>
          <w:rFonts w:ascii="宋体" w:hAnsi="宋体"/>
          <w:highlight w:val="none"/>
        </w:rPr>
        <w:t>规定进行编写、密封、标注和递送，并注明“修改投标文件”字样。</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21.3 </w:t>
      </w:r>
      <w:r>
        <w:rPr>
          <w:rFonts w:ascii="宋体" w:hAnsi="宋体"/>
          <w:highlight w:val="none"/>
        </w:rPr>
        <w:t>投标截止时间以后投标人不得修改投标文件。</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21.4 </w:t>
      </w:r>
      <w:r>
        <w:rPr>
          <w:rFonts w:ascii="宋体" w:hAnsi="宋体"/>
          <w:highlight w:val="none"/>
        </w:rPr>
        <w:t>投标人不得在投标截止时间至投标有效期期满前撤销投标文件。否则</w:t>
      </w:r>
      <w:r>
        <w:rPr>
          <w:rFonts w:hint="eastAsia" w:ascii="宋体" w:hAnsi="宋体"/>
          <w:highlight w:val="none"/>
        </w:rPr>
        <w:t>招标人有权</w:t>
      </w:r>
      <w:r>
        <w:rPr>
          <w:rFonts w:ascii="宋体" w:hAnsi="宋体"/>
          <w:highlight w:val="none"/>
        </w:rPr>
        <w:t>要求</w:t>
      </w:r>
      <w:r>
        <w:rPr>
          <w:rFonts w:hint="eastAsia" w:ascii="宋体" w:hAnsi="宋体"/>
          <w:highlight w:val="none"/>
        </w:rPr>
        <w:t>投标人</w:t>
      </w:r>
      <w:r>
        <w:rPr>
          <w:rFonts w:ascii="宋体" w:hAnsi="宋体"/>
          <w:highlight w:val="none"/>
        </w:rPr>
        <w:t>对损失给予赔偿。</w:t>
      </w:r>
    </w:p>
    <w:p>
      <w:pPr>
        <w:pStyle w:val="5"/>
        <w:spacing w:after="0" w:afterAutospacing="0" w:line="360" w:lineRule="auto"/>
        <w:ind w:left="0" w:right="0" w:firstLine="482" w:firstLineChars="200"/>
        <w:rPr>
          <w:rFonts w:ascii="宋体" w:hAnsi="宋体" w:eastAsia="宋体"/>
          <w:sz w:val="24"/>
          <w:szCs w:val="24"/>
          <w:highlight w:val="none"/>
        </w:rPr>
      </w:pPr>
      <w:bookmarkStart w:id="699" w:name="_Toc22173"/>
      <w:bookmarkStart w:id="700" w:name="_Toc2749"/>
      <w:bookmarkStart w:id="701" w:name="_Toc2306"/>
      <w:bookmarkStart w:id="702" w:name="_Toc25433"/>
      <w:bookmarkStart w:id="703" w:name="_Toc9728"/>
      <w:bookmarkStart w:id="704" w:name="_Toc31978"/>
      <w:bookmarkStart w:id="705" w:name="_Toc383891193"/>
      <w:bookmarkStart w:id="706" w:name="_Toc21328"/>
      <w:bookmarkStart w:id="707" w:name="_Toc29788"/>
      <w:bookmarkStart w:id="708" w:name="_Toc29264"/>
      <w:bookmarkStart w:id="709" w:name="_Toc9627"/>
      <w:bookmarkStart w:id="710" w:name="_Toc1790"/>
      <w:bookmarkStart w:id="711" w:name="_Toc21290"/>
      <w:bookmarkStart w:id="712" w:name="_Toc31076"/>
      <w:bookmarkStart w:id="713" w:name="_Toc24485"/>
      <w:bookmarkStart w:id="714" w:name="_Toc10325"/>
      <w:bookmarkStart w:id="715" w:name="_Toc25577"/>
      <w:bookmarkStart w:id="716" w:name="_Toc14212"/>
      <w:bookmarkStart w:id="717" w:name="_Toc3006"/>
      <w:bookmarkStart w:id="718" w:name="_Toc492478743"/>
      <w:bookmarkStart w:id="719" w:name="_Toc375039089"/>
      <w:bookmarkStart w:id="720" w:name="_Toc385427818"/>
      <w:bookmarkStart w:id="721" w:name="_Toc16856"/>
      <w:bookmarkStart w:id="722" w:name="_Toc28694"/>
      <w:bookmarkStart w:id="723" w:name="_Toc18076"/>
      <w:bookmarkStart w:id="724" w:name="_Toc2000"/>
      <w:bookmarkStart w:id="725" w:name="_Toc9549"/>
      <w:bookmarkStart w:id="726" w:name="_Toc390098444"/>
      <w:bookmarkStart w:id="727" w:name="_Toc9880"/>
      <w:bookmarkStart w:id="728" w:name="_Toc21585"/>
      <w:bookmarkStart w:id="729" w:name="_Toc22587"/>
      <w:bookmarkStart w:id="730" w:name="_Toc12983528"/>
      <w:bookmarkStart w:id="731" w:name="_Toc14917"/>
      <w:bookmarkStart w:id="732" w:name="_Toc12182"/>
      <w:bookmarkStart w:id="733" w:name="_Toc5592"/>
      <w:bookmarkStart w:id="734" w:name="_Toc31719"/>
      <w:bookmarkStart w:id="735" w:name="_Toc28679"/>
      <w:bookmarkStart w:id="736" w:name="_Toc11529"/>
      <w:bookmarkStart w:id="737" w:name="_Toc19671"/>
      <w:bookmarkStart w:id="738" w:name="_Toc4291"/>
      <w:bookmarkStart w:id="739" w:name="_Toc15664"/>
      <w:bookmarkStart w:id="740" w:name="_Toc23512"/>
      <w:r>
        <w:rPr>
          <w:rFonts w:hint="eastAsia" w:ascii="宋体" w:hAnsi="宋体" w:eastAsia="宋体"/>
          <w:sz w:val="24"/>
          <w:szCs w:val="24"/>
          <w:highlight w:val="none"/>
        </w:rPr>
        <w:t>五、</w:t>
      </w:r>
      <w:r>
        <w:rPr>
          <w:rFonts w:ascii="宋体" w:hAnsi="宋体" w:eastAsia="宋体"/>
          <w:sz w:val="24"/>
          <w:szCs w:val="24"/>
          <w:highlight w:val="none"/>
        </w:rPr>
        <w:t>开标与评标</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6"/>
        <w:spacing w:before="0" w:after="0" w:afterAutospacing="0"/>
        <w:ind w:left="0" w:right="0" w:firstLine="422" w:firstLineChars="200"/>
        <w:rPr>
          <w:rFonts w:ascii="宋体" w:hAnsi="宋体"/>
          <w:sz w:val="21"/>
          <w:szCs w:val="21"/>
          <w:highlight w:val="none"/>
        </w:rPr>
      </w:pPr>
      <w:bookmarkStart w:id="741" w:name="_Toc5182"/>
      <w:bookmarkStart w:id="742" w:name="_Toc6974"/>
      <w:bookmarkStart w:id="743" w:name="_Toc24196"/>
      <w:bookmarkStart w:id="744" w:name="_Toc492478744"/>
      <w:bookmarkStart w:id="745" w:name="_Toc25116"/>
      <w:bookmarkStart w:id="746" w:name="_Toc4365"/>
      <w:bookmarkStart w:id="747" w:name="_Toc390098445"/>
      <w:bookmarkStart w:id="748" w:name="_Toc6839"/>
      <w:bookmarkStart w:id="749" w:name="_Toc4825"/>
      <w:bookmarkStart w:id="750" w:name="_Toc375039090"/>
      <w:bookmarkStart w:id="751" w:name="_Toc385427819"/>
      <w:bookmarkStart w:id="752" w:name="_Toc383891194"/>
      <w:bookmarkStart w:id="753" w:name="_Toc4638"/>
      <w:bookmarkStart w:id="754" w:name="_Toc9264"/>
      <w:bookmarkStart w:id="755" w:name="_Toc10883"/>
      <w:bookmarkStart w:id="756" w:name="_Toc23705"/>
      <w:bookmarkStart w:id="757" w:name="_Toc18919"/>
      <w:bookmarkStart w:id="758" w:name="_Toc9309"/>
      <w:bookmarkStart w:id="759" w:name="_Toc12983529"/>
      <w:bookmarkStart w:id="760" w:name="_Toc4674"/>
      <w:bookmarkStart w:id="761" w:name="_Toc895"/>
      <w:bookmarkStart w:id="762" w:name="_Toc6377"/>
      <w:bookmarkStart w:id="763" w:name="_Toc10292"/>
      <w:r>
        <w:rPr>
          <w:rFonts w:hint="eastAsia" w:ascii="宋体" w:hAnsi="宋体"/>
          <w:sz w:val="21"/>
          <w:szCs w:val="21"/>
          <w:highlight w:val="none"/>
        </w:rPr>
        <w:t>22.</w:t>
      </w:r>
      <w:r>
        <w:rPr>
          <w:rFonts w:ascii="宋体" w:hAnsi="宋体"/>
          <w:sz w:val="21"/>
          <w:szCs w:val="21"/>
          <w:highlight w:val="none"/>
        </w:rPr>
        <w:t>开标</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tabs>
          <w:tab w:val="left" w:pos="945"/>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22.1 招标人将按本须知</w:t>
      </w:r>
      <w:r>
        <w:rPr>
          <w:rFonts w:ascii="宋体" w:hAnsi="宋体"/>
          <w:highlight w:val="none"/>
        </w:rPr>
        <w:t>18.1</w:t>
      </w:r>
      <w:r>
        <w:rPr>
          <w:rFonts w:hint="eastAsia" w:ascii="宋体" w:hAnsi="宋体"/>
          <w:highlight w:val="none"/>
        </w:rPr>
        <w:t>和18.2条规定的时间和地址，对所有按时递交并已签收达三个或以上投标人的投标文件进行开标。投标文件有下列情形之一的，招标人应当拒收：</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2</w:t>
      </w:r>
      <w:r>
        <w:rPr>
          <w:rFonts w:ascii="宋体" w:hAnsi="宋体"/>
          <w:b/>
          <w:highlight w:val="none"/>
        </w:rPr>
        <w:t>.1.1</w:t>
      </w:r>
      <w:r>
        <w:rPr>
          <w:rFonts w:hint="eastAsia" w:ascii="宋体" w:hAnsi="宋体"/>
          <w:b/>
          <w:highlight w:val="none"/>
        </w:rPr>
        <w:t xml:space="preserve"> </w:t>
      </w:r>
      <w:r>
        <w:rPr>
          <w:rFonts w:ascii="宋体" w:hAnsi="宋体"/>
          <w:b/>
          <w:highlight w:val="none"/>
        </w:rPr>
        <w:t>逾期送达的或者未送达指定地点的投标文件</w:t>
      </w:r>
      <w:r>
        <w:rPr>
          <w:rFonts w:hint="eastAsia" w:ascii="宋体" w:hAnsi="宋体"/>
          <w:b/>
          <w:highlight w:val="none"/>
        </w:rPr>
        <w:t>；</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2</w:t>
      </w:r>
      <w:r>
        <w:rPr>
          <w:rFonts w:ascii="宋体" w:hAnsi="宋体"/>
          <w:b/>
          <w:highlight w:val="none"/>
        </w:rPr>
        <w:t>.1.2</w:t>
      </w:r>
      <w:r>
        <w:rPr>
          <w:rFonts w:hint="eastAsia" w:ascii="宋体" w:hAnsi="宋体"/>
          <w:b/>
          <w:highlight w:val="none"/>
        </w:rPr>
        <w:t xml:space="preserve"> 投标文件外包封</w:t>
      </w:r>
      <w:r>
        <w:rPr>
          <w:rFonts w:ascii="宋体" w:hAnsi="宋体"/>
          <w:b/>
          <w:highlight w:val="none"/>
        </w:rPr>
        <w:t>未</w:t>
      </w:r>
      <w:r>
        <w:rPr>
          <w:rFonts w:hint="eastAsia" w:ascii="宋体" w:hAnsi="宋体"/>
          <w:b/>
          <w:highlight w:val="none"/>
        </w:rPr>
        <w:t>按招标文件要求</w:t>
      </w:r>
      <w:r>
        <w:rPr>
          <w:rFonts w:ascii="宋体" w:hAnsi="宋体"/>
          <w:b/>
          <w:highlight w:val="none"/>
        </w:rPr>
        <w:t>密封的</w:t>
      </w:r>
      <w:r>
        <w:rPr>
          <w:rFonts w:hint="eastAsia" w:ascii="宋体" w:hAnsi="宋体"/>
          <w:b/>
          <w:highlight w:val="none"/>
        </w:rPr>
        <w:t>。</w:t>
      </w:r>
    </w:p>
    <w:p>
      <w:pPr>
        <w:tabs>
          <w:tab w:val="left" w:pos="945"/>
          <w:tab w:val="left" w:pos="1134"/>
          <w:tab w:val="left" w:pos="8364"/>
        </w:tabs>
        <w:spacing w:before="0" w:after="0" w:afterAutospacing="0"/>
        <w:ind w:left="0" w:right="0" w:firstLine="422" w:firstLineChars="200"/>
        <w:rPr>
          <w:rFonts w:ascii="宋体" w:hAnsi="宋体"/>
          <w:b/>
          <w:bCs/>
          <w:highlight w:val="none"/>
        </w:rPr>
      </w:pPr>
      <w:r>
        <w:rPr>
          <w:rFonts w:hint="eastAsia" w:ascii="宋体" w:hAnsi="宋体"/>
          <w:b/>
          <w:highlight w:val="none"/>
        </w:rPr>
        <w:t>22.2 投标人可自行决定是否参加现场开标活动，但未参加开标会的投标人视同已认可本次开标会全过程，并在开标记录中注明其未到场。参加现场开标活动的</w:t>
      </w:r>
      <w:r>
        <w:rPr>
          <w:rFonts w:ascii="宋体" w:hAnsi="宋体"/>
          <w:b/>
          <w:highlight w:val="none"/>
        </w:rPr>
        <w:t>投标人法定代表人或其</w:t>
      </w:r>
      <w:r>
        <w:rPr>
          <w:rFonts w:hint="eastAsia" w:ascii="宋体" w:hAnsi="宋体"/>
          <w:b/>
          <w:highlight w:val="none"/>
        </w:rPr>
        <w:t>委托代理人</w:t>
      </w:r>
      <w:r>
        <w:rPr>
          <w:rFonts w:ascii="宋体" w:hAnsi="宋体"/>
          <w:b/>
          <w:highlight w:val="none"/>
        </w:rPr>
        <w:t>（以下统称</w:t>
      </w:r>
      <w:r>
        <w:rPr>
          <w:rFonts w:hint="eastAsia" w:ascii="宋体" w:hAnsi="宋体"/>
          <w:b/>
          <w:highlight w:val="none"/>
        </w:rPr>
        <w:t>“</w:t>
      </w:r>
      <w:r>
        <w:rPr>
          <w:rFonts w:ascii="宋体" w:hAnsi="宋体"/>
          <w:b/>
          <w:highlight w:val="none"/>
        </w:rPr>
        <w:t>投标人代表</w:t>
      </w:r>
      <w:r>
        <w:rPr>
          <w:rFonts w:hint="eastAsia" w:ascii="宋体" w:hAnsi="宋体"/>
          <w:b/>
          <w:highlight w:val="none"/>
        </w:rPr>
        <w:t>”</w:t>
      </w:r>
      <w:r>
        <w:rPr>
          <w:rFonts w:ascii="宋体" w:hAnsi="宋体"/>
          <w:b/>
          <w:highlight w:val="none"/>
        </w:rPr>
        <w:t>）必须在投标截止前到开标地点招标代理机构处签到确认参加开标会</w:t>
      </w:r>
      <w:r>
        <w:rPr>
          <w:rFonts w:hint="eastAsia" w:ascii="宋体" w:hAnsi="宋体"/>
          <w:b/>
          <w:highlight w:val="none"/>
        </w:rPr>
        <w:t>。</w:t>
      </w:r>
      <w:r>
        <w:rPr>
          <w:rFonts w:ascii="宋体" w:hAnsi="宋体"/>
          <w:b/>
          <w:highlight w:val="none"/>
        </w:rPr>
        <w:t>开标前须出示</w:t>
      </w:r>
      <w:r>
        <w:rPr>
          <w:rFonts w:ascii="宋体" w:hAnsi="宋体"/>
          <w:b/>
          <w:bCs/>
          <w:highlight w:val="none"/>
        </w:rPr>
        <w:t>法定代表人</w:t>
      </w:r>
      <w:r>
        <w:rPr>
          <w:rFonts w:hint="eastAsia" w:ascii="宋体" w:hAnsi="宋体"/>
          <w:b/>
          <w:bCs/>
          <w:highlight w:val="none"/>
        </w:rPr>
        <w:t>证明书原件和</w:t>
      </w:r>
      <w:r>
        <w:rPr>
          <w:rFonts w:ascii="宋体" w:hAnsi="宋体"/>
          <w:b/>
          <w:highlight w:val="none"/>
        </w:rPr>
        <w:t>本人有效身份证（</w:t>
      </w:r>
      <w:r>
        <w:rPr>
          <w:rFonts w:hint="eastAsia" w:ascii="宋体" w:hAnsi="宋体"/>
          <w:b/>
          <w:highlight w:val="none"/>
        </w:rPr>
        <w:t>限中国公民居民身份证、外籍有效护照</w:t>
      </w:r>
      <w:r>
        <w:rPr>
          <w:rFonts w:ascii="宋体" w:hAnsi="宋体"/>
          <w:b/>
          <w:highlight w:val="none"/>
        </w:rPr>
        <w:t>，下同）的原件，投标人</w:t>
      </w:r>
      <w:r>
        <w:rPr>
          <w:rFonts w:hint="eastAsia" w:ascii="宋体" w:hAnsi="宋体"/>
          <w:b/>
          <w:highlight w:val="none"/>
        </w:rPr>
        <w:t>委托代理人</w:t>
      </w:r>
      <w:r>
        <w:rPr>
          <w:rFonts w:ascii="宋体" w:hAnsi="宋体"/>
          <w:b/>
          <w:highlight w:val="none"/>
        </w:rPr>
        <w:t>还必须同时出示投标授权书原件，以证明</w:t>
      </w:r>
      <w:r>
        <w:rPr>
          <w:rFonts w:hint="eastAsia" w:ascii="宋体" w:hAnsi="宋体"/>
          <w:b/>
          <w:highlight w:val="none"/>
        </w:rPr>
        <w:t>委托代理人</w:t>
      </w:r>
      <w:r>
        <w:rPr>
          <w:rFonts w:ascii="宋体" w:hAnsi="宋体"/>
          <w:b/>
          <w:highlight w:val="none"/>
        </w:rPr>
        <w:t>的身份和被授权范围，并由招标人或其委托的公证机构代表验证确认。</w:t>
      </w:r>
    </w:p>
    <w:p>
      <w:pPr>
        <w:tabs>
          <w:tab w:val="left" w:pos="94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22.3 开标程序</w:t>
      </w:r>
    </w:p>
    <w:p>
      <w:pPr>
        <w:tabs>
          <w:tab w:val="left" w:pos="945"/>
          <w:tab w:val="left" w:pos="1134"/>
          <w:tab w:val="left" w:pos="8364"/>
        </w:tabs>
        <w:spacing w:afterAutospacing="0"/>
        <w:ind w:left="0" w:right="0" w:firstLine="420" w:firstLineChars="200"/>
        <w:jc w:val="left"/>
        <w:rPr>
          <w:rFonts w:ascii="宋体" w:hAnsi="宋体"/>
          <w:highlight w:val="none"/>
        </w:rPr>
      </w:pPr>
      <w:r>
        <w:rPr>
          <w:rFonts w:ascii="宋体" w:hAnsi="宋体"/>
          <w:highlight w:val="none"/>
        </w:rPr>
        <w:t>开标会议由招标</w:t>
      </w:r>
      <w:r>
        <w:rPr>
          <w:rFonts w:hint="eastAsia" w:ascii="宋体" w:hAnsi="宋体"/>
          <w:highlight w:val="none"/>
        </w:rPr>
        <w:t>代理机构</w:t>
      </w:r>
      <w:r>
        <w:rPr>
          <w:rFonts w:ascii="宋体" w:hAnsi="宋体"/>
          <w:highlight w:val="none"/>
        </w:rPr>
        <w:t>组织并主持。</w:t>
      </w:r>
    </w:p>
    <w:p>
      <w:pPr>
        <w:pStyle w:val="13"/>
        <w:numPr>
          <w:ilvl w:val="0"/>
          <w:numId w:val="1"/>
        </w:numPr>
        <w:spacing w:afterAutospacing="0"/>
        <w:ind w:left="0" w:right="0" w:firstLine="420" w:firstLineChars="200"/>
        <w:jc w:val="left"/>
        <w:rPr>
          <w:rFonts w:hAnsi="宋体" w:cs="Times New Roman"/>
          <w:sz w:val="21"/>
          <w:szCs w:val="21"/>
          <w:highlight w:val="none"/>
        </w:rPr>
      </w:pPr>
      <w:r>
        <w:rPr>
          <w:rFonts w:hint="eastAsia" w:hAnsi="宋体" w:cs="Times New Roman"/>
          <w:sz w:val="21"/>
          <w:szCs w:val="21"/>
          <w:highlight w:val="none"/>
        </w:rPr>
        <w:t>宣布开标纪律；</w:t>
      </w:r>
    </w:p>
    <w:p>
      <w:pPr>
        <w:pStyle w:val="13"/>
        <w:numPr>
          <w:ilvl w:val="255"/>
          <w:numId w:val="0"/>
        </w:numPr>
        <w:spacing w:afterAutospacing="0"/>
        <w:ind w:right="0" w:firstLine="420" w:firstLineChars="200"/>
        <w:jc w:val="left"/>
        <w:rPr>
          <w:rFonts w:hAnsi="宋体" w:cs="Times New Roman"/>
          <w:sz w:val="21"/>
          <w:szCs w:val="21"/>
          <w:highlight w:val="none"/>
        </w:rPr>
      </w:pPr>
      <w:r>
        <w:rPr>
          <w:rFonts w:hint="eastAsia" w:hAnsi="宋体" w:cs="Times New Roman"/>
          <w:sz w:val="21"/>
          <w:szCs w:val="21"/>
          <w:highlight w:val="none"/>
        </w:rPr>
        <w:t>（2）公布在投标截止时间前递交投标文件的投标人名称；</w:t>
      </w:r>
    </w:p>
    <w:p>
      <w:pPr>
        <w:pStyle w:val="13"/>
        <w:numPr>
          <w:ilvl w:val="255"/>
          <w:numId w:val="0"/>
        </w:numPr>
        <w:spacing w:afterAutospacing="0"/>
        <w:ind w:right="0" w:firstLine="420" w:firstLineChars="200"/>
        <w:jc w:val="left"/>
        <w:rPr>
          <w:rFonts w:hAnsi="宋体" w:cs="Times New Roman"/>
          <w:sz w:val="21"/>
          <w:szCs w:val="21"/>
          <w:highlight w:val="none"/>
        </w:rPr>
      </w:pPr>
      <w:r>
        <w:rPr>
          <w:rFonts w:hint="eastAsia" w:hAnsi="宋体" w:cs="Times New Roman"/>
          <w:sz w:val="21"/>
          <w:szCs w:val="21"/>
          <w:highlight w:val="none"/>
        </w:rPr>
        <w:t>（3）宣布开标人、唱标人、记录人等有关人员姓名；</w:t>
      </w:r>
    </w:p>
    <w:p>
      <w:pPr>
        <w:pStyle w:val="13"/>
        <w:numPr>
          <w:ilvl w:val="255"/>
          <w:numId w:val="0"/>
        </w:numPr>
        <w:spacing w:afterAutospacing="0"/>
        <w:ind w:right="0" w:firstLine="420" w:firstLineChars="200"/>
        <w:jc w:val="left"/>
        <w:rPr>
          <w:rFonts w:hAnsi="宋体" w:cs="Times New Roman"/>
          <w:sz w:val="21"/>
          <w:szCs w:val="21"/>
          <w:highlight w:val="none"/>
        </w:rPr>
      </w:pPr>
      <w:r>
        <w:rPr>
          <w:rFonts w:hint="eastAsia" w:hAnsi="宋体" w:cs="Times New Roman"/>
          <w:sz w:val="21"/>
          <w:szCs w:val="21"/>
          <w:highlight w:val="none"/>
        </w:rPr>
        <w:t>（4）由投标人代表检查投标文件的密封情况，按照投标人须知前附表规定的开标顺序当众开标，公布招标项目名称、投标人名称、投标报价、交货期、交货地点及其他内容，并记录在案；</w:t>
      </w:r>
    </w:p>
    <w:p>
      <w:pPr>
        <w:pStyle w:val="13"/>
        <w:numPr>
          <w:ilvl w:val="255"/>
          <w:numId w:val="0"/>
        </w:numPr>
        <w:spacing w:afterAutospacing="0"/>
        <w:ind w:right="0" w:firstLine="420" w:firstLineChars="200"/>
        <w:jc w:val="left"/>
        <w:rPr>
          <w:rFonts w:hAnsi="宋体" w:cs="Times New Roman"/>
          <w:sz w:val="21"/>
          <w:szCs w:val="21"/>
          <w:highlight w:val="none"/>
        </w:rPr>
      </w:pPr>
      <w:r>
        <w:rPr>
          <w:rFonts w:hint="eastAsia" w:hAnsi="宋体" w:cs="Times New Roman"/>
          <w:sz w:val="21"/>
          <w:szCs w:val="21"/>
          <w:highlight w:val="none"/>
        </w:rPr>
        <w:t>（5）投标人代表、招标人代表、记录人等有关人员在开标记录上签字确认；</w:t>
      </w:r>
    </w:p>
    <w:p>
      <w:pPr>
        <w:pStyle w:val="13"/>
        <w:numPr>
          <w:ilvl w:val="255"/>
          <w:numId w:val="0"/>
        </w:numPr>
        <w:spacing w:afterAutospacing="0"/>
        <w:ind w:right="0" w:firstLine="420" w:firstLineChars="200"/>
        <w:jc w:val="left"/>
        <w:rPr>
          <w:rFonts w:hAnsi="宋体" w:cs="Times New Roman"/>
          <w:sz w:val="21"/>
          <w:szCs w:val="21"/>
          <w:highlight w:val="none"/>
        </w:rPr>
      </w:pPr>
      <w:r>
        <w:rPr>
          <w:rFonts w:hint="eastAsia" w:hAnsi="宋体" w:cs="Times New Roman"/>
          <w:sz w:val="21"/>
          <w:szCs w:val="21"/>
          <w:highlight w:val="none"/>
        </w:rPr>
        <w:t>（6）开标结束。</w:t>
      </w:r>
    </w:p>
    <w:p>
      <w:pPr>
        <w:tabs>
          <w:tab w:val="left" w:pos="945"/>
          <w:tab w:val="left" w:pos="1134"/>
          <w:tab w:val="left" w:pos="8364"/>
        </w:tabs>
        <w:spacing w:afterAutospacing="0"/>
        <w:ind w:left="0" w:right="0" w:firstLine="420" w:firstLineChars="200"/>
        <w:jc w:val="left"/>
        <w:rPr>
          <w:rFonts w:ascii="宋体" w:hAnsi="宋体"/>
          <w:highlight w:val="none"/>
        </w:rPr>
      </w:pPr>
      <w:r>
        <w:rPr>
          <w:rFonts w:hint="eastAsia" w:ascii="宋体" w:hAnsi="宋体"/>
          <w:highlight w:val="none"/>
        </w:rPr>
        <w:t>22.4 投标人对开标有异议的，应当在开标现场提出，招标人应当场作出答复，并制作记录。投标人法定代表人或其委托代理人应在开标记录上签字。如投标人现场未提出异议，则认为投标人已确认开标结果。</w:t>
      </w:r>
    </w:p>
    <w:p>
      <w:pPr>
        <w:tabs>
          <w:tab w:val="left" w:pos="945"/>
          <w:tab w:val="left" w:pos="1134"/>
          <w:tab w:val="left" w:pos="8364"/>
        </w:tabs>
        <w:spacing w:afterAutospacing="0"/>
        <w:ind w:left="0" w:right="0" w:firstLine="420" w:firstLineChars="200"/>
        <w:jc w:val="left"/>
        <w:rPr>
          <w:rFonts w:ascii="宋体" w:hAnsi="宋体"/>
          <w:highlight w:val="none"/>
        </w:rPr>
      </w:pPr>
      <w:r>
        <w:rPr>
          <w:rFonts w:hint="eastAsia" w:ascii="宋体" w:hAnsi="宋体"/>
          <w:highlight w:val="none"/>
        </w:rPr>
        <w:t>22.5 投标人在开标会结束前拒绝在开标记录上签字确认，且经工作人员到场核实无误后，仍拒绝签字确认的，作无效投标处理。</w:t>
      </w:r>
    </w:p>
    <w:p>
      <w:pPr>
        <w:tabs>
          <w:tab w:val="left" w:pos="94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22.6</w:t>
      </w:r>
      <w:r>
        <w:rPr>
          <w:rFonts w:ascii="宋体" w:hAnsi="宋体"/>
          <w:highlight w:val="none"/>
        </w:rPr>
        <w:t>投标人扰乱会场秩序，经</w:t>
      </w:r>
      <w:r>
        <w:rPr>
          <w:rFonts w:hint="eastAsia" w:ascii="宋体" w:hAnsi="宋体"/>
          <w:highlight w:val="none"/>
        </w:rPr>
        <w:t>监管工作人员</w:t>
      </w:r>
      <w:r>
        <w:rPr>
          <w:rFonts w:ascii="宋体" w:hAnsi="宋体"/>
          <w:highlight w:val="none"/>
        </w:rPr>
        <w:t>劝阻</w:t>
      </w:r>
      <w:r>
        <w:rPr>
          <w:rFonts w:hint="eastAsia" w:ascii="宋体" w:hAnsi="宋体"/>
          <w:highlight w:val="none"/>
        </w:rPr>
        <w:t>无效</w:t>
      </w:r>
      <w:r>
        <w:rPr>
          <w:rFonts w:ascii="宋体" w:hAnsi="宋体"/>
          <w:highlight w:val="none"/>
        </w:rPr>
        <w:t>的</w:t>
      </w:r>
      <w:r>
        <w:rPr>
          <w:rFonts w:hint="eastAsia" w:ascii="宋体" w:hAnsi="宋体"/>
          <w:highlight w:val="none"/>
        </w:rPr>
        <w:t>，</w:t>
      </w:r>
      <w:r>
        <w:rPr>
          <w:rFonts w:hint="eastAsia"/>
          <w:color w:val="000000"/>
          <w:highlight w:val="none"/>
        </w:rPr>
        <w:t>作无效投标处理</w:t>
      </w:r>
      <w:r>
        <w:rPr>
          <w:rFonts w:hint="eastAsia" w:ascii="宋体" w:hAnsi="宋体"/>
          <w:highlight w:val="none"/>
        </w:rPr>
        <w:t>。</w:t>
      </w:r>
    </w:p>
    <w:p>
      <w:pPr>
        <w:autoSpaceDE w:val="0"/>
        <w:autoSpaceDN w:val="0"/>
        <w:spacing w:before="0" w:after="0" w:afterAutospacing="0"/>
        <w:ind w:left="0" w:right="0" w:firstLine="422" w:firstLineChars="200"/>
        <w:jc w:val="left"/>
        <w:outlineLvl w:val="2"/>
        <w:rPr>
          <w:rFonts w:ascii="宋体" w:hAnsi="宋体"/>
          <w:b/>
          <w:bCs/>
          <w:highlight w:val="none"/>
        </w:rPr>
      </w:pPr>
      <w:bookmarkStart w:id="764" w:name="_Toc11013"/>
      <w:bookmarkStart w:id="765" w:name="_Toc21819"/>
      <w:bookmarkStart w:id="766" w:name="_Toc23699"/>
      <w:bookmarkStart w:id="767" w:name="_Toc25270"/>
      <w:bookmarkStart w:id="768" w:name="_Toc375039091"/>
      <w:bookmarkStart w:id="769" w:name="_Toc30671"/>
      <w:bookmarkStart w:id="770" w:name="_Toc383891195"/>
      <w:bookmarkStart w:id="771" w:name="_Toc13202"/>
      <w:bookmarkStart w:id="772" w:name="_Toc9391"/>
      <w:bookmarkStart w:id="773" w:name="_Toc24630"/>
      <w:bookmarkStart w:id="774" w:name="_Toc16068"/>
      <w:bookmarkStart w:id="775" w:name="_Toc17785"/>
      <w:bookmarkStart w:id="776" w:name="_Toc15466"/>
      <w:bookmarkStart w:id="777" w:name="_Toc5267"/>
      <w:bookmarkStart w:id="778" w:name="_Toc1920"/>
      <w:bookmarkStart w:id="779" w:name="_Toc492478745"/>
      <w:bookmarkStart w:id="780" w:name="_Toc24687"/>
      <w:bookmarkStart w:id="781" w:name="_Toc27636"/>
      <w:bookmarkStart w:id="782" w:name="_Toc385427820"/>
      <w:bookmarkStart w:id="783" w:name="_Toc11263"/>
      <w:bookmarkStart w:id="784" w:name="_Toc12983530"/>
      <w:bookmarkStart w:id="785" w:name="_Toc390098446"/>
      <w:bookmarkStart w:id="786" w:name="_Toc16601"/>
      <w:r>
        <w:rPr>
          <w:rFonts w:hint="eastAsia" w:ascii="宋体" w:hAnsi="宋体"/>
          <w:b/>
          <w:bCs/>
          <w:highlight w:val="none"/>
        </w:rPr>
        <w:t>23.评标委员会</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23.1 评标由招标人依法组建的评标委员会负责。评标委员会由招标人熟悉相关业务的代表，以及有关技术、经济等方面的专家组成。评标委员会成员人数以及技术、经济等方面专家的确定方式见投标人须知前附表。</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23.2 评标委员会成员有下列情形之一的，应当回避：</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（1）投标人或投标人主要负责人的近亲属；</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（2）项目主管部门或者行政监督部门的人员；</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（3）与投标人有经济利益关系，可能影响对投标公正评审的；</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（4）曾因在招标、评标以及其他与招标投标有关活动中从事违法行为而受过行政处罚或刑事处罚的；</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（5）与投标人有其他利害关系。</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23.3 评标过程中，评标委员会成员有回避事由、擅离职守或者因健康等原因不能继续评标的，招标人有权更换。被更换的评标委员会成员作出的评审结论无效，由更换后的评标委员会成员重新进行评审。</w:t>
      </w:r>
    </w:p>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Pr>
        <w:autoSpaceDE w:val="0"/>
        <w:autoSpaceDN w:val="0"/>
        <w:spacing w:before="0" w:after="0" w:afterAutospacing="0"/>
        <w:ind w:left="0" w:right="0" w:firstLine="422" w:firstLineChars="200"/>
        <w:jc w:val="left"/>
        <w:outlineLvl w:val="2"/>
        <w:rPr>
          <w:rFonts w:ascii="宋体" w:hAnsi="宋体"/>
          <w:b/>
          <w:bCs/>
          <w:highlight w:val="none"/>
        </w:rPr>
      </w:pPr>
      <w:bookmarkStart w:id="787" w:name="_Toc385427827"/>
      <w:bookmarkStart w:id="788" w:name="_Toc11010"/>
      <w:bookmarkStart w:id="789" w:name="_Toc27803"/>
      <w:bookmarkStart w:id="790" w:name="_Toc22500"/>
      <w:bookmarkStart w:id="791" w:name="_Toc383891202"/>
      <w:bookmarkStart w:id="792" w:name="_Toc19322"/>
      <w:bookmarkStart w:id="793" w:name="_Toc17460"/>
      <w:bookmarkStart w:id="794" w:name="_Toc492478752"/>
      <w:bookmarkStart w:id="795" w:name="_Toc390098453"/>
      <w:bookmarkStart w:id="796" w:name="_Toc8074"/>
      <w:bookmarkStart w:id="797" w:name="_Toc14300"/>
      <w:bookmarkStart w:id="798" w:name="_Toc32344"/>
      <w:bookmarkStart w:id="799" w:name="_Toc15146"/>
      <w:bookmarkStart w:id="800" w:name="_Toc294723156"/>
      <w:bookmarkStart w:id="801" w:name="_Toc27289"/>
      <w:bookmarkStart w:id="802" w:name="_Toc12983537"/>
      <w:bookmarkStart w:id="803" w:name="_Toc3358"/>
      <w:bookmarkStart w:id="804" w:name="_Toc11657"/>
      <w:bookmarkStart w:id="805" w:name="_Toc375039094"/>
      <w:bookmarkStart w:id="806" w:name="_Toc31774"/>
      <w:bookmarkStart w:id="807" w:name="_Toc507"/>
      <w:bookmarkStart w:id="808" w:name="_Toc28489"/>
      <w:bookmarkStart w:id="809" w:name="_Toc1450"/>
      <w:bookmarkStart w:id="810" w:name="_Toc8845"/>
      <w:r>
        <w:rPr>
          <w:rFonts w:hint="eastAsia" w:ascii="宋体" w:hAnsi="宋体"/>
          <w:b/>
          <w:bCs/>
          <w:highlight w:val="none"/>
        </w:rPr>
        <w:t>24.评标原则</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24.1 评标活动遵循公平、公正、科学和择优的原则。</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24.2 评标委员会按照第三章“评标办法”规定的方法、评审因素、标准和程序对投标文件进行评审。第三章“评标办法”没有规定的方法、评审因素和标准，不作为评标依据。</w:t>
      </w:r>
    </w:p>
    <w:p>
      <w:pPr>
        <w:autoSpaceDE w:val="0"/>
        <w:autoSpaceDN w:val="0"/>
        <w:spacing w:before="0" w:after="0" w:afterAutospacing="0"/>
        <w:ind w:left="0" w:right="0" w:firstLine="420" w:firstLineChars="200"/>
        <w:jc w:val="left"/>
        <w:rPr>
          <w:highlight w:val="none"/>
        </w:rPr>
      </w:pPr>
      <w:r>
        <w:rPr>
          <w:rFonts w:hint="eastAsia" w:ascii="宋体" w:hAnsi="宋体"/>
          <w:highlight w:val="none"/>
        </w:rPr>
        <w:t>24.3 评标完成后，评标委员会应当向招标人提交书面评标报告和中标候选人名单。评标委员会推荐中标候选人的人数见投标人须知前附表。</w:t>
      </w:r>
    </w:p>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Pr>
        <w:pStyle w:val="5"/>
        <w:spacing w:after="0" w:afterAutospacing="0" w:line="360" w:lineRule="auto"/>
        <w:ind w:left="0" w:right="0" w:firstLine="482" w:firstLineChars="200"/>
        <w:rPr>
          <w:rFonts w:ascii="宋体" w:hAnsi="宋体" w:eastAsia="宋体"/>
          <w:sz w:val="24"/>
          <w:szCs w:val="24"/>
          <w:highlight w:val="none"/>
        </w:rPr>
      </w:pPr>
      <w:bookmarkStart w:id="811" w:name="_Toc385427830"/>
      <w:bookmarkStart w:id="812" w:name="_Toc6000"/>
      <w:bookmarkStart w:id="813" w:name="_Toc375039097"/>
      <w:bookmarkStart w:id="814" w:name="_Toc21516"/>
      <w:bookmarkStart w:id="815" w:name="_Toc9913"/>
      <w:bookmarkStart w:id="816" w:name="_Toc22344"/>
      <w:bookmarkStart w:id="817" w:name="_Toc492478755"/>
      <w:bookmarkStart w:id="818" w:name="_Toc19952"/>
      <w:bookmarkStart w:id="819" w:name="_Toc4743"/>
      <w:bookmarkStart w:id="820" w:name="_Toc24681"/>
      <w:bookmarkStart w:id="821" w:name="_Toc12983540"/>
      <w:bookmarkStart w:id="822" w:name="_Toc30278"/>
      <w:bookmarkStart w:id="823" w:name="_Toc9113"/>
      <w:bookmarkStart w:id="824" w:name="_Toc27839"/>
      <w:bookmarkStart w:id="825" w:name="_Toc25431"/>
      <w:bookmarkStart w:id="826" w:name="_Toc12620"/>
      <w:bookmarkStart w:id="827" w:name="_Toc30174"/>
      <w:bookmarkStart w:id="828" w:name="_Toc25890"/>
      <w:bookmarkStart w:id="829" w:name="_Toc383891205"/>
      <w:bookmarkStart w:id="830" w:name="_Toc14876"/>
      <w:bookmarkStart w:id="831" w:name="_Toc7874"/>
      <w:bookmarkStart w:id="832" w:name="_Toc26653"/>
      <w:bookmarkStart w:id="833" w:name="_Toc13026"/>
      <w:bookmarkStart w:id="834" w:name="_Toc2326"/>
      <w:bookmarkStart w:id="835" w:name="_Toc12421"/>
      <w:bookmarkStart w:id="836" w:name="_Toc18800"/>
      <w:bookmarkStart w:id="837" w:name="_Toc11958"/>
      <w:bookmarkStart w:id="838" w:name="_Toc24580"/>
      <w:bookmarkStart w:id="839" w:name="_Toc390098456"/>
      <w:bookmarkStart w:id="840" w:name="_Toc13231"/>
      <w:bookmarkStart w:id="841" w:name="_Toc19313"/>
      <w:bookmarkStart w:id="842" w:name="_Toc24412"/>
      <w:bookmarkStart w:id="843" w:name="_Toc26568"/>
      <w:bookmarkStart w:id="844" w:name="_Toc20762"/>
      <w:bookmarkStart w:id="845" w:name="_Toc8834"/>
      <w:bookmarkStart w:id="846" w:name="_Toc4093"/>
      <w:bookmarkStart w:id="847" w:name="_Toc3454"/>
      <w:bookmarkStart w:id="848" w:name="_Toc23968"/>
      <w:bookmarkStart w:id="849" w:name="_Toc22975"/>
      <w:bookmarkStart w:id="850" w:name="_Toc31880"/>
      <w:bookmarkStart w:id="851" w:name="_Toc31958"/>
      <w:bookmarkStart w:id="852" w:name="_Toc30265"/>
      <w:r>
        <w:rPr>
          <w:rFonts w:hint="eastAsia" w:ascii="宋体" w:hAnsi="宋体" w:eastAsia="宋体"/>
          <w:sz w:val="24"/>
          <w:szCs w:val="24"/>
          <w:highlight w:val="none"/>
        </w:rPr>
        <w:t>六、</w:t>
      </w:r>
      <w:r>
        <w:rPr>
          <w:rFonts w:ascii="宋体" w:hAnsi="宋体" w:eastAsia="宋体"/>
          <w:sz w:val="24"/>
          <w:szCs w:val="24"/>
          <w:highlight w:val="none"/>
        </w:rPr>
        <w:t>授予合同</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6"/>
        <w:spacing w:before="0" w:after="0" w:afterAutospacing="0"/>
        <w:ind w:left="420" w:leftChars="200" w:right="0" w:firstLine="0"/>
        <w:rPr>
          <w:rFonts w:ascii="宋体" w:hAnsi="宋体"/>
          <w:sz w:val="21"/>
          <w:szCs w:val="21"/>
          <w:highlight w:val="none"/>
        </w:rPr>
      </w:pPr>
      <w:bookmarkStart w:id="853" w:name="_Toc18878"/>
      <w:bookmarkStart w:id="854" w:name="_Toc11795"/>
      <w:bookmarkStart w:id="855" w:name="_Toc8938"/>
      <w:bookmarkStart w:id="856" w:name="_Toc10522"/>
      <w:bookmarkStart w:id="857" w:name="_Toc390098457"/>
      <w:bookmarkStart w:id="858" w:name="_Toc12983541"/>
      <w:bookmarkStart w:id="859" w:name="_Toc31011"/>
      <w:bookmarkStart w:id="860" w:name="_Toc22688"/>
      <w:bookmarkStart w:id="861" w:name="_Toc21728"/>
      <w:bookmarkStart w:id="862" w:name="_Toc375039098"/>
      <w:bookmarkStart w:id="863" w:name="_Toc1269"/>
      <w:bookmarkStart w:id="864" w:name="_Toc30743"/>
      <w:bookmarkStart w:id="865" w:name="_Toc26143"/>
      <w:bookmarkStart w:id="866" w:name="_Toc20642"/>
      <w:bookmarkStart w:id="867" w:name="_Toc26525"/>
      <w:bookmarkStart w:id="868" w:name="_Toc492478756"/>
      <w:bookmarkStart w:id="869" w:name="_Toc21975"/>
      <w:bookmarkStart w:id="870" w:name="_Toc13914"/>
      <w:bookmarkStart w:id="871" w:name="_Toc383891206"/>
      <w:bookmarkStart w:id="872" w:name="_Toc22323"/>
      <w:bookmarkStart w:id="873" w:name="_Toc30026"/>
      <w:bookmarkStart w:id="874" w:name="_Toc28661"/>
      <w:bookmarkStart w:id="875" w:name="_Toc385427831"/>
      <w:r>
        <w:rPr>
          <w:rFonts w:hint="eastAsia" w:ascii="宋体" w:hAnsi="宋体"/>
          <w:sz w:val="21"/>
          <w:szCs w:val="21"/>
          <w:highlight w:val="none"/>
        </w:rPr>
        <w:t>25.定标</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w:t>
      </w:r>
      <w:r>
        <w:rPr>
          <w:rFonts w:hint="eastAsia" w:ascii="宋体" w:hAnsi="宋体" w:cs="Arial"/>
          <w:highlight w:val="none"/>
        </w:rPr>
        <w:t>5</w:t>
      </w:r>
      <w:r>
        <w:rPr>
          <w:rFonts w:ascii="宋体" w:hAnsi="宋体" w:cs="Arial"/>
          <w:highlight w:val="none"/>
        </w:rPr>
        <w:t>.1</w:t>
      </w:r>
      <w:r>
        <w:rPr>
          <w:rFonts w:hint="eastAsia" w:ascii="宋体" w:hAnsi="宋体" w:cs="Arial"/>
          <w:highlight w:val="none"/>
        </w:rPr>
        <w:t xml:space="preserve"> 招标人依据评标委员会推荐的中标候选人确定中标人，评标委员会推荐中标候选人的人数见“投标人须知前附表”。</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w:t>
      </w:r>
      <w:r>
        <w:rPr>
          <w:rFonts w:hint="eastAsia" w:ascii="宋体" w:hAnsi="宋体" w:cs="Arial"/>
          <w:highlight w:val="none"/>
        </w:rPr>
        <w:t>5</w:t>
      </w:r>
      <w:r>
        <w:rPr>
          <w:rFonts w:ascii="宋体" w:hAnsi="宋体" w:cs="Arial"/>
          <w:highlight w:val="none"/>
        </w:rPr>
        <w:t>.2</w:t>
      </w:r>
      <w:r>
        <w:rPr>
          <w:rFonts w:hint="eastAsia" w:ascii="宋体" w:hAnsi="宋体" w:cs="Arial"/>
          <w:highlight w:val="none"/>
        </w:rPr>
        <w:t xml:space="preserve"> 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numPr>
          <w:ilvl w:val="255"/>
          <w:numId w:val="0"/>
        </w:numPr>
        <w:tabs>
          <w:tab w:val="left" w:pos="1134"/>
          <w:tab w:val="left" w:pos="8364"/>
        </w:tabs>
        <w:spacing w:before="0" w:after="0" w:afterAutospacing="0"/>
        <w:ind w:right="0" w:firstLine="420" w:firstLineChars="200"/>
        <w:jc w:val="left"/>
        <w:rPr>
          <w:highlight w:val="none"/>
        </w:rPr>
      </w:pPr>
      <w:r>
        <w:rPr>
          <w:rFonts w:hint="eastAsia" w:ascii="宋体" w:hAnsi="宋体"/>
          <w:highlight w:val="none"/>
        </w:rPr>
        <w:t>25.3若在签订合同时，发现投标报价或者评标时修正后的投标报价存在算术错误及其他错误的，须对错误部分进行修正，最终修正后的投标报价低于原投标报价或评标时修正后的投标报价的，以最终修正后的投标报价签订合同；最终修正后的投标报价高于原投标报价或评标时修正后的投标报价的，以原投标报价或评标时修正后的投标报价签订合同，相应修改分项报价。如投标人不接受以上原则确定合同签约价，</w:t>
      </w:r>
      <w:r>
        <w:rPr>
          <w:rFonts w:hint="eastAsia" w:ascii="宋体" w:hAnsi="宋体" w:cs="Arial"/>
          <w:highlight w:val="none"/>
        </w:rPr>
        <w:t>招标人可以按照评标委员会提出的中标候选人名单排序依次确定其他中标候选人为中标人，也可以重新招标。</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w:t>
      </w:r>
      <w:r>
        <w:rPr>
          <w:rFonts w:hint="eastAsia" w:ascii="宋体" w:hAnsi="宋体" w:cs="Arial"/>
          <w:highlight w:val="none"/>
        </w:rPr>
        <w:t>5</w:t>
      </w:r>
      <w:r>
        <w:rPr>
          <w:rFonts w:ascii="宋体" w:hAnsi="宋体" w:cs="Arial"/>
          <w:highlight w:val="none"/>
        </w:rPr>
        <w:t>.</w:t>
      </w:r>
      <w:r>
        <w:rPr>
          <w:rFonts w:hint="eastAsia" w:ascii="宋体" w:hAnsi="宋体" w:cs="Arial"/>
          <w:highlight w:val="none"/>
        </w:rPr>
        <w:t>4 投标人应确保提供的资料真实无误，如有弄虚作假的情况，一经查实，取消投标资格，已经中标的取消中标资格。</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cs="Arial"/>
          <w:highlight w:val="none"/>
        </w:rPr>
        <w:t>2</w:t>
      </w:r>
      <w:r>
        <w:rPr>
          <w:rFonts w:hint="eastAsia" w:ascii="宋体" w:hAnsi="宋体" w:cs="Arial"/>
          <w:highlight w:val="none"/>
        </w:rPr>
        <w:t>5</w:t>
      </w:r>
      <w:r>
        <w:rPr>
          <w:rFonts w:ascii="宋体" w:hAnsi="宋体" w:cs="Arial"/>
          <w:highlight w:val="none"/>
        </w:rPr>
        <w:t>.</w:t>
      </w:r>
      <w:r>
        <w:rPr>
          <w:rFonts w:hint="eastAsia" w:ascii="宋体" w:hAnsi="宋体" w:cs="Arial"/>
          <w:highlight w:val="none"/>
        </w:rPr>
        <w:t>5 评标委员会评审结束后，招标方经审查发现评标过程中有明显错误，可以组织原评标委员会进行复评。</w:t>
      </w:r>
    </w:p>
    <w:p>
      <w:pPr>
        <w:pStyle w:val="6"/>
        <w:spacing w:before="0" w:after="0" w:afterAutospacing="0"/>
        <w:ind w:left="420" w:leftChars="200" w:right="0" w:firstLine="0"/>
        <w:rPr>
          <w:rFonts w:ascii="宋体" w:hAnsi="宋体"/>
          <w:sz w:val="21"/>
          <w:szCs w:val="21"/>
          <w:highlight w:val="none"/>
        </w:rPr>
      </w:pPr>
      <w:r>
        <w:rPr>
          <w:rFonts w:hint="eastAsia" w:ascii="宋体" w:hAnsi="宋体"/>
          <w:sz w:val="21"/>
          <w:szCs w:val="21"/>
          <w:highlight w:val="none"/>
        </w:rPr>
        <w:t>26.中标通知书及中标公告</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26.1 </w:t>
      </w:r>
      <w:r>
        <w:rPr>
          <w:rFonts w:ascii="宋体" w:hAnsi="宋体"/>
          <w:highlight w:val="none"/>
        </w:rPr>
        <w:t>在投标有效期截止前，</w:t>
      </w:r>
      <w:r>
        <w:rPr>
          <w:rFonts w:hint="eastAsia" w:ascii="宋体" w:hAnsi="宋体"/>
          <w:highlight w:val="none"/>
        </w:rPr>
        <w:t>在本须知第</w:t>
      </w:r>
      <w:r>
        <w:rPr>
          <w:rFonts w:ascii="宋体" w:hAnsi="宋体"/>
          <w:highlight w:val="none"/>
        </w:rPr>
        <w:t>15条</w:t>
      </w:r>
      <w:r>
        <w:rPr>
          <w:rFonts w:hint="eastAsia" w:ascii="宋体" w:hAnsi="宋体"/>
          <w:highlight w:val="none"/>
        </w:rPr>
        <w:t>规定的投标有效期内，招标人以书面形式向中标人发出中标通知书。</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26.2 </w:t>
      </w:r>
      <w:r>
        <w:rPr>
          <w:rFonts w:ascii="宋体" w:hAnsi="宋体"/>
          <w:highlight w:val="none"/>
        </w:rPr>
        <w:t>中标通知书将作为签订合同的依据，并是合同的一个组成部分。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26.3 </w:t>
      </w:r>
      <w:r>
        <w:rPr>
          <w:rFonts w:ascii="宋体" w:hAnsi="宋体"/>
          <w:highlight w:val="none"/>
        </w:rPr>
        <w:t>对未中标者，招标人及招标代理机构不对未中标原因做出解释，同时亦不退还投标文件。</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26.4放弃中标人资格的处罚详见前附表。</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26.5招标代理机构按规定的格式在广西壮族自治区招标投标公共服务平台（http://zbtb.gxi.gov.cn:9000/）、南宁轨道交通集团有限责任公司官网、e车网（http://www.ecrrc.com/）</w:t>
      </w:r>
      <w:r>
        <w:rPr>
          <w:rFonts w:hint="eastAsia" w:ascii="宋体" w:hAnsi="宋体" w:cs="Courier New"/>
          <w:highlight w:val="none"/>
        </w:rPr>
        <w:t>上</w:t>
      </w:r>
      <w:r>
        <w:rPr>
          <w:rFonts w:hint="eastAsia" w:ascii="宋体" w:hAnsi="宋体"/>
          <w:highlight w:val="none"/>
        </w:rPr>
        <w:t>发布中标公告，将中标结果通知未中标的投标人。</w:t>
      </w:r>
    </w:p>
    <w:p>
      <w:pPr>
        <w:pStyle w:val="6"/>
        <w:spacing w:before="0" w:after="0" w:afterAutospacing="0"/>
        <w:ind w:left="0" w:right="0" w:firstLine="422" w:firstLineChars="200"/>
        <w:jc w:val="left"/>
        <w:rPr>
          <w:rFonts w:ascii="宋体" w:hAnsi="宋体"/>
          <w:sz w:val="21"/>
          <w:szCs w:val="21"/>
          <w:highlight w:val="none"/>
        </w:rPr>
      </w:pPr>
      <w:r>
        <w:rPr>
          <w:rFonts w:hint="eastAsia" w:ascii="宋体" w:hAnsi="宋体"/>
          <w:sz w:val="21"/>
          <w:szCs w:val="21"/>
          <w:highlight w:val="none"/>
        </w:rPr>
        <w:t>27.履约保证金</w:t>
      </w:r>
    </w:p>
    <w:p>
      <w:pPr>
        <w:tabs>
          <w:tab w:val="left" w:pos="1134"/>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本项目无履约保证金。</w:t>
      </w:r>
    </w:p>
    <w:p>
      <w:pPr>
        <w:pStyle w:val="6"/>
        <w:spacing w:before="0" w:after="0" w:afterAutospacing="0"/>
        <w:ind w:left="0" w:right="0" w:firstLine="422" w:firstLineChars="200"/>
        <w:jc w:val="left"/>
        <w:rPr>
          <w:rFonts w:ascii="宋体" w:hAnsi="宋体"/>
          <w:sz w:val="21"/>
          <w:szCs w:val="21"/>
          <w:highlight w:val="none"/>
        </w:rPr>
      </w:pPr>
      <w:r>
        <w:rPr>
          <w:rFonts w:hint="eastAsia" w:ascii="宋体" w:hAnsi="宋体"/>
          <w:sz w:val="21"/>
          <w:szCs w:val="21"/>
          <w:highlight w:val="none"/>
        </w:rPr>
        <w:t>28.合同授予标准</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tabs>
          <w:tab w:val="left" w:pos="1134"/>
          <w:tab w:val="left" w:pos="8364"/>
        </w:tabs>
        <w:spacing w:before="0" w:after="0" w:afterAutospacing="0"/>
        <w:ind w:left="0" w:right="0" w:firstLine="420" w:firstLineChars="200"/>
        <w:jc w:val="left"/>
        <w:rPr>
          <w:rFonts w:ascii="宋体" w:hAnsi="宋体"/>
          <w:highlight w:val="none"/>
        </w:rPr>
      </w:pPr>
      <w:r>
        <w:rPr>
          <w:rFonts w:ascii="宋体" w:hAnsi="宋体"/>
          <w:highlight w:val="none"/>
        </w:rPr>
        <w:t>根据本须知规定，招标人将把合同授予收到中标通知书的投标人。</w:t>
      </w:r>
    </w:p>
    <w:p>
      <w:pPr>
        <w:pStyle w:val="6"/>
        <w:spacing w:before="0" w:after="0" w:afterAutospacing="0"/>
        <w:ind w:left="0" w:right="0" w:firstLine="422" w:firstLineChars="200"/>
        <w:jc w:val="left"/>
        <w:rPr>
          <w:rFonts w:ascii="宋体" w:hAnsi="宋体"/>
          <w:sz w:val="21"/>
          <w:szCs w:val="21"/>
          <w:highlight w:val="none"/>
        </w:rPr>
      </w:pPr>
      <w:bookmarkStart w:id="876" w:name="_Toc14301"/>
      <w:bookmarkStart w:id="877" w:name="_Toc25797"/>
      <w:bookmarkStart w:id="878" w:name="_Toc19774"/>
      <w:bookmarkStart w:id="879" w:name="_Toc377"/>
      <w:bookmarkStart w:id="880" w:name="_Toc390098458"/>
      <w:bookmarkStart w:id="881" w:name="_Toc12983542"/>
      <w:bookmarkStart w:id="882" w:name="_Toc385427832"/>
      <w:bookmarkStart w:id="883" w:name="_Toc18977"/>
      <w:bookmarkStart w:id="884" w:name="_Toc11913"/>
      <w:bookmarkStart w:id="885" w:name="_Toc1873"/>
      <w:bookmarkStart w:id="886" w:name="_Toc13417"/>
      <w:bookmarkStart w:id="887" w:name="_Toc31336"/>
      <w:bookmarkStart w:id="888" w:name="_Toc17153"/>
      <w:bookmarkStart w:id="889" w:name="_Toc375039099"/>
      <w:bookmarkStart w:id="890" w:name="_Toc23649"/>
      <w:bookmarkStart w:id="891" w:name="_Toc383891207"/>
      <w:bookmarkStart w:id="892" w:name="_Toc14832"/>
      <w:bookmarkStart w:id="893" w:name="_Toc17818"/>
      <w:bookmarkStart w:id="894" w:name="_Toc16111"/>
      <w:bookmarkStart w:id="895" w:name="_Toc19128"/>
      <w:bookmarkStart w:id="896" w:name="_Toc492478757"/>
      <w:bookmarkStart w:id="897" w:name="_Toc24183"/>
      <w:bookmarkStart w:id="898" w:name="_Toc14325"/>
      <w:r>
        <w:rPr>
          <w:rFonts w:hint="eastAsia" w:ascii="宋体" w:hAnsi="宋体"/>
          <w:sz w:val="21"/>
          <w:szCs w:val="21"/>
          <w:highlight w:val="none"/>
        </w:rPr>
        <w:t>29.否决任何或所有投标的权力</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tabs>
          <w:tab w:val="left" w:pos="1134"/>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招标代理机构和招标人保留在授标之前任何时候依法决定否决所有或任何投标，以及宣布所有或任何投标文件无效的权力，对受影响的投标人不承担任何责任，也无义务向受影响的投标人解释采取这一行动的理由。</w:t>
      </w:r>
    </w:p>
    <w:p>
      <w:pPr>
        <w:pStyle w:val="6"/>
        <w:spacing w:before="0" w:after="0" w:afterAutospacing="0"/>
        <w:ind w:left="0" w:right="0" w:firstLine="422" w:firstLineChars="200"/>
        <w:jc w:val="left"/>
        <w:rPr>
          <w:rFonts w:ascii="宋体" w:hAnsi="宋体"/>
          <w:sz w:val="21"/>
          <w:szCs w:val="21"/>
          <w:highlight w:val="none"/>
        </w:rPr>
      </w:pPr>
      <w:bookmarkStart w:id="899" w:name="_Toc385427834"/>
      <w:bookmarkStart w:id="900" w:name="_Toc5617"/>
      <w:bookmarkStart w:id="901" w:name="_Toc8628"/>
      <w:bookmarkStart w:id="902" w:name="_Toc375039101"/>
      <w:bookmarkStart w:id="903" w:name="_Toc29993"/>
      <w:bookmarkStart w:id="904" w:name="_Toc5767"/>
      <w:bookmarkStart w:id="905" w:name="_Toc492478759"/>
      <w:bookmarkStart w:id="906" w:name="_Toc24240"/>
      <w:bookmarkStart w:id="907" w:name="_Toc15048"/>
      <w:bookmarkStart w:id="908" w:name="_Toc1862"/>
      <w:bookmarkStart w:id="909" w:name="_Toc18694"/>
      <w:bookmarkStart w:id="910" w:name="_Toc21570"/>
      <w:bookmarkStart w:id="911" w:name="_Toc383891209"/>
      <w:bookmarkStart w:id="912" w:name="_Toc4190"/>
      <w:bookmarkStart w:id="913" w:name="_Toc1780"/>
      <w:bookmarkStart w:id="914" w:name="_Toc390098460"/>
      <w:bookmarkStart w:id="915" w:name="_Toc21217"/>
      <w:bookmarkStart w:id="916" w:name="_Toc22442"/>
      <w:bookmarkStart w:id="917" w:name="_Toc30862"/>
      <w:bookmarkStart w:id="918" w:name="_Toc25208"/>
      <w:bookmarkStart w:id="919" w:name="_Toc28815"/>
      <w:bookmarkStart w:id="920" w:name="_Toc12983544"/>
      <w:bookmarkStart w:id="921" w:name="_Toc24885"/>
      <w:r>
        <w:rPr>
          <w:rFonts w:hint="eastAsia" w:ascii="宋体" w:hAnsi="宋体"/>
          <w:sz w:val="21"/>
          <w:szCs w:val="21"/>
          <w:highlight w:val="none"/>
        </w:rPr>
        <w:t>30.签订合同</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tabs>
          <w:tab w:val="left" w:pos="450"/>
          <w:tab w:val="left" w:pos="1134"/>
          <w:tab w:val="left" w:pos="8364"/>
        </w:tabs>
        <w:spacing w:before="0" w:after="0" w:afterAutospacing="0"/>
        <w:ind w:left="0" w:right="0" w:firstLine="420" w:firstLineChars="200"/>
        <w:jc w:val="left"/>
        <w:rPr>
          <w:rFonts w:ascii="宋体" w:hAnsi="宋体"/>
          <w:highlight w:val="none"/>
        </w:rPr>
      </w:pPr>
      <w:bookmarkStart w:id="922" w:name="_Toc20178"/>
      <w:bookmarkStart w:id="923" w:name="_Toc390098461"/>
      <w:bookmarkStart w:id="924" w:name="_Toc11079"/>
      <w:bookmarkStart w:id="925" w:name="_Toc29857"/>
      <w:bookmarkStart w:id="926" w:name="_Toc23817"/>
      <w:bookmarkStart w:id="927" w:name="_Toc5576"/>
      <w:bookmarkStart w:id="928" w:name="_Toc383891210"/>
      <w:bookmarkStart w:id="929" w:name="_Toc6599"/>
      <w:bookmarkStart w:id="930" w:name="_Toc492478760"/>
      <w:bookmarkStart w:id="931" w:name="_Toc31814"/>
      <w:bookmarkStart w:id="932" w:name="_Toc16589"/>
      <w:bookmarkStart w:id="933" w:name="_Toc385427835"/>
      <w:bookmarkStart w:id="934" w:name="_Toc24750"/>
      <w:bookmarkStart w:id="935" w:name="_Toc9981"/>
      <w:bookmarkStart w:id="936" w:name="_Toc9433"/>
      <w:bookmarkStart w:id="937" w:name="_Toc11412"/>
      <w:bookmarkStart w:id="938" w:name="_Toc8104"/>
      <w:bookmarkStart w:id="939" w:name="_Toc25483"/>
      <w:bookmarkStart w:id="940" w:name="_Toc16371"/>
      <w:bookmarkStart w:id="941" w:name="_Toc12983545"/>
      <w:bookmarkStart w:id="942" w:name="_Toc17281"/>
      <w:bookmarkStart w:id="943" w:name="_Toc375039102"/>
      <w:bookmarkStart w:id="944" w:name="_Toc25632"/>
      <w:r>
        <w:rPr>
          <w:rFonts w:hint="eastAsia" w:ascii="宋体" w:hAnsi="宋体"/>
          <w:highlight w:val="none"/>
        </w:rPr>
        <w:t>招标人和中标人应当在投标有效期内以及中标通知书发出之日起30天内，根据招标文件和中标人的投标文件订立书面合同。中标人无正当理由拒签合同的，招标人取消其中标资格。给招标人造成损失的，中标人还应当予以赔偿。中标人因不可抗力或者自身原因不能履行招标采购合同的，招标人可以按照评标委员会提出的中标候选人名单排序依次确定其他中标候选人为中标人，也可以重新招标。</w:t>
      </w:r>
    </w:p>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Pr>
        <w:pStyle w:val="5"/>
        <w:spacing w:after="0" w:afterAutospacing="0"/>
        <w:ind w:left="420" w:leftChars="200" w:right="0" w:firstLine="0"/>
        <w:rPr>
          <w:rFonts w:ascii="宋体" w:hAnsi="宋体" w:eastAsia="宋体" w:cs="宋体"/>
          <w:sz w:val="24"/>
          <w:szCs w:val="24"/>
          <w:highlight w:val="none"/>
        </w:rPr>
      </w:pPr>
      <w:bookmarkStart w:id="945" w:name="_Toc10481"/>
      <w:bookmarkStart w:id="946" w:name="_Toc27044"/>
      <w:bookmarkStart w:id="947" w:name="_Toc12714"/>
      <w:bookmarkStart w:id="948" w:name="_Toc3967"/>
      <w:bookmarkStart w:id="949" w:name="_Toc156"/>
      <w:bookmarkStart w:id="950" w:name="_Toc32127"/>
      <w:bookmarkStart w:id="951" w:name="_Toc12608"/>
      <w:bookmarkStart w:id="952" w:name="_Toc15990"/>
      <w:bookmarkStart w:id="953" w:name="_Toc24302"/>
      <w:bookmarkStart w:id="954" w:name="_Toc23583"/>
      <w:bookmarkStart w:id="955" w:name="_Toc17172"/>
      <w:bookmarkStart w:id="956" w:name="_Toc25764"/>
      <w:bookmarkStart w:id="957" w:name="_Toc25391"/>
      <w:bookmarkStart w:id="958" w:name="_Toc15142"/>
      <w:bookmarkStart w:id="959" w:name="_Toc466"/>
      <w:bookmarkStart w:id="960" w:name="_Toc21095"/>
      <w:bookmarkStart w:id="961" w:name="_Toc13819"/>
      <w:bookmarkStart w:id="962" w:name="_Toc15898"/>
      <w:r>
        <w:rPr>
          <w:rFonts w:hint="eastAsia" w:ascii="宋体" w:hAnsi="宋体" w:eastAsia="宋体" w:cs="宋体"/>
          <w:sz w:val="24"/>
          <w:szCs w:val="24"/>
          <w:highlight w:val="none"/>
        </w:rPr>
        <w:t>七、重新招标和不再招标</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6"/>
        <w:spacing w:before="0" w:after="0" w:afterAutospacing="0"/>
        <w:ind w:left="420" w:leftChars="200" w:right="0" w:firstLine="0"/>
        <w:rPr>
          <w:rFonts w:ascii="宋体" w:hAnsi="宋体"/>
          <w:sz w:val="21"/>
          <w:szCs w:val="21"/>
          <w:highlight w:val="none"/>
        </w:rPr>
      </w:pPr>
      <w:r>
        <w:rPr>
          <w:rFonts w:hint="eastAsia" w:ascii="宋体" w:hAnsi="宋体"/>
          <w:sz w:val="21"/>
          <w:szCs w:val="21"/>
          <w:highlight w:val="none"/>
        </w:rPr>
        <w:t>31.重新招标</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出现下列特殊情况之一时，可重新招标：</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31.1 </w:t>
      </w:r>
      <w:r>
        <w:rPr>
          <w:rFonts w:ascii="宋体" w:hAnsi="宋体"/>
          <w:highlight w:val="none"/>
        </w:rPr>
        <w:t>在投标截止时间到达时提交投标文件的投标人</w:t>
      </w:r>
      <w:r>
        <w:rPr>
          <w:rFonts w:hint="eastAsia" w:ascii="宋体" w:hAnsi="宋体"/>
          <w:highlight w:val="none"/>
        </w:rPr>
        <w:t>不足3家</w:t>
      </w:r>
      <w:r>
        <w:rPr>
          <w:rFonts w:ascii="宋体" w:hAnsi="宋体"/>
          <w:highlight w:val="none"/>
        </w:rPr>
        <w:t>的；</w:t>
      </w:r>
    </w:p>
    <w:p>
      <w:pPr>
        <w:numPr>
          <w:ilvl w:val="255"/>
          <w:numId w:val="0"/>
        </w:numPr>
        <w:spacing w:before="0" w:after="0" w:afterAutospacing="0"/>
        <w:ind w:left="1129" w:leftChars="200" w:right="0"/>
        <w:rPr>
          <w:rFonts w:ascii="宋体" w:hAnsi="宋体"/>
          <w:highlight w:val="none"/>
        </w:rPr>
      </w:pPr>
      <w:r>
        <w:rPr>
          <w:rFonts w:hint="eastAsia" w:ascii="宋体" w:hAnsi="宋体"/>
          <w:highlight w:val="none"/>
        </w:rPr>
        <w:t xml:space="preserve">31.2 </w:t>
      </w:r>
      <w:r>
        <w:rPr>
          <w:rFonts w:ascii="宋体" w:hAnsi="宋体"/>
          <w:highlight w:val="none"/>
        </w:rPr>
        <w:t>评标委员会否决不合格投标或者界定为废标后，因有效投标不足</w:t>
      </w:r>
      <w:r>
        <w:rPr>
          <w:rFonts w:hint="eastAsia" w:ascii="宋体" w:hAnsi="宋体"/>
          <w:highlight w:val="none"/>
        </w:rPr>
        <w:t>三家，且</w:t>
      </w:r>
      <w:r>
        <w:rPr>
          <w:rFonts w:ascii="宋体" w:hAnsi="宋体"/>
          <w:highlight w:val="none"/>
        </w:rPr>
        <w:t>投标明显缺乏竞争性的；</w:t>
      </w:r>
      <w:r>
        <w:rPr>
          <w:rFonts w:hint="eastAsia"/>
          <w:szCs w:val="18"/>
          <w:highlight w:val="none"/>
        </w:rPr>
        <w:t>（</w:t>
      </w:r>
      <w:r>
        <w:rPr>
          <w:rFonts w:hint="eastAsia" w:ascii="宋体" w:hAnsi="宋体"/>
          <w:highlight w:val="none"/>
        </w:rPr>
        <w:t>当有效投标只有两家时，如果评标委员会认为有竞争性的，应继续评审</w:t>
      </w:r>
      <w:r>
        <w:rPr>
          <w:rFonts w:hint="eastAsia"/>
          <w:szCs w:val="18"/>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31</w:t>
      </w:r>
      <w:r>
        <w:rPr>
          <w:rFonts w:ascii="宋体" w:hAnsi="宋体"/>
          <w:highlight w:val="none"/>
        </w:rPr>
        <w:t>.</w:t>
      </w:r>
      <w:r>
        <w:rPr>
          <w:rFonts w:hint="eastAsia" w:ascii="宋体" w:hAnsi="宋体"/>
          <w:highlight w:val="none"/>
        </w:rPr>
        <w:t>3</w:t>
      </w:r>
      <w:r>
        <w:rPr>
          <w:rFonts w:ascii="宋体" w:hAnsi="宋体"/>
          <w:highlight w:val="none"/>
        </w:rPr>
        <w:t xml:space="preserve"> 评标委员会决定否决全部投标的；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31.4 </w:t>
      </w:r>
      <w:r>
        <w:rPr>
          <w:rFonts w:ascii="宋体" w:hAnsi="宋体"/>
          <w:highlight w:val="none"/>
        </w:rPr>
        <w:t>中标候选人均放弃中标资格</w:t>
      </w:r>
      <w:r>
        <w:rPr>
          <w:rFonts w:hint="eastAsia" w:ascii="宋体" w:hAnsi="宋体"/>
          <w:highlight w:val="none"/>
        </w:rPr>
        <w:t>的</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31.5 </w:t>
      </w:r>
      <w:r>
        <w:rPr>
          <w:rFonts w:ascii="宋体" w:hAnsi="宋体"/>
          <w:highlight w:val="none"/>
        </w:rPr>
        <w:t>根据本须知15</w:t>
      </w:r>
      <w:r>
        <w:rPr>
          <w:rFonts w:hint="eastAsia" w:ascii="宋体" w:hAnsi="宋体"/>
          <w:highlight w:val="none"/>
        </w:rPr>
        <w:t>.2</w:t>
      </w:r>
      <w:r>
        <w:rPr>
          <w:rFonts w:ascii="宋体" w:hAnsi="宋体"/>
          <w:highlight w:val="none"/>
        </w:rPr>
        <w:t>条规定，</w:t>
      </w:r>
      <w:r>
        <w:rPr>
          <w:rFonts w:hint="eastAsia" w:ascii="宋体" w:hAnsi="宋体"/>
          <w:highlight w:val="none"/>
        </w:rPr>
        <w:t>所有中标候选人均不同意在投标有效期内延长投标有效期的。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31.6 招标文件中规定的其他情况。</w:t>
      </w:r>
    </w:p>
    <w:p>
      <w:pPr>
        <w:pStyle w:val="6"/>
        <w:spacing w:before="0" w:after="0" w:afterAutospacing="0"/>
        <w:ind w:left="420" w:leftChars="200" w:right="0" w:firstLine="0"/>
        <w:rPr>
          <w:rFonts w:ascii="宋体" w:hAnsi="宋体"/>
          <w:sz w:val="21"/>
          <w:szCs w:val="21"/>
          <w:highlight w:val="none"/>
        </w:rPr>
      </w:pPr>
      <w:r>
        <w:rPr>
          <w:rFonts w:hint="eastAsia" w:ascii="宋体" w:hAnsi="宋体"/>
          <w:sz w:val="21"/>
          <w:szCs w:val="21"/>
          <w:highlight w:val="none"/>
        </w:rPr>
        <w:t>32.不再招标</w:t>
      </w:r>
    </w:p>
    <w:p>
      <w:pPr>
        <w:tabs>
          <w:tab w:val="left" w:pos="1155"/>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项目招标经两次发布信息后，仍出现本须知31.1或31.2或31.3情况的，招标人可不再进行招标。</w:t>
      </w:r>
    </w:p>
    <w:p>
      <w:pPr>
        <w:pStyle w:val="5"/>
        <w:spacing w:line="240" w:lineRule="auto"/>
        <w:ind w:left="0" w:firstLine="482" w:firstLineChars="200"/>
        <w:rPr>
          <w:rFonts w:ascii="宋体" w:hAnsi="宋体" w:eastAsia="宋体" w:cs="宋体"/>
          <w:sz w:val="24"/>
          <w:szCs w:val="24"/>
          <w:highlight w:val="none"/>
        </w:rPr>
      </w:pPr>
      <w:bookmarkStart w:id="963" w:name="_Toc23993"/>
      <w:bookmarkStart w:id="964" w:name="_Toc15198"/>
      <w:bookmarkStart w:id="965" w:name="_Toc6804"/>
      <w:bookmarkStart w:id="966" w:name="_Toc7669"/>
      <w:bookmarkStart w:id="967" w:name="_Toc18278"/>
      <w:bookmarkStart w:id="968" w:name="_Toc28710"/>
      <w:bookmarkStart w:id="969" w:name="_Toc26663"/>
      <w:bookmarkStart w:id="970" w:name="_Toc8033"/>
      <w:bookmarkStart w:id="971" w:name="_Toc7111"/>
      <w:bookmarkStart w:id="972" w:name="_Toc721"/>
      <w:bookmarkStart w:id="973" w:name="_Toc31936"/>
      <w:bookmarkStart w:id="974" w:name="_Toc1880"/>
      <w:bookmarkStart w:id="975" w:name="_Toc29147"/>
      <w:bookmarkStart w:id="976" w:name="_Toc12747"/>
      <w:bookmarkStart w:id="977" w:name="_Toc14952"/>
      <w:bookmarkStart w:id="978" w:name="_Toc15043"/>
      <w:bookmarkStart w:id="979" w:name="_Toc26248"/>
      <w:bookmarkStart w:id="980" w:name="_Toc3990"/>
      <w:r>
        <w:rPr>
          <w:rFonts w:hint="eastAsia" w:ascii="宋体" w:hAnsi="宋体" w:eastAsia="宋体" w:cs="宋体"/>
          <w:sz w:val="24"/>
          <w:szCs w:val="24"/>
          <w:highlight w:val="none"/>
        </w:rPr>
        <w:t>八、纪律和监督</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6"/>
        <w:spacing w:before="0" w:after="0" w:afterAutospacing="0"/>
        <w:ind w:left="0" w:right="0" w:firstLine="422" w:firstLineChars="200"/>
        <w:jc w:val="left"/>
        <w:rPr>
          <w:rFonts w:ascii="宋体" w:hAnsi="宋体"/>
          <w:sz w:val="21"/>
          <w:szCs w:val="21"/>
          <w:highlight w:val="none"/>
        </w:rPr>
      </w:pPr>
      <w:r>
        <w:rPr>
          <w:rFonts w:hint="eastAsia" w:ascii="宋体" w:hAnsi="宋体"/>
          <w:sz w:val="21"/>
          <w:szCs w:val="21"/>
          <w:highlight w:val="none"/>
        </w:rPr>
        <w:t>33.对招标人的纪律要求</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招标人不得泄漏招标投标活动中应当保密的情况和资料，不得与投标人串通损害国家利益、社会公共利益或者他人合法权益。有下列情形之一的，属于招标人与投标人串通投标：</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（1）招标人在开标前开启投标文件并将有关信息泄露给其他投标人;</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（2）招标人直接或者间接向投标人泄露标底、评标委员会成员等信息；</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（3）招标人明示或者暗示投标人压低或者抬高投标报价；</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（4）招标人授意投标人撤换、修改投标文件；</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（5）招标人明示或者暗示投标人为特定投标人中标提供方便；</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（6）招标人与投标人为谋求特定投标人中标而采取的其他串通行为。</w:t>
      </w:r>
    </w:p>
    <w:p>
      <w:pPr>
        <w:pStyle w:val="6"/>
        <w:spacing w:before="0" w:after="0" w:afterAutospacing="0"/>
        <w:ind w:left="0" w:right="0" w:firstLine="422" w:firstLineChars="200"/>
        <w:jc w:val="left"/>
        <w:rPr>
          <w:rFonts w:ascii="宋体" w:hAnsi="宋体"/>
          <w:sz w:val="21"/>
          <w:szCs w:val="21"/>
          <w:highlight w:val="none"/>
        </w:rPr>
      </w:pPr>
      <w:r>
        <w:rPr>
          <w:rFonts w:hint="eastAsia" w:ascii="宋体" w:hAnsi="宋体"/>
          <w:sz w:val="21"/>
          <w:szCs w:val="21"/>
          <w:highlight w:val="none"/>
        </w:rPr>
        <w:t>34.对投标人的纪律要求</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34.1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（1）投标人之间协商投标报价等投标文件的实质性内容；</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（2）投标人之间约定中标人；</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（3）投标人之间约定部分投标人放弃投标或者中标；</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（4）属于同一集团、协会、商会等组织成员的投标人按照该组织要求协同投标；</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（5）投标人之间为谋取中标或者排斥特定投标人而采取的其他联合行动；</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（6）不同投标人的投标文件由同一单位或者个人编制；</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（7）不同投标人委托同一单位或者个人办理投标事宜；</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（8）不同投标人的投标文件载明的项目管理成员为同一人；</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（9）不同投标人的投标文件异常一致或者投标报价呈规律性差异；</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（10）不同投标人的投标文件相互混装；</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（11）不同投标人的投标保证金从同一单位或者个人的账户转出（如有）。</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34.2投标人不得向招标人或评标委员会成员或其他有关人员索问评标过程的情况和材料。</w:t>
      </w:r>
    </w:p>
    <w:p>
      <w:pPr>
        <w:spacing w:afterAutospacing="0"/>
        <w:ind w:left="0" w:right="0" w:firstLine="422" w:firstLineChars="200"/>
        <w:jc w:val="left"/>
        <w:outlineLvl w:val="2"/>
        <w:rPr>
          <w:rFonts w:ascii="宋体" w:hAnsi="宋体"/>
          <w:b/>
          <w:bCs/>
          <w:highlight w:val="none"/>
        </w:rPr>
      </w:pPr>
      <w:r>
        <w:rPr>
          <w:rFonts w:hint="eastAsia" w:ascii="宋体" w:hAnsi="宋体"/>
          <w:b/>
          <w:bCs/>
          <w:highlight w:val="none"/>
        </w:rPr>
        <w:t>35.对评标委员会成员的纪律要求</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招标文件中没有规定的标准和方法不得作为评标的依据。</w:t>
      </w:r>
    </w:p>
    <w:p>
      <w:pPr>
        <w:tabs>
          <w:tab w:val="left" w:pos="1155"/>
          <w:tab w:val="left" w:pos="8364"/>
        </w:tabs>
        <w:spacing w:before="0" w:after="0" w:afterAutospacing="0"/>
        <w:ind w:left="0" w:right="0" w:firstLine="422" w:firstLineChars="200"/>
        <w:jc w:val="left"/>
        <w:outlineLvl w:val="2"/>
        <w:rPr>
          <w:rFonts w:ascii="宋体" w:hAnsi="宋体"/>
          <w:b/>
          <w:bCs/>
          <w:highlight w:val="none"/>
        </w:rPr>
      </w:pPr>
      <w:r>
        <w:rPr>
          <w:rFonts w:hint="eastAsia" w:ascii="宋体" w:hAnsi="宋体"/>
          <w:b/>
          <w:bCs/>
          <w:highlight w:val="none"/>
        </w:rPr>
        <w:t>36.对与评标活动有关的工作人员的纪律要求</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tabs>
          <w:tab w:val="left" w:pos="1155"/>
          <w:tab w:val="left" w:pos="8364"/>
        </w:tabs>
        <w:spacing w:before="0" w:after="0" w:afterAutospacing="0"/>
        <w:ind w:left="0" w:right="0" w:firstLine="422" w:firstLineChars="200"/>
        <w:jc w:val="left"/>
        <w:outlineLvl w:val="2"/>
        <w:rPr>
          <w:rFonts w:ascii="宋体" w:hAnsi="宋体"/>
          <w:b/>
          <w:bCs/>
          <w:highlight w:val="none"/>
        </w:rPr>
      </w:pPr>
      <w:r>
        <w:rPr>
          <w:rFonts w:hint="eastAsia" w:ascii="宋体" w:hAnsi="宋体"/>
          <w:b/>
          <w:bCs/>
          <w:highlight w:val="none"/>
        </w:rPr>
        <w:t>37.投诉</w:t>
      </w:r>
    </w:p>
    <w:p>
      <w:pPr>
        <w:tabs>
          <w:tab w:val="left" w:pos="1155"/>
          <w:tab w:val="left" w:pos="8364"/>
        </w:tabs>
        <w:spacing w:before="0" w:after="0" w:afterAutospacing="0"/>
        <w:ind w:left="0" w:right="0" w:firstLine="420" w:firstLineChars="200"/>
        <w:jc w:val="left"/>
        <w:rPr>
          <w:rFonts w:ascii="宋体" w:hAnsi="宋体"/>
          <w:highlight w:val="none"/>
        </w:rPr>
      </w:pPr>
      <w:r>
        <w:rPr>
          <w:rFonts w:hint="eastAsia" w:ascii="宋体" w:hAnsi="宋体"/>
          <w:highlight w:val="none"/>
        </w:rPr>
        <w:t>投标人和其他利害关系人认为本次招标活动违反法律、法规和规章规定的，可以在知道或者应当知道之日起10日内向招标人提出书面投诉。投诉活动参照《工程建设项目招标投标活动投诉处理办法》的要求。投诉事项应先提出异议，没有提出异议或者投诉活动不符合要求的，招标人不予受理。</w:t>
      </w:r>
    </w:p>
    <w:p>
      <w:pPr>
        <w:pStyle w:val="5"/>
        <w:spacing w:line="240" w:lineRule="auto"/>
        <w:ind w:left="0" w:firstLine="482" w:firstLineChars="200"/>
        <w:rPr>
          <w:rFonts w:ascii="宋体" w:hAnsi="宋体" w:eastAsia="宋体" w:cs="宋体"/>
          <w:sz w:val="24"/>
          <w:szCs w:val="24"/>
          <w:highlight w:val="none"/>
        </w:rPr>
      </w:pPr>
      <w:bookmarkStart w:id="981" w:name="_Toc12622"/>
      <w:bookmarkStart w:id="982" w:name="_Toc14776"/>
      <w:bookmarkStart w:id="983" w:name="_Toc21740"/>
      <w:bookmarkStart w:id="984" w:name="_Toc6001"/>
      <w:bookmarkStart w:id="985" w:name="_Toc2075"/>
      <w:bookmarkStart w:id="986" w:name="_Toc26549"/>
      <w:bookmarkStart w:id="987" w:name="_Toc13321"/>
      <w:bookmarkStart w:id="988" w:name="_Toc723"/>
      <w:bookmarkStart w:id="989" w:name="_Toc22879"/>
      <w:bookmarkStart w:id="990" w:name="_Toc17188"/>
      <w:bookmarkStart w:id="991" w:name="_Toc32351"/>
      <w:bookmarkStart w:id="992" w:name="_Toc18047"/>
      <w:bookmarkStart w:id="993" w:name="_Toc17259"/>
      <w:bookmarkStart w:id="994" w:name="_Toc19036"/>
      <w:bookmarkStart w:id="995" w:name="_Toc17601"/>
      <w:bookmarkStart w:id="996" w:name="_Toc11934"/>
      <w:bookmarkStart w:id="997" w:name="_Toc32530"/>
      <w:bookmarkStart w:id="998" w:name="_Toc5432"/>
      <w:r>
        <w:rPr>
          <w:rFonts w:hint="eastAsia" w:ascii="宋体" w:hAnsi="宋体" w:eastAsia="宋体" w:cs="宋体"/>
          <w:sz w:val="24"/>
          <w:szCs w:val="24"/>
          <w:highlight w:val="none"/>
        </w:rPr>
        <w:t>九、需要补充的其他内容</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6"/>
        <w:spacing w:before="0" w:after="0" w:afterAutospacing="0"/>
        <w:ind w:left="420" w:leftChars="200" w:right="0" w:firstLine="0"/>
        <w:rPr>
          <w:rFonts w:ascii="宋体" w:hAnsi="宋体"/>
          <w:sz w:val="21"/>
          <w:szCs w:val="21"/>
          <w:highlight w:val="none"/>
        </w:rPr>
      </w:pPr>
      <w:r>
        <w:rPr>
          <w:rFonts w:hint="eastAsia" w:ascii="宋体" w:hAnsi="宋体"/>
          <w:sz w:val="21"/>
          <w:szCs w:val="21"/>
          <w:highlight w:val="none"/>
        </w:rPr>
        <w:t>38.解释权</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构成本招标文件的各个组成文件应互为解释，互为说明；如有不明确或不一致，构成合同文件组成内容的，以合同文件约定内容为准；除招标文件中有特别规定外，仅适用于招标投标阶段的规定，依次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tabs>
          <w:tab w:val="left" w:pos="425"/>
          <w:tab w:val="left" w:pos="1134"/>
          <w:tab w:val="left" w:pos="8364"/>
        </w:tabs>
        <w:spacing w:before="0" w:after="0" w:afterAutospacing="0"/>
        <w:ind w:left="0" w:right="0" w:firstLine="422" w:firstLineChars="200"/>
        <w:outlineLvl w:val="2"/>
        <w:rPr>
          <w:rFonts w:ascii="宋体" w:hAnsi="宋体"/>
          <w:highlight w:val="none"/>
        </w:rPr>
      </w:pPr>
      <w:r>
        <w:rPr>
          <w:rFonts w:hint="eastAsia" w:ascii="宋体" w:hAnsi="宋体"/>
          <w:b/>
          <w:bCs/>
          <w:highlight w:val="none"/>
        </w:rPr>
        <w:t>39.</w:t>
      </w:r>
      <w:r>
        <w:rPr>
          <w:rFonts w:ascii="宋体" w:hAnsi="宋体"/>
          <w:b/>
          <w:bCs/>
          <w:highlight w:val="none"/>
        </w:rPr>
        <w:t>投标人知悉</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投标人将被视为已合理地充分了解了对所有影响本项目的事项，包括任何与</w:t>
      </w:r>
      <w:r>
        <w:rPr>
          <w:rFonts w:hint="eastAsia" w:ascii="宋体" w:hAnsi="宋体"/>
          <w:highlight w:val="none"/>
        </w:rPr>
        <w:t>项目</w:t>
      </w:r>
      <w:r>
        <w:rPr>
          <w:rFonts w:ascii="宋体" w:hAnsi="宋体"/>
          <w:highlight w:val="none"/>
        </w:rPr>
        <w:t>和项目时间表有关的特殊困难。</w:t>
      </w:r>
    </w:p>
    <w:p>
      <w:pPr>
        <w:tabs>
          <w:tab w:val="left" w:pos="425"/>
          <w:tab w:val="left" w:pos="1134"/>
          <w:tab w:val="left" w:pos="8364"/>
        </w:tabs>
        <w:spacing w:before="0" w:after="0" w:afterAutospacing="0"/>
        <w:ind w:left="0" w:right="0" w:firstLine="422" w:firstLineChars="200"/>
        <w:outlineLvl w:val="2"/>
        <w:rPr>
          <w:rFonts w:ascii="宋体" w:hAnsi="宋体"/>
          <w:highlight w:val="none"/>
        </w:rPr>
      </w:pPr>
      <w:r>
        <w:rPr>
          <w:rFonts w:ascii="宋体" w:hAnsi="宋体"/>
          <w:b/>
          <w:bCs/>
          <w:highlight w:val="none"/>
        </w:rPr>
        <w:t>40.分包</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见投标人须知前附表。</w:t>
      </w:r>
    </w:p>
    <w:p>
      <w:pPr>
        <w:tabs>
          <w:tab w:val="left" w:pos="425"/>
          <w:tab w:val="left" w:pos="1134"/>
          <w:tab w:val="left" w:pos="8364"/>
        </w:tabs>
        <w:spacing w:before="0" w:after="0" w:afterAutospacing="0"/>
        <w:ind w:left="0" w:right="0" w:firstLine="422" w:firstLineChars="200"/>
        <w:outlineLvl w:val="2"/>
        <w:rPr>
          <w:rFonts w:ascii="宋体" w:hAnsi="宋体"/>
          <w:b/>
          <w:bCs/>
          <w:highlight w:val="none"/>
        </w:rPr>
      </w:pPr>
      <w:r>
        <w:rPr>
          <w:rFonts w:hint="eastAsia" w:ascii="宋体" w:hAnsi="宋体"/>
          <w:b/>
          <w:bCs/>
          <w:highlight w:val="none"/>
        </w:rPr>
        <w:t>41.</w:t>
      </w:r>
      <w:r>
        <w:rPr>
          <w:rFonts w:ascii="宋体" w:hAnsi="宋体"/>
          <w:b/>
          <w:bCs/>
          <w:highlight w:val="none"/>
        </w:rPr>
        <w:t>是否允许递交备选投标方案</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见投标人须知前附表。</w:t>
      </w:r>
    </w:p>
    <w:p>
      <w:pPr>
        <w:tabs>
          <w:tab w:val="left" w:pos="1134"/>
          <w:tab w:val="left" w:pos="8364"/>
        </w:tabs>
        <w:spacing w:before="0" w:after="0" w:afterAutospacing="0"/>
        <w:ind w:left="0" w:right="0" w:firstLine="422" w:firstLineChars="200"/>
        <w:outlineLvl w:val="2"/>
        <w:rPr>
          <w:rFonts w:ascii="宋体" w:hAnsi="宋体"/>
          <w:b/>
          <w:bCs/>
          <w:highlight w:val="none"/>
        </w:rPr>
      </w:pPr>
      <w:r>
        <w:rPr>
          <w:rFonts w:hint="eastAsia" w:ascii="宋体" w:hAnsi="宋体"/>
          <w:b/>
          <w:bCs/>
          <w:highlight w:val="none"/>
        </w:rPr>
        <w:t>42.不良信用名单</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本项目采购及合同执行的任何阶段，如果招标人发现投标人/中标人存在下述行为之一的，招标人有权取消其投标/中标资格，投标/中标无效。情节严重的，报同级或上级监管部门依法进行处理；同时将其列入南宁轨道交通集团有限责任公司的不良信用名单：</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（1）投标人在投标截止期后撤回其投标的。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（2）提供虚假材料谋取中标的。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（5）中标后无正当理由拒不与采购人签订采购合同的。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（6）未照招标、投标文件确定的事项签订采购合同的。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（7）将采购合同转包的。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（8）提供假冒伪劣产品的。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（9）擅自变更、中止或者终止采购合同的。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（10）中标人签订合同后，不能履约或无故拖延履约期的。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（11）中标</w:t>
      </w:r>
      <w:r>
        <w:rPr>
          <w:rFonts w:ascii="宋体" w:hAnsi="宋体"/>
          <w:highlight w:val="none"/>
        </w:rPr>
        <w:t>人未按</w:t>
      </w:r>
      <w:r>
        <w:rPr>
          <w:rFonts w:hint="eastAsia" w:ascii="宋体" w:hAnsi="宋体"/>
          <w:highlight w:val="none"/>
        </w:rPr>
        <w:t>投标须知</w:t>
      </w:r>
      <w:r>
        <w:rPr>
          <w:rFonts w:ascii="宋体" w:hAnsi="宋体"/>
          <w:highlight w:val="none"/>
        </w:rPr>
        <w:t>要求</w:t>
      </w:r>
      <w:r>
        <w:rPr>
          <w:rFonts w:hint="eastAsia" w:ascii="宋体" w:hAnsi="宋体"/>
          <w:highlight w:val="none"/>
        </w:rPr>
        <w:t>在投标阶段</w:t>
      </w:r>
      <w:r>
        <w:rPr>
          <w:rFonts w:ascii="宋体" w:hAnsi="宋体"/>
          <w:highlight w:val="none"/>
        </w:rPr>
        <w:t>提出</w:t>
      </w:r>
      <w:r>
        <w:rPr>
          <w:rFonts w:hint="eastAsia" w:ascii="宋体" w:hAnsi="宋体"/>
          <w:highlight w:val="none"/>
        </w:rPr>
        <w:t>异议或疑问</w:t>
      </w:r>
      <w:r>
        <w:rPr>
          <w:rFonts w:ascii="宋体" w:hAnsi="宋体"/>
          <w:highlight w:val="none"/>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（12）中标人在成交后无正当理由放弃成交资格的。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（13）招标文件、法律、法规规定的其他情形。</w:t>
      </w:r>
    </w:p>
    <w:p>
      <w:pPr>
        <w:pStyle w:val="2"/>
        <w:widowControl w:val="0"/>
        <w:spacing w:before="0" w:after="0" w:afterAutospacing="0" w:line="360" w:lineRule="auto"/>
        <w:ind w:left="0" w:leftChars="0" w:right="0" w:firstLine="422"/>
        <w:jc w:val="left"/>
        <w:outlineLvl w:val="2"/>
        <w:rPr>
          <w:rFonts w:ascii="宋体" w:hAnsi="宋体" w:eastAsia="宋体"/>
          <w:b/>
          <w:bCs/>
          <w:sz w:val="21"/>
          <w:highlight w:val="none"/>
        </w:rPr>
      </w:pPr>
      <w:r>
        <w:rPr>
          <w:rFonts w:hint="eastAsia" w:ascii="宋体" w:hAnsi="宋体" w:eastAsia="宋体"/>
          <w:b/>
          <w:bCs/>
          <w:sz w:val="21"/>
          <w:highlight w:val="none"/>
        </w:rPr>
        <w:t>43.招标代理费用</w:t>
      </w:r>
    </w:p>
    <w:p>
      <w:pPr>
        <w:pStyle w:val="2"/>
        <w:widowControl w:val="0"/>
        <w:spacing w:before="0" w:after="0" w:afterAutospacing="0" w:line="360" w:lineRule="auto"/>
        <w:ind w:left="0" w:leftChars="0" w:right="0"/>
        <w:jc w:val="left"/>
        <w:rPr>
          <w:rFonts w:ascii="宋体" w:hAnsi="宋体" w:eastAsia="宋体"/>
          <w:sz w:val="21"/>
          <w:highlight w:val="none"/>
        </w:rPr>
      </w:pPr>
      <w:r>
        <w:rPr>
          <w:rFonts w:hint="eastAsia" w:ascii="宋体" w:hAnsi="宋体" w:eastAsia="宋体"/>
          <w:sz w:val="21"/>
          <w:highlight w:val="none"/>
        </w:rPr>
        <w:t>本项目招标代理服务费及招标上限控制价编制服务费（如有）的计算方法如下：</w:t>
      </w:r>
    </w:p>
    <w:p>
      <w:pPr>
        <w:pStyle w:val="2"/>
        <w:widowControl w:val="0"/>
        <w:spacing w:before="0" w:after="0" w:afterAutospacing="0" w:line="360" w:lineRule="auto"/>
        <w:ind w:left="0" w:leftChars="0" w:right="0"/>
        <w:jc w:val="left"/>
        <w:rPr>
          <w:rFonts w:ascii="宋体" w:hAnsi="宋体" w:eastAsia="宋体"/>
          <w:sz w:val="21"/>
          <w:highlight w:val="none"/>
        </w:rPr>
      </w:pPr>
      <w:r>
        <w:rPr>
          <w:rFonts w:hint="eastAsia" w:ascii="宋体" w:hAnsi="宋体" w:eastAsia="宋体"/>
          <w:sz w:val="21"/>
          <w:highlight w:val="none"/>
        </w:rPr>
        <w:t>（1）招标代理服务费：参照国家发展改革委《关于降低部分建设项目收费标准规范收费行为等有关问题的通知》（发改价格[2011]534号）规定。招标代理服务费=本项目的实际中标金额×招标代理服务费收费标准×（1-</w:t>
      </w:r>
      <w:r>
        <w:rPr>
          <w:rFonts w:hint="eastAsia" w:ascii="宋体" w:hAnsi="宋体" w:eastAsia="宋体"/>
          <w:sz w:val="21"/>
          <w:highlight w:val="none"/>
          <w:u w:val="single"/>
        </w:rPr>
        <w:t xml:space="preserve"> 20 </w:t>
      </w:r>
      <w:r>
        <w:rPr>
          <w:rFonts w:hint="eastAsia" w:ascii="宋体" w:hAnsi="宋体" w:eastAsia="宋体"/>
          <w:sz w:val="21"/>
          <w:highlight w:val="none"/>
        </w:rPr>
        <w:t>%）（按差额定率累进法计算），按货物招标类型计算。</w:t>
      </w:r>
    </w:p>
    <w:p>
      <w:pPr>
        <w:pStyle w:val="2"/>
        <w:widowControl w:val="0"/>
        <w:spacing w:before="0" w:after="0" w:afterAutospacing="0" w:line="360" w:lineRule="auto"/>
        <w:ind w:left="0" w:leftChars="0" w:right="0"/>
        <w:jc w:val="left"/>
        <w:rPr>
          <w:rFonts w:ascii="宋体" w:hAnsi="宋体"/>
          <w:b/>
          <w:highlight w:val="none"/>
        </w:rPr>
      </w:pPr>
      <w:r>
        <w:rPr>
          <w:rFonts w:hint="eastAsia" w:ascii="宋体" w:hAnsi="宋体" w:eastAsia="宋体"/>
          <w:sz w:val="21"/>
          <w:highlight w:val="none"/>
        </w:rPr>
        <w:t xml:space="preserve">（2）招标上限控制价编制服务费：招标上限控制价编制服务费=本招标项目的实际中标金额×招标代理服务费收费标准×（1- </w:t>
      </w:r>
      <w:r>
        <w:rPr>
          <w:rFonts w:hint="eastAsia" w:ascii="宋体" w:hAnsi="宋体" w:eastAsia="宋体"/>
          <w:sz w:val="21"/>
          <w:highlight w:val="none"/>
          <w:u w:val="single"/>
        </w:rPr>
        <w:t xml:space="preserve"> 70  </w:t>
      </w:r>
      <w:r>
        <w:rPr>
          <w:rFonts w:hint="eastAsia" w:ascii="宋体" w:hAnsi="宋体" w:eastAsia="宋体"/>
          <w:sz w:val="21"/>
          <w:highlight w:val="none"/>
        </w:rPr>
        <w:t>%）（按差额定率累进法计算），按货物招标类型计算。</w:t>
      </w:r>
    </w:p>
    <w:p>
      <w:pPr>
        <w:spacing w:line="480" w:lineRule="exact"/>
        <w:jc w:val="center"/>
        <w:rPr>
          <w:rFonts w:ascii="宋体" w:hAnsi="宋体"/>
          <w:b/>
          <w:highlight w:val="none"/>
        </w:rPr>
      </w:pPr>
      <w:r>
        <w:rPr>
          <w:rFonts w:hint="eastAsia" w:ascii="宋体" w:hAnsi="宋体"/>
          <w:b/>
          <w:highlight w:val="none"/>
        </w:rPr>
        <w:t>招标代理服务收费标准</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1732"/>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459" w:type="dxa"/>
            <w:noWrap/>
          </w:tcPr>
          <w:p>
            <w:pPr>
              <w:adjustRightInd w:val="0"/>
              <w:snapToGrid w:val="0"/>
              <w:spacing w:before="0" w:line="480" w:lineRule="exact"/>
              <w:ind w:left="0" w:right="0" w:firstLine="1692" w:firstLineChars="806"/>
              <w:jc w:val="left"/>
              <w:rPr>
                <w:rFonts w:ascii="宋体" w:hAnsi="宋体"/>
                <w:b/>
                <w:highlight w:val="none"/>
              </w:rPr>
            </w:pPr>
            <w:r>
              <w:rPr>
                <w:rFonts w:ascii="宋体" w:hAnsi="宋体"/>
                <w:highlight w:val="none"/>
              </w:rPr>
              <mc:AlternateContent>
                <mc:Choice Requires="wps">
                  <w:drawing>
                    <wp:anchor distT="0" distB="0" distL="114300" distR="114300" simplePos="0" relativeHeight="251661312" behindDoc="0" locked="0" layoutInCell="1" allowOverlap="1">
                      <wp:simplePos x="0" y="0"/>
                      <wp:positionH relativeFrom="column">
                        <wp:posOffset>851535</wp:posOffset>
                      </wp:positionH>
                      <wp:positionV relativeFrom="paragraph">
                        <wp:posOffset>14605</wp:posOffset>
                      </wp:positionV>
                      <wp:extent cx="635000" cy="1752600"/>
                      <wp:effectExtent l="4445" t="1905" r="8255" b="1714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H="1" flipV="1">
                                <a:off x="0" y="0"/>
                                <a:ext cx="635000" cy="175260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67.05pt;margin-top:1.15pt;height:138pt;width:50pt;z-index:251661312;mso-width-relative:page;mso-height-relative:page;" filled="f" stroked="t" coordsize="21600,21600" o:gfxdata="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rbF/0wAAAAkBAAAPAAAAAAAAAAEAIAAAACIAAABkcnMvZG93bnJldi54bWxQSwEC&#10;FAAUAAAACACHTuJAw6CF//kBAADRAwAADgAAAAAAAAABACAAAAAiAQAAZHJzL2Uyb0RvYy54bWxQ&#10;SwUGAAAAAAYABgBZAQAAjQUAAAAA&#10;">
                      <v:fill on="f" focussize="0,0"/>
                      <v:stroke color="#000000" joinstyle="round"/>
                      <v:imagedata o:title=""/>
                      <o:lock v:ext="edit" aspectratio="f"/>
                    </v:line>
                  </w:pict>
                </mc:Fallback>
              </mc:AlternateContent>
            </w:r>
            <w:r>
              <w:rPr>
                <w:rFonts w:ascii="宋体" w:hAnsi="宋体"/>
                <w:highlight w:val="none"/>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0.5pt;height:0pt;width:0.05pt;z-index:251660288;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rkdN+1QAAAAkBAAAP&#10;AAAAAAAAAAEAIAAAACIAAABkcnMvZG93bnJldi54bWxQSwECFAAUAAAACACHTuJAxPqim+IBAACy&#10;AwAADgAAAAAAAAABACAAAAAkAQAAZHJzL2Uyb0RvYy54bWxQSwUGAAAAAAYABgBZAQAAeAUAAAAA&#10;">
                      <v:fill on="f" focussize="0,0"/>
                      <v:stroke color="#000000" joinstyle="round"/>
                      <v:imagedata o:title=""/>
                      <o:lock v:ext="edit" aspectratio="f"/>
                    </v:line>
                  </w:pict>
                </mc:Fallback>
              </mc:AlternateContent>
            </w:r>
            <w:r>
              <w:rPr>
                <w:rFonts w:hint="eastAsia" w:ascii="宋体" w:hAnsi="宋体"/>
                <w:b/>
                <w:highlight w:val="none"/>
              </w:rPr>
              <w:t>服务</w:t>
            </w:r>
          </w:p>
          <w:p>
            <w:pPr>
              <w:adjustRightInd w:val="0"/>
              <w:snapToGrid w:val="0"/>
              <w:spacing w:before="0" w:line="480" w:lineRule="exact"/>
              <w:ind w:left="0" w:right="0"/>
              <w:jc w:val="left"/>
              <w:rPr>
                <w:rFonts w:ascii="宋体" w:hAnsi="宋体"/>
                <w:b/>
                <w:highlight w:val="none"/>
              </w:rPr>
            </w:pPr>
            <w:r>
              <w:rPr>
                <w:rFonts w:ascii="宋体" w:hAnsi="宋体"/>
                <w:highlight w:val="none"/>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-488315</wp:posOffset>
                      </wp:positionV>
                      <wp:extent cx="1549400" cy="1758950"/>
                      <wp:effectExtent l="3810" t="3175" r="8890"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549400" cy="175895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5.45pt;margin-top:-38.45pt;height:138.5pt;width:122pt;z-index:251662336;mso-width-relative:page;mso-height-relative:page;" filled="f" stroked="t" coordsize="21600,21600" o:gfxdata="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1cAzR1AAAAAsBAAAPAAAAAAAAAAEAIAAAACIAAABkcnMvZG93bnJldi54bWxQ&#10;SwECFAAUAAAACACHTuJAYbdFx/sBAADSAwAADgAAAAAAAAABACAAAAAjAQAAZHJzL2Uyb0RvYy54&#10;bWxQSwUGAAAAAAYABgBZAQAAkAUAAAAA&#10;">
                      <v:fill on="f" focussize="0,0"/>
                      <v:stroke color="#000000" joinstyle="round"/>
                      <v:imagedata o:title=""/>
                      <o:lock v:ext="edit" aspectratio="f"/>
                    </v:line>
                  </w:pict>
                </mc:Fallback>
              </mc:AlternateContent>
            </w:r>
            <w:r>
              <w:rPr>
                <w:rFonts w:hint="eastAsia" w:ascii="宋体" w:hAnsi="宋体"/>
                <w:b/>
                <w:highlight w:val="none"/>
              </w:rPr>
              <w:t xml:space="preserve"> 费             费率（%）</w:t>
            </w:r>
          </w:p>
          <w:p>
            <w:pPr>
              <w:adjustRightInd w:val="0"/>
              <w:snapToGrid w:val="0"/>
              <w:spacing w:before="0" w:line="480" w:lineRule="exact"/>
              <w:ind w:left="0" w:right="0"/>
              <w:jc w:val="left"/>
              <w:rPr>
                <w:rFonts w:ascii="宋体" w:hAnsi="宋体"/>
                <w:b/>
                <w:highlight w:val="none"/>
              </w:rPr>
            </w:pPr>
            <w:r>
              <w:rPr>
                <w:rFonts w:hint="eastAsia" w:ascii="宋体" w:hAnsi="宋体"/>
                <w:b/>
                <w:highlight w:val="none"/>
              </w:rPr>
              <w:t xml:space="preserve"> 类   </w:t>
            </w:r>
          </w:p>
          <w:p>
            <w:pPr>
              <w:adjustRightInd w:val="0"/>
              <w:snapToGrid w:val="0"/>
              <w:spacing w:line="480" w:lineRule="exact"/>
              <w:rPr>
                <w:rFonts w:ascii="宋体" w:hAnsi="宋体"/>
                <w:b/>
                <w:highlight w:val="none"/>
              </w:rPr>
            </w:pPr>
            <w:r>
              <w:rPr>
                <w:rFonts w:hint="eastAsia" w:ascii="宋体" w:hAnsi="宋体"/>
                <w:b/>
                <w:highlight w:val="none"/>
              </w:rPr>
              <w:t>中标金额（万元）</w:t>
            </w:r>
          </w:p>
        </w:tc>
        <w:tc>
          <w:tcPr>
            <w:tcW w:w="1732" w:type="dxa"/>
            <w:noWrap/>
            <w:vAlign w:val="center"/>
          </w:tcPr>
          <w:p>
            <w:pPr>
              <w:adjustRightInd w:val="0"/>
              <w:snapToGrid w:val="0"/>
              <w:spacing w:line="480" w:lineRule="exact"/>
              <w:jc w:val="center"/>
              <w:rPr>
                <w:rFonts w:ascii="宋体" w:hAnsi="宋体"/>
                <w:b/>
                <w:highlight w:val="none"/>
              </w:rPr>
            </w:pPr>
            <w:r>
              <w:rPr>
                <w:rFonts w:hint="eastAsia" w:ascii="宋体" w:hAnsi="宋体"/>
                <w:b/>
                <w:highlight w:val="none"/>
              </w:rPr>
              <w:t>货物招标</w:t>
            </w:r>
          </w:p>
        </w:tc>
        <w:tc>
          <w:tcPr>
            <w:tcW w:w="1980" w:type="dxa"/>
            <w:noWrap/>
            <w:vAlign w:val="center"/>
          </w:tcPr>
          <w:p>
            <w:pPr>
              <w:spacing w:line="480" w:lineRule="exact"/>
              <w:jc w:val="center"/>
              <w:rPr>
                <w:rFonts w:ascii="宋体" w:hAnsi="宋体"/>
                <w:b/>
                <w:highlight w:val="none"/>
              </w:rPr>
            </w:pPr>
            <w:r>
              <w:rPr>
                <w:rFonts w:hint="eastAsia" w:ascii="宋体" w:hAnsi="宋体"/>
                <w:b/>
                <w:highlight w:val="none"/>
              </w:rPr>
              <w:t>服务招标</w:t>
            </w:r>
          </w:p>
        </w:tc>
        <w:tc>
          <w:tcPr>
            <w:tcW w:w="1980" w:type="dxa"/>
            <w:noWrap/>
            <w:vAlign w:val="center"/>
          </w:tcPr>
          <w:p>
            <w:pPr>
              <w:spacing w:line="480" w:lineRule="exact"/>
              <w:jc w:val="center"/>
              <w:rPr>
                <w:rFonts w:ascii="宋体" w:hAnsi="宋体"/>
                <w:b/>
                <w:highlight w:val="none"/>
              </w:rPr>
            </w:pPr>
            <w:r>
              <w:rPr>
                <w:rFonts w:hint="eastAsia" w:ascii="宋体" w:hAnsi="宋体"/>
                <w:b/>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9" w:type="dxa"/>
            <w:noWrap/>
          </w:tcPr>
          <w:p>
            <w:pPr>
              <w:spacing w:line="480" w:lineRule="exact"/>
              <w:jc w:val="center"/>
              <w:rPr>
                <w:rFonts w:ascii="宋体" w:hAnsi="宋体"/>
                <w:highlight w:val="none"/>
              </w:rPr>
            </w:pPr>
            <w:r>
              <w:rPr>
                <w:rFonts w:hint="eastAsia" w:ascii="宋体" w:hAnsi="宋体"/>
                <w:highlight w:val="none"/>
              </w:rPr>
              <w:t>100以下</w:t>
            </w:r>
          </w:p>
        </w:tc>
        <w:tc>
          <w:tcPr>
            <w:tcW w:w="1732" w:type="dxa"/>
            <w:noWrap/>
          </w:tcPr>
          <w:p>
            <w:pPr>
              <w:spacing w:line="480" w:lineRule="exact"/>
              <w:jc w:val="center"/>
              <w:rPr>
                <w:rFonts w:ascii="宋体" w:hAnsi="宋体"/>
                <w:highlight w:val="none"/>
              </w:rPr>
            </w:pPr>
            <w:r>
              <w:rPr>
                <w:rFonts w:hint="eastAsia" w:ascii="宋体" w:hAnsi="宋体"/>
                <w:highlight w:val="none"/>
              </w:rPr>
              <w:t>1.5%</w:t>
            </w:r>
          </w:p>
        </w:tc>
        <w:tc>
          <w:tcPr>
            <w:tcW w:w="1980" w:type="dxa"/>
            <w:noWrap/>
          </w:tcPr>
          <w:p>
            <w:pPr>
              <w:spacing w:line="480" w:lineRule="exact"/>
              <w:jc w:val="center"/>
              <w:rPr>
                <w:rFonts w:ascii="宋体" w:hAnsi="宋体"/>
                <w:highlight w:val="none"/>
              </w:rPr>
            </w:pPr>
            <w:r>
              <w:rPr>
                <w:rFonts w:hint="eastAsia" w:ascii="宋体" w:hAnsi="宋体"/>
                <w:highlight w:val="none"/>
              </w:rPr>
              <w:t>1.5%</w:t>
            </w:r>
          </w:p>
        </w:tc>
        <w:tc>
          <w:tcPr>
            <w:tcW w:w="1980" w:type="dxa"/>
            <w:noWrap/>
          </w:tcPr>
          <w:p>
            <w:pPr>
              <w:spacing w:line="480" w:lineRule="exact"/>
              <w:jc w:val="center"/>
              <w:rPr>
                <w:rFonts w:ascii="宋体" w:hAnsi="宋体"/>
                <w:highlight w:val="none"/>
              </w:rPr>
            </w:pPr>
            <w:r>
              <w:rPr>
                <w:rFonts w:hint="eastAsia" w:ascii="宋体" w:hAnsi="宋体"/>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9" w:type="dxa"/>
            <w:noWrap/>
          </w:tcPr>
          <w:p>
            <w:pPr>
              <w:spacing w:line="480" w:lineRule="exact"/>
              <w:jc w:val="center"/>
              <w:rPr>
                <w:rFonts w:ascii="宋体" w:hAnsi="宋体"/>
                <w:highlight w:val="none"/>
              </w:rPr>
            </w:pPr>
            <w:r>
              <w:rPr>
                <w:rFonts w:hint="eastAsia" w:ascii="宋体" w:hAnsi="宋体"/>
                <w:highlight w:val="none"/>
              </w:rPr>
              <w:t>100-500</w:t>
            </w:r>
          </w:p>
        </w:tc>
        <w:tc>
          <w:tcPr>
            <w:tcW w:w="1732" w:type="dxa"/>
            <w:noWrap/>
          </w:tcPr>
          <w:p>
            <w:pPr>
              <w:spacing w:line="480" w:lineRule="exact"/>
              <w:jc w:val="center"/>
              <w:rPr>
                <w:rFonts w:ascii="宋体" w:hAnsi="宋体"/>
                <w:highlight w:val="none"/>
              </w:rPr>
            </w:pPr>
            <w:r>
              <w:rPr>
                <w:rFonts w:hint="eastAsia" w:ascii="宋体" w:hAnsi="宋体"/>
                <w:highlight w:val="none"/>
              </w:rPr>
              <w:t>1.1%</w:t>
            </w:r>
          </w:p>
        </w:tc>
        <w:tc>
          <w:tcPr>
            <w:tcW w:w="1980" w:type="dxa"/>
            <w:noWrap/>
          </w:tcPr>
          <w:p>
            <w:pPr>
              <w:spacing w:line="480" w:lineRule="exact"/>
              <w:jc w:val="center"/>
              <w:rPr>
                <w:rFonts w:ascii="宋体" w:hAnsi="宋体"/>
                <w:highlight w:val="none"/>
              </w:rPr>
            </w:pPr>
            <w:r>
              <w:rPr>
                <w:rFonts w:hint="eastAsia" w:ascii="宋体" w:hAnsi="宋体"/>
                <w:highlight w:val="none"/>
              </w:rPr>
              <w:t>0.8%</w:t>
            </w:r>
          </w:p>
        </w:tc>
        <w:tc>
          <w:tcPr>
            <w:tcW w:w="1980" w:type="dxa"/>
            <w:noWrap/>
          </w:tcPr>
          <w:p>
            <w:pPr>
              <w:spacing w:line="480" w:lineRule="exact"/>
              <w:jc w:val="center"/>
              <w:rPr>
                <w:rFonts w:ascii="宋体" w:hAnsi="宋体"/>
                <w:highlight w:val="none"/>
              </w:rPr>
            </w:pPr>
            <w:r>
              <w:rPr>
                <w:rFonts w:hint="eastAsia" w:ascii="宋体" w:hAnsi="宋体"/>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9" w:type="dxa"/>
            <w:noWrap/>
          </w:tcPr>
          <w:p>
            <w:pPr>
              <w:spacing w:line="480" w:lineRule="exact"/>
              <w:jc w:val="center"/>
              <w:rPr>
                <w:rFonts w:ascii="宋体" w:hAnsi="宋体"/>
                <w:highlight w:val="none"/>
              </w:rPr>
            </w:pPr>
            <w:r>
              <w:rPr>
                <w:rFonts w:hint="eastAsia" w:ascii="宋体" w:hAnsi="宋体"/>
                <w:highlight w:val="none"/>
              </w:rPr>
              <w:t>500-1000</w:t>
            </w:r>
          </w:p>
        </w:tc>
        <w:tc>
          <w:tcPr>
            <w:tcW w:w="1732" w:type="dxa"/>
            <w:noWrap/>
          </w:tcPr>
          <w:p>
            <w:pPr>
              <w:spacing w:line="480" w:lineRule="exact"/>
              <w:jc w:val="center"/>
              <w:rPr>
                <w:rFonts w:ascii="宋体" w:hAnsi="宋体"/>
                <w:highlight w:val="none"/>
              </w:rPr>
            </w:pPr>
            <w:r>
              <w:rPr>
                <w:rFonts w:hint="eastAsia" w:ascii="宋体" w:hAnsi="宋体"/>
                <w:highlight w:val="none"/>
              </w:rPr>
              <w:t>0.8%</w:t>
            </w:r>
          </w:p>
        </w:tc>
        <w:tc>
          <w:tcPr>
            <w:tcW w:w="1980" w:type="dxa"/>
            <w:noWrap/>
          </w:tcPr>
          <w:p>
            <w:pPr>
              <w:spacing w:line="480" w:lineRule="exact"/>
              <w:jc w:val="center"/>
              <w:rPr>
                <w:rFonts w:ascii="宋体" w:hAnsi="宋体"/>
                <w:highlight w:val="none"/>
              </w:rPr>
            </w:pPr>
            <w:r>
              <w:rPr>
                <w:rFonts w:hint="eastAsia" w:ascii="宋体" w:hAnsi="宋体"/>
                <w:highlight w:val="none"/>
              </w:rPr>
              <w:t>0.45%</w:t>
            </w:r>
          </w:p>
        </w:tc>
        <w:tc>
          <w:tcPr>
            <w:tcW w:w="1980" w:type="dxa"/>
            <w:noWrap/>
          </w:tcPr>
          <w:p>
            <w:pPr>
              <w:spacing w:line="480" w:lineRule="exact"/>
              <w:jc w:val="center"/>
              <w:rPr>
                <w:rFonts w:ascii="宋体" w:hAnsi="宋体"/>
                <w:highlight w:val="none"/>
              </w:rPr>
            </w:pPr>
            <w:r>
              <w:rPr>
                <w:rFonts w:hint="eastAsia" w:ascii="宋体" w:hAnsi="宋体"/>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9" w:type="dxa"/>
            <w:noWrap/>
          </w:tcPr>
          <w:p>
            <w:pPr>
              <w:spacing w:line="480" w:lineRule="exact"/>
              <w:jc w:val="center"/>
              <w:rPr>
                <w:rFonts w:ascii="宋体" w:hAnsi="宋体"/>
                <w:highlight w:val="none"/>
              </w:rPr>
            </w:pPr>
            <w:r>
              <w:rPr>
                <w:rFonts w:hint="eastAsia" w:ascii="宋体" w:hAnsi="宋体"/>
                <w:highlight w:val="none"/>
              </w:rPr>
              <w:t>1000-5000</w:t>
            </w:r>
          </w:p>
        </w:tc>
        <w:tc>
          <w:tcPr>
            <w:tcW w:w="1732" w:type="dxa"/>
            <w:noWrap/>
          </w:tcPr>
          <w:p>
            <w:pPr>
              <w:spacing w:line="480" w:lineRule="exact"/>
              <w:jc w:val="center"/>
              <w:rPr>
                <w:rFonts w:ascii="宋体" w:hAnsi="宋体"/>
                <w:highlight w:val="none"/>
              </w:rPr>
            </w:pPr>
            <w:r>
              <w:rPr>
                <w:rFonts w:hint="eastAsia" w:ascii="宋体" w:hAnsi="宋体"/>
                <w:highlight w:val="none"/>
              </w:rPr>
              <w:t>0.5%</w:t>
            </w:r>
          </w:p>
        </w:tc>
        <w:tc>
          <w:tcPr>
            <w:tcW w:w="1980" w:type="dxa"/>
            <w:noWrap/>
          </w:tcPr>
          <w:p>
            <w:pPr>
              <w:spacing w:line="480" w:lineRule="exact"/>
              <w:jc w:val="center"/>
              <w:rPr>
                <w:rFonts w:ascii="宋体" w:hAnsi="宋体"/>
                <w:highlight w:val="none"/>
              </w:rPr>
            </w:pPr>
            <w:r>
              <w:rPr>
                <w:rFonts w:hint="eastAsia" w:ascii="宋体" w:hAnsi="宋体"/>
                <w:highlight w:val="none"/>
              </w:rPr>
              <w:t>0.25%</w:t>
            </w:r>
          </w:p>
        </w:tc>
        <w:tc>
          <w:tcPr>
            <w:tcW w:w="1980" w:type="dxa"/>
            <w:noWrap/>
          </w:tcPr>
          <w:p>
            <w:pPr>
              <w:spacing w:line="480" w:lineRule="exact"/>
              <w:jc w:val="center"/>
              <w:rPr>
                <w:rFonts w:ascii="宋体" w:hAnsi="宋体"/>
                <w:highlight w:val="none"/>
              </w:rPr>
            </w:pPr>
            <w:r>
              <w:rPr>
                <w:rFonts w:hint="eastAsia" w:ascii="宋体" w:hAnsi="宋体"/>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9" w:type="dxa"/>
            <w:noWrap/>
          </w:tcPr>
          <w:p>
            <w:pPr>
              <w:spacing w:line="480" w:lineRule="exact"/>
              <w:jc w:val="center"/>
              <w:rPr>
                <w:rFonts w:ascii="宋体" w:hAnsi="宋体"/>
                <w:highlight w:val="none"/>
              </w:rPr>
            </w:pPr>
            <w:r>
              <w:rPr>
                <w:rFonts w:hint="eastAsia" w:ascii="宋体" w:hAnsi="宋体"/>
                <w:highlight w:val="none"/>
              </w:rPr>
              <w:t>5000-10000</w:t>
            </w:r>
          </w:p>
        </w:tc>
        <w:tc>
          <w:tcPr>
            <w:tcW w:w="1732" w:type="dxa"/>
            <w:noWrap/>
          </w:tcPr>
          <w:p>
            <w:pPr>
              <w:spacing w:line="480" w:lineRule="exact"/>
              <w:jc w:val="center"/>
              <w:rPr>
                <w:rFonts w:ascii="宋体" w:hAnsi="宋体"/>
                <w:highlight w:val="none"/>
              </w:rPr>
            </w:pPr>
            <w:r>
              <w:rPr>
                <w:rFonts w:hint="eastAsia" w:ascii="宋体" w:hAnsi="宋体"/>
                <w:highlight w:val="none"/>
              </w:rPr>
              <w:t>0.25%</w:t>
            </w:r>
          </w:p>
        </w:tc>
        <w:tc>
          <w:tcPr>
            <w:tcW w:w="1980" w:type="dxa"/>
            <w:noWrap/>
          </w:tcPr>
          <w:p>
            <w:pPr>
              <w:spacing w:line="480" w:lineRule="exact"/>
              <w:jc w:val="center"/>
              <w:rPr>
                <w:rFonts w:ascii="宋体" w:hAnsi="宋体"/>
                <w:highlight w:val="none"/>
              </w:rPr>
            </w:pPr>
            <w:r>
              <w:rPr>
                <w:rFonts w:hint="eastAsia" w:ascii="宋体" w:hAnsi="宋体"/>
                <w:highlight w:val="none"/>
              </w:rPr>
              <w:t>0.1%</w:t>
            </w:r>
          </w:p>
        </w:tc>
        <w:tc>
          <w:tcPr>
            <w:tcW w:w="1980" w:type="dxa"/>
            <w:noWrap/>
          </w:tcPr>
          <w:p>
            <w:pPr>
              <w:spacing w:line="480" w:lineRule="exact"/>
              <w:jc w:val="center"/>
              <w:rPr>
                <w:rFonts w:ascii="宋体" w:hAnsi="宋体"/>
                <w:highlight w:val="none"/>
              </w:rPr>
            </w:pPr>
            <w:r>
              <w:rPr>
                <w:rFonts w:hint="eastAsia" w:ascii="宋体" w:hAnsi="宋体"/>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9" w:type="dxa"/>
            <w:noWrap/>
          </w:tcPr>
          <w:p>
            <w:pPr>
              <w:spacing w:line="480" w:lineRule="exact"/>
              <w:jc w:val="center"/>
              <w:rPr>
                <w:rFonts w:ascii="宋体" w:hAnsi="宋体"/>
                <w:highlight w:val="none"/>
              </w:rPr>
            </w:pPr>
            <w:r>
              <w:rPr>
                <w:rFonts w:hint="eastAsia" w:ascii="宋体" w:hAnsi="宋体"/>
                <w:highlight w:val="none"/>
              </w:rPr>
              <w:t>10000-50000</w:t>
            </w:r>
          </w:p>
        </w:tc>
        <w:tc>
          <w:tcPr>
            <w:tcW w:w="1732" w:type="dxa"/>
            <w:noWrap/>
          </w:tcPr>
          <w:p>
            <w:pPr>
              <w:spacing w:line="480" w:lineRule="exact"/>
              <w:jc w:val="center"/>
              <w:rPr>
                <w:rFonts w:ascii="宋体" w:hAnsi="宋体"/>
                <w:highlight w:val="none"/>
              </w:rPr>
            </w:pPr>
            <w:r>
              <w:rPr>
                <w:rFonts w:hint="eastAsia" w:ascii="宋体" w:hAnsi="宋体"/>
                <w:highlight w:val="none"/>
              </w:rPr>
              <w:t>0.05%</w:t>
            </w:r>
          </w:p>
        </w:tc>
        <w:tc>
          <w:tcPr>
            <w:tcW w:w="1980" w:type="dxa"/>
            <w:noWrap/>
          </w:tcPr>
          <w:p>
            <w:pPr>
              <w:spacing w:line="480" w:lineRule="exact"/>
              <w:jc w:val="center"/>
              <w:rPr>
                <w:rFonts w:ascii="宋体" w:hAnsi="宋体"/>
                <w:highlight w:val="none"/>
              </w:rPr>
            </w:pPr>
            <w:r>
              <w:rPr>
                <w:rFonts w:hint="eastAsia" w:ascii="宋体" w:hAnsi="宋体"/>
                <w:highlight w:val="none"/>
              </w:rPr>
              <w:t>0.05%</w:t>
            </w:r>
          </w:p>
        </w:tc>
        <w:tc>
          <w:tcPr>
            <w:tcW w:w="1980" w:type="dxa"/>
            <w:noWrap/>
          </w:tcPr>
          <w:p>
            <w:pPr>
              <w:spacing w:line="480" w:lineRule="exact"/>
              <w:jc w:val="center"/>
              <w:rPr>
                <w:rFonts w:ascii="宋体" w:hAnsi="宋体"/>
                <w:highlight w:val="none"/>
              </w:rPr>
            </w:pPr>
            <w:r>
              <w:rPr>
                <w:rFonts w:hint="eastAsia" w:ascii="宋体" w:hAnsi="宋体"/>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9" w:type="dxa"/>
            <w:noWrap/>
          </w:tcPr>
          <w:p>
            <w:pPr>
              <w:spacing w:line="480" w:lineRule="exact"/>
              <w:jc w:val="center"/>
              <w:rPr>
                <w:rFonts w:ascii="宋体" w:hAnsi="宋体"/>
                <w:highlight w:val="none"/>
              </w:rPr>
            </w:pPr>
            <w:r>
              <w:rPr>
                <w:rFonts w:hint="eastAsia" w:ascii="宋体" w:hAnsi="宋体"/>
                <w:highlight w:val="none"/>
              </w:rPr>
              <w:t>50000-100000</w:t>
            </w:r>
          </w:p>
        </w:tc>
        <w:tc>
          <w:tcPr>
            <w:tcW w:w="1732" w:type="dxa"/>
            <w:noWrap/>
          </w:tcPr>
          <w:p>
            <w:pPr>
              <w:spacing w:line="480" w:lineRule="exact"/>
              <w:jc w:val="center"/>
              <w:rPr>
                <w:rFonts w:ascii="宋体" w:hAnsi="宋体"/>
                <w:highlight w:val="none"/>
              </w:rPr>
            </w:pPr>
            <w:r>
              <w:rPr>
                <w:rFonts w:hint="eastAsia" w:ascii="宋体" w:hAnsi="宋体"/>
                <w:highlight w:val="none"/>
              </w:rPr>
              <w:t>0.035%</w:t>
            </w:r>
          </w:p>
        </w:tc>
        <w:tc>
          <w:tcPr>
            <w:tcW w:w="1980" w:type="dxa"/>
            <w:noWrap/>
          </w:tcPr>
          <w:p>
            <w:pPr>
              <w:spacing w:line="480" w:lineRule="exact"/>
              <w:jc w:val="center"/>
              <w:rPr>
                <w:rFonts w:ascii="宋体" w:hAnsi="宋体"/>
                <w:highlight w:val="none"/>
              </w:rPr>
            </w:pPr>
            <w:r>
              <w:rPr>
                <w:rFonts w:hint="eastAsia" w:ascii="宋体" w:hAnsi="宋体"/>
                <w:highlight w:val="none"/>
              </w:rPr>
              <w:t>0.035%</w:t>
            </w:r>
          </w:p>
        </w:tc>
        <w:tc>
          <w:tcPr>
            <w:tcW w:w="1980" w:type="dxa"/>
            <w:noWrap/>
          </w:tcPr>
          <w:p>
            <w:pPr>
              <w:spacing w:line="480" w:lineRule="exact"/>
              <w:jc w:val="center"/>
              <w:rPr>
                <w:rFonts w:ascii="宋体" w:hAnsi="宋体"/>
                <w:highlight w:val="none"/>
              </w:rPr>
            </w:pPr>
            <w:r>
              <w:rPr>
                <w:rFonts w:hint="eastAsia" w:ascii="宋体" w:hAnsi="宋体"/>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9" w:type="dxa"/>
            <w:noWrap/>
          </w:tcPr>
          <w:p>
            <w:pPr>
              <w:spacing w:line="480" w:lineRule="exact"/>
              <w:jc w:val="center"/>
              <w:rPr>
                <w:rFonts w:ascii="宋体" w:hAnsi="宋体"/>
                <w:highlight w:val="none"/>
              </w:rPr>
            </w:pPr>
            <w:r>
              <w:rPr>
                <w:rFonts w:hint="eastAsia" w:ascii="宋体" w:hAnsi="宋体"/>
                <w:highlight w:val="none"/>
              </w:rPr>
              <w:t>100000-500000</w:t>
            </w:r>
          </w:p>
        </w:tc>
        <w:tc>
          <w:tcPr>
            <w:tcW w:w="1732" w:type="dxa"/>
            <w:noWrap/>
          </w:tcPr>
          <w:p>
            <w:pPr>
              <w:spacing w:line="480" w:lineRule="exact"/>
              <w:jc w:val="center"/>
              <w:rPr>
                <w:rFonts w:ascii="宋体" w:hAnsi="宋体"/>
                <w:highlight w:val="none"/>
              </w:rPr>
            </w:pPr>
            <w:r>
              <w:rPr>
                <w:rFonts w:hint="eastAsia" w:ascii="宋体" w:hAnsi="宋体"/>
                <w:highlight w:val="none"/>
              </w:rPr>
              <w:t>0.008%</w:t>
            </w:r>
          </w:p>
        </w:tc>
        <w:tc>
          <w:tcPr>
            <w:tcW w:w="1980" w:type="dxa"/>
            <w:noWrap/>
          </w:tcPr>
          <w:p>
            <w:pPr>
              <w:spacing w:line="480" w:lineRule="exact"/>
              <w:jc w:val="center"/>
              <w:rPr>
                <w:rFonts w:ascii="宋体" w:hAnsi="宋体"/>
                <w:highlight w:val="none"/>
              </w:rPr>
            </w:pPr>
            <w:r>
              <w:rPr>
                <w:rFonts w:hint="eastAsia" w:ascii="宋体" w:hAnsi="宋体"/>
                <w:highlight w:val="none"/>
              </w:rPr>
              <w:t>0.008%</w:t>
            </w:r>
          </w:p>
        </w:tc>
        <w:tc>
          <w:tcPr>
            <w:tcW w:w="1980" w:type="dxa"/>
            <w:noWrap/>
          </w:tcPr>
          <w:p>
            <w:pPr>
              <w:spacing w:line="480" w:lineRule="exact"/>
              <w:jc w:val="center"/>
              <w:rPr>
                <w:rFonts w:ascii="宋体" w:hAnsi="宋体"/>
                <w:highlight w:val="none"/>
              </w:rPr>
            </w:pPr>
            <w:r>
              <w:rPr>
                <w:rFonts w:hint="eastAsia" w:ascii="宋体" w:hAnsi="宋体"/>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9" w:type="dxa"/>
            <w:noWrap/>
          </w:tcPr>
          <w:p>
            <w:pPr>
              <w:spacing w:line="480" w:lineRule="exact"/>
              <w:jc w:val="center"/>
              <w:rPr>
                <w:rFonts w:ascii="宋体" w:hAnsi="宋体"/>
                <w:highlight w:val="none"/>
              </w:rPr>
            </w:pPr>
            <w:r>
              <w:rPr>
                <w:rFonts w:hint="eastAsia" w:ascii="宋体" w:hAnsi="宋体"/>
                <w:highlight w:val="none"/>
              </w:rPr>
              <w:t>500000-1000000</w:t>
            </w:r>
          </w:p>
        </w:tc>
        <w:tc>
          <w:tcPr>
            <w:tcW w:w="1732" w:type="dxa"/>
            <w:noWrap/>
          </w:tcPr>
          <w:p>
            <w:pPr>
              <w:spacing w:line="480" w:lineRule="exact"/>
              <w:jc w:val="center"/>
              <w:rPr>
                <w:rFonts w:ascii="宋体" w:hAnsi="宋体"/>
                <w:highlight w:val="none"/>
              </w:rPr>
            </w:pPr>
            <w:r>
              <w:rPr>
                <w:rFonts w:hint="eastAsia" w:ascii="宋体" w:hAnsi="宋体"/>
                <w:highlight w:val="none"/>
              </w:rPr>
              <w:t>0.006%</w:t>
            </w:r>
          </w:p>
        </w:tc>
        <w:tc>
          <w:tcPr>
            <w:tcW w:w="1980" w:type="dxa"/>
            <w:noWrap/>
          </w:tcPr>
          <w:p>
            <w:pPr>
              <w:spacing w:line="480" w:lineRule="exact"/>
              <w:jc w:val="center"/>
              <w:rPr>
                <w:rFonts w:ascii="宋体" w:hAnsi="宋体"/>
                <w:highlight w:val="none"/>
              </w:rPr>
            </w:pPr>
            <w:r>
              <w:rPr>
                <w:rFonts w:hint="eastAsia" w:ascii="宋体" w:hAnsi="宋体"/>
                <w:highlight w:val="none"/>
              </w:rPr>
              <w:t>0.006%</w:t>
            </w:r>
          </w:p>
        </w:tc>
        <w:tc>
          <w:tcPr>
            <w:tcW w:w="1980" w:type="dxa"/>
            <w:noWrap/>
          </w:tcPr>
          <w:p>
            <w:pPr>
              <w:spacing w:line="480" w:lineRule="exact"/>
              <w:jc w:val="center"/>
              <w:rPr>
                <w:rFonts w:ascii="宋体" w:hAnsi="宋体"/>
                <w:highlight w:val="none"/>
              </w:rPr>
            </w:pPr>
            <w:r>
              <w:rPr>
                <w:rFonts w:hint="eastAsia" w:ascii="宋体" w:hAnsi="宋体"/>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9" w:type="dxa"/>
            <w:noWrap/>
          </w:tcPr>
          <w:p>
            <w:pPr>
              <w:spacing w:line="480" w:lineRule="exact"/>
              <w:jc w:val="center"/>
              <w:rPr>
                <w:rFonts w:ascii="宋体" w:hAnsi="宋体"/>
                <w:highlight w:val="none"/>
              </w:rPr>
            </w:pPr>
            <w:r>
              <w:rPr>
                <w:rFonts w:hint="eastAsia" w:ascii="宋体" w:hAnsi="宋体"/>
                <w:highlight w:val="none"/>
              </w:rPr>
              <w:t>1000000以上</w:t>
            </w:r>
          </w:p>
        </w:tc>
        <w:tc>
          <w:tcPr>
            <w:tcW w:w="1732" w:type="dxa"/>
            <w:noWrap/>
          </w:tcPr>
          <w:p>
            <w:pPr>
              <w:spacing w:line="480" w:lineRule="exact"/>
              <w:jc w:val="center"/>
              <w:rPr>
                <w:rFonts w:ascii="宋体" w:hAnsi="宋体"/>
                <w:highlight w:val="none"/>
              </w:rPr>
            </w:pPr>
            <w:r>
              <w:rPr>
                <w:rFonts w:hint="eastAsia" w:ascii="宋体" w:hAnsi="宋体"/>
                <w:highlight w:val="none"/>
              </w:rPr>
              <w:t>0.004%</w:t>
            </w:r>
          </w:p>
        </w:tc>
        <w:tc>
          <w:tcPr>
            <w:tcW w:w="1980" w:type="dxa"/>
            <w:noWrap/>
          </w:tcPr>
          <w:p>
            <w:pPr>
              <w:spacing w:line="480" w:lineRule="exact"/>
              <w:jc w:val="center"/>
              <w:rPr>
                <w:rFonts w:ascii="宋体" w:hAnsi="宋体"/>
                <w:highlight w:val="none"/>
              </w:rPr>
            </w:pPr>
            <w:r>
              <w:rPr>
                <w:rFonts w:hint="eastAsia" w:ascii="宋体" w:hAnsi="宋体"/>
                <w:highlight w:val="none"/>
              </w:rPr>
              <w:t>0.004%</w:t>
            </w:r>
          </w:p>
        </w:tc>
        <w:tc>
          <w:tcPr>
            <w:tcW w:w="1980" w:type="dxa"/>
            <w:noWrap/>
          </w:tcPr>
          <w:p>
            <w:pPr>
              <w:spacing w:line="480" w:lineRule="exact"/>
              <w:jc w:val="center"/>
              <w:rPr>
                <w:rFonts w:ascii="宋体" w:hAnsi="宋体"/>
                <w:highlight w:val="none"/>
              </w:rPr>
            </w:pPr>
            <w:r>
              <w:rPr>
                <w:rFonts w:hint="eastAsia" w:ascii="宋体" w:hAnsi="宋体"/>
                <w:highlight w:val="none"/>
              </w:rPr>
              <w:t>0.004%</w:t>
            </w:r>
          </w:p>
        </w:tc>
      </w:tr>
    </w:tbl>
    <w:p>
      <w:pPr>
        <w:spacing w:before="0" w:after="0" w:afterAutospacing="0"/>
        <w:ind w:left="0" w:right="0" w:firstLine="420" w:firstLineChars="200"/>
        <w:jc w:val="left"/>
        <w:rPr>
          <w:rFonts w:ascii="宋体" w:hAnsi="宋体"/>
          <w:kern w:val="2"/>
          <w:szCs w:val="24"/>
          <w:highlight w:val="none"/>
        </w:rPr>
        <w:sectPr>
          <w:footerReference r:id="rId9" w:type="default"/>
          <w:pgSz w:w="11906" w:h="16838"/>
          <w:pgMar w:top="1418" w:right="1418" w:bottom="1418" w:left="1418" w:header="851" w:footer="992" w:gutter="0"/>
          <w:pgNumType w:fmt="decimal" w:start="1"/>
          <w:cols w:space="720" w:num="1"/>
          <w:docGrid w:linePitch="312" w:charSpace="0"/>
        </w:sectPr>
      </w:pPr>
    </w:p>
    <w:p>
      <w:pPr>
        <w:spacing w:before="0" w:after="0" w:afterAutospacing="0"/>
        <w:ind w:left="0" w:right="0" w:firstLine="420" w:firstLineChars="200"/>
        <w:jc w:val="left"/>
        <w:rPr>
          <w:rFonts w:ascii="宋体" w:hAnsi="宋体"/>
          <w:kern w:val="2"/>
          <w:szCs w:val="24"/>
          <w:highlight w:val="none"/>
        </w:rPr>
      </w:pPr>
      <w:r>
        <w:rPr>
          <w:rFonts w:hint="eastAsia" w:ascii="宋体" w:hAnsi="宋体"/>
          <w:kern w:val="2"/>
          <w:szCs w:val="24"/>
          <w:highlight w:val="none"/>
        </w:rPr>
        <w:t xml:space="preserve">以本项目的含税预算金额为例，招标代理服务费及招标上限控制价编制服务费用计算过程如下：  </w:t>
      </w:r>
    </w:p>
    <w:p>
      <w:pPr>
        <w:spacing w:before="0" w:after="0" w:afterAutospacing="0"/>
        <w:ind w:left="0" w:right="0" w:firstLine="420" w:firstLineChars="200"/>
        <w:jc w:val="left"/>
        <w:rPr>
          <w:rFonts w:ascii="宋体" w:hAnsi="宋体"/>
          <w:kern w:val="2"/>
          <w:szCs w:val="24"/>
          <w:highlight w:val="none"/>
        </w:rPr>
      </w:pPr>
      <w:r>
        <w:rPr>
          <w:rFonts w:hint="eastAsia" w:ascii="宋体" w:hAnsi="宋体"/>
          <w:kern w:val="2"/>
          <w:szCs w:val="24"/>
          <w:highlight w:val="none"/>
        </w:rPr>
        <w:t>中标金额：2160000.00</w:t>
      </w:r>
    </w:p>
    <w:p>
      <w:pPr>
        <w:spacing w:before="0" w:after="0" w:afterAutospacing="0"/>
        <w:ind w:left="0" w:right="0" w:firstLine="420" w:firstLineChars="200"/>
        <w:jc w:val="left"/>
        <w:rPr>
          <w:rFonts w:ascii="宋体" w:hAnsi="宋体"/>
          <w:kern w:val="2"/>
          <w:szCs w:val="24"/>
          <w:highlight w:val="none"/>
        </w:rPr>
      </w:pPr>
      <w:r>
        <w:rPr>
          <w:rFonts w:hint="eastAsia" w:ascii="宋体" w:hAnsi="宋体"/>
          <w:kern w:val="2"/>
          <w:szCs w:val="24"/>
          <w:highlight w:val="none"/>
        </w:rPr>
        <w:t>1000000×1.5%=15000.00</w:t>
      </w:r>
    </w:p>
    <w:p>
      <w:pPr>
        <w:spacing w:before="0" w:after="0" w:afterAutospacing="0"/>
        <w:ind w:left="0" w:right="0" w:firstLine="420" w:firstLineChars="200"/>
        <w:jc w:val="left"/>
        <w:rPr>
          <w:rFonts w:ascii="宋体" w:hAnsi="宋体"/>
          <w:kern w:val="2"/>
          <w:szCs w:val="24"/>
          <w:highlight w:val="none"/>
        </w:rPr>
      </w:pPr>
      <w:r>
        <w:rPr>
          <w:rFonts w:hint="eastAsia" w:ascii="宋体" w:hAnsi="宋体"/>
          <w:kern w:val="2"/>
          <w:szCs w:val="24"/>
          <w:highlight w:val="none"/>
        </w:rPr>
        <w:t>1160000×1.1%=12760.00</w:t>
      </w:r>
    </w:p>
    <w:p>
      <w:pPr>
        <w:spacing w:before="0" w:after="0" w:afterAutospacing="0"/>
        <w:ind w:left="0" w:right="0" w:firstLine="420" w:firstLineChars="200"/>
        <w:jc w:val="left"/>
        <w:rPr>
          <w:rFonts w:ascii="宋体" w:hAnsi="宋体"/>
          <w:kern w:val="2"/>
          <w:szCs w:val="24"/>
          <w:highlight w:val="none"/>
        </w:rPr>
      </w:pPr>
      <w:r>
        <w:rPr>
          <w:rFonts w:hint="eastAsia" w:ascii="宋体" w:hAnsi="宋体"/>
          <w:kern w:val="2"/>
          <w:szCs w:val="24"/>
          <w:highlight w:val="none"/>
        </w:rPr>
        <w:t>合计=15000+12760=27760.00</w:t>
      </w:r>
    </w:p>
    <w:p>
      <w:pPr>
        <w:spacing w:before="0" w:after="0" w:afterAutospacing="0"/>
        <w:ind w:left="0" w:right="0" w:firstLine="420" w:firstLineChars="200"/>
        <w:jc w:val="left"/>
        <w:rPr>
          <w:rFonts w:ascii="宋体" w:hAnsi="宋体"/>
          <w:kern w:val="2"/>
          <w:szCs w:val="24"/>
          <w:highlight w:val="none"/>
        </w:rPr>
      </w:pPr>
      <w:r>
        <w:rPr>
          <w:rFonts w:hint="eastAsia" w:ascii="宋体" w:hAnsi="宋体"/>
          <w:kern w:val="2"/>
          <w:szCs w:val="24"/>
          <w:highlight w:val="none"/>
        </w:rPr>
        <w:t>招标代理服务费=27760×（1-20%）=22208.00</w:t>
      </w:r>
    </w:p>
    <w:p>
      <w:pPr>
        <w:spacing w:before="0" w:after="0" w:afterAutospacing="0"/>
        <w:ind w:left="0" w:right="0" w:firstLine="420" w:firstLineChars="200"/>
        <w:jc w:val="left"/>
        <w:rPr>
          <w:rFonts w:ascii="宋体" w:hAnsi="宋体"/>
          <w:kern w:val="2"/>
          <w:szCs w:val="24"/>
          <w:highlight w:val="none"/>
        </w:rPr>
      </w:pPr>
      <w:r>
        <w:rPr>
          <w:rFonts w:hint="eastAsia" w:ascii="宋体" w:hAnsi="宋体"/>
          <w:kern w:val="2"/>
          <w:szCs w:val="24"/>
          <w:highlight w:val="none"/>
        </w:rPr>
        <w:t>招标上限控制价编制服务费=27760×（1-70%）=8328.00</w:t>
      </w:r>
    </w:p>
    <w:p>
      <w:pPr>
        <w:spacing w:before="0" w:after="0" w:afterAutospacing="0"/>
        <w:ind w:left="0" w:right="0" w:firstLine="420" w:firstLineChars="200"/>
        <w:jc w:val="left"/>
        <w:rPr>
          <w:rFonts w:ascii="宋体" w:hAnsi="宋体"/>
          <w:kern w:val="2"/>
          <w:szCs w:val="24"/>
          <w:highlight w:val="none"/>
        </w:rPr>
      </w:pPr>
      <w:r>
        <w:rPr>
          <w:rFonts w:hint="eastAsia" w:ascii="宋体" w:hAnsi="宋体"/>
          <w:kern w:val="2"/>
          <w:szCs w:val="24"/>
          <w:highlight w:val="none"/>
        </w:rPr>
        <w:t>合计=22208+8328=30536.00</w:t>
      </w:r>
    </w:p>
    <w:p>
      <w:pPr>
        <w:spacing w:before="0" w:after="0" w:afterAutospacing="0"/>
        <w:ind w:left="0" w:right="0" w:firstLine="420" w:firstLineChars="200"/>
        <w:jc w:val="left"/>
        <w:rPr>
          <w:rFonts w:ascii="宋体" w:hAnsi="宋体"/>
          <w:kern w:val="2"/>
          <w:szCs w:val="24"/>
          <w:highlight w:val="none"/>
        </w:rPr>
      </w:pPr>
      <w:r>
        <w:rPr>
          <w:rFonts w:hint="eastAsia" w:ascii="宋体" w:hAnsi="宋体"/>
          <w:kern w:val="2"/>
          <w:szCs w:val="24"/>
          <w:highlight w:val="none"/>
        </w:rPr>
        <w:t>（3）本招标项目招标代理费用支付方式及预计金额见投标人须知前附表，中标人最终实际支付金额根据中标价计算。</w:t>
      </w:r>
    </w:p>
    <w:p>
      <w:pPr>
        <w:spacing w:before="0" w:after="0" w:afterAutospacing="0"/>
        <w:ind w:left="0" w:right="0" w:firstLine="422" w:firstLineChars="200"/>
        <w:jc w:val="left"/>
        <w:rPr>
          <w:rFonts w:ascii="宋体" w:hAnsi="宋体"/>
          <w:b/>
          <w:bCs/>
          <w:kern w:val="2"/>
          <w:szCs w:val="24"/>
          <w:highlight w:val="none"/>
        </w:rPr>
        <w:sectPr>
          <w:pgSz w:w="11906" w:h="16838"/>
          <w:pgMar w:top="1418" w:right="1418" w:bottom="1418" w:left="1418" w:header="851" w:footer="992" w:gutter="0"/>
          <w:pgNumType w:fmt="decimal"/>
          <w:cols w:space="720" w:num="1"/>
          <w:docGrid w:linePitch="312" w:charSpace="0"/>
        </w:sectPr>
      </w:pPr>
    </w:p>
    <w:p>
      <w:pPr>
        <w:spacing w:before="0" w:after="0" w:afterAutospacing="0"/>
        <w:ind w:left="0" w:right="0" w:firstLine="420" w:firstLineChars="200"/>
        <w:jc w:val="left"/>
        <w:rPr>
          <w:rFonts w:ascii="宋体" w:hAnsi="宋体"/>
          <w:highlight w:val="none"/>
        </w:rPr>
      </w:pPr>
      <w:r>
        <w:rPr>
          <w:rFonts w:hint="eastAsia" w:ascii="宋体" w:hAnsi="宋体"/>
          <w:highlight w:val="none"/>
        </w:rPr>
        <w:t>（4）招标代理费用支付单</w:t>
      </w:r>
    </w:p>
    <w:tbl>
      <w:tblPr>
        <w:tblStyle w:val="27"/>
        <w:tblW w:w="10125" w:type="dxa"/>
        <w:jc w:val="center"/>
        <w:tblLayout w:type="fixed"/>
        <w:tblCellMar>
          <w:top w:w="0" w:type="dxa"/>
          <w:left w:w="108" w:type="dxa"/>
          <w:bottom w:w="0" w:type="dxa"/>
          <w:right w:w="108" w:type="dxa"/>
        </w:tblCellMar>
      </w:tblPr>
      <w:tblGrid>
        <w:gridCol w:w="1605"/>
        <w:gridCol w:w="6082"/>
        <w:gridCol w:w="1808"/>
        <w:gridCol w:w="630"/>
      </w:tblGrid>
      <w:tr>
        <w:tblPrEx>
          <w:tblCellMar>
            <w:top w:w="0" w:type="dxa"/>
            <w:left w:w="108" w:type="dxa"/>
            <w:bottom w:w="0" w:type="dxa"/>
            <w:right w:w="108" w:type="dxa"/>
          </w:tblCellMar>
        </w:tblPrEx>
        <w:trPr>
          <w:trHeight w:val="538" w:hRule="atLeast"/>
          <w:jc w:val="center"/>
        </w:trPr>
        <w:tc>
          <w:tcPr>
            <w:tcW w:w="10125" w:type="dxa"/>
            <w:gridSpan w:val="4"/>
            <w:tcBorders>
              <w:top w:val="single" w:color="000000" w:sz="4" w:space="0"/>
              <w:left w:val="single" w:color="000000" w:sz="4" w:space="0"/>
              <w:bottom w:val="nil"/>
              <w:right w:val="single" w:color="000000" w:sz="4" w:space="0"/>
            </w:tcBorders>
            <w:noWrap/>
            <w:vAlign w:val="center"/>
          </w:tcPr>
          <w:p>
            <w:pPr>
              <w:jc w:val="center"/>
              <w:textAlignment w:val="center"/>
              <w:rPr>
                <w:rFonts w:ascii="宋体" w:hAnsi="宋体" w:cs="宋体"/>
                <w:b/>
                <w:bCs/>
                <w:sz w:val="36"/>
                <w:szCs w:val="36"/>
                <w:highlight w:val="none"/>
              </w:rPr>
            </w:pPr>
            <w:r>
              <w:rPr>
                <w:rFonts w:hint="eastAsia" w:ascii="宋体" w:hAnsi="宋体" w:cs="宋体"/>
                <w:b/>
                <w:bCs/>
                <w:sz w:val="24"/>
                <w:szCs w:val="24"/>
                <w:highlight w:val="none"/>
              </w:rPr>
              <w:t>招标代理费用支付单</w:t>
            </w:r>
          </w:p>
        </w:tc>
      </w:tr>
      <w:tr>
        <w:tblPrEx>
          <w:tblCellMar>
            <w:top w:w="0" w:type="dxa"/>
            <w:left w:w="108" w:type="dxa"/>
            <w:bottom w:w="0" w:type="dxa"/>
            <w:right w:w="108" w:type="dxa"/>
          </w:tblCellMar>
        </w:tblPrEx>
        <w:trPr>
          <w:trHeight w:val="241" w:hRule="atLeast"/>
          <w:jc w:val="center"/>
        </w:trPr>
        <w:tc>
          <w:tcPr>
            <w:tcW w:w="10125" w:type="dxa"/>
            <w:gridSpan w:val="4"/>
            <w:tcBorders>
              <w:top w:val="nil"/>
              <w:left w:val="single" w:color="000000" w:sz="4" w:space="0"/>
              <w:bottom w:val="single" w:color="000000" w:sz="4" w:space="0"/>
              <w:right w:val="single" w:color="000000" w:sz="4" w:space="0"/>
            </w:tcBorders>
            <w:noWrap/>
            <w:vAlign w:val="center"/>
          </w:tcPr>
          <w:p>
            <w:pPr>
              <w:jc w:val="right"/>
              <w:textAlignment w:val="center"/>
              <w:rPr>
                <w:rFonts w:ascii="宋体" w:hAnsi="宋体" w:cs="宋体"/>
                <w:highlight w:val="none"/>
              </w:rPr>
            </w:pPr>
            <w:r>
              <w:rPr>
                <w:rFonts w:hint="eastAsia" w:ascii="宋体" w:hAnsi="宋体" w:cs="宋体"/>
                <w:highlight w:val="none"/>
              </w:rPr>
              <w:t xml:space="preserve">                                                日期：    年    月   日</w:t>
            </w:r>
          </w:p>
        </w:tc>
      </w:tr>
      <w:tr>
        <w:tblPrEx>
          <w:tblCellMar>
            <w:top w:w="0" w:type="dxa"/>
            <w:left w:w="108" w:type="dxa"/>
            <w:bottom w:w="0" w:type="dxa"/>
            <w:right w:w="108" w:type="dxa"/>
          </w:tblCellMar>
        </w:tblPrEx>
        <w:trPr>
          <w:trHeight w:val="465" w:hRule="atLeast"/>
          <w:jc w:val="center"/>
        </w:trPr>
        <w:tc>
          <w:tcPr>
            <w:tcW w:w="10125" w:type="dxa"/>
            <w:gridSpan w:val="4"/>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b/>
                <w:bCs/>
                <w:highlight w:val="none"/>
              </w:rPr>
            </w:pPr>
            <w:r>
              <w:rPr>
                <w:rFonts w:hint="eastAsia" w:ascii="宋体" w:hAnsi="宋体" w:cs="宋体"/>
                <w:b/>
                <w:bCs/>
                <w:highlight w:val="none"/>
              </w:rPr>
              <w:t>项目名称：</w:t>
            </w:r>
          </w:p>
        </w:tc>
      </w:tr>
      <w:tr>
        <w:tblPrEx>
          <w:tblCellMar>
            <w:top w:w="0" w:type="dxa"/>
            <w:left w:w="108" w:type="dxa"/>
            <w:bottom w:w="0" w:type="dxa"/>
            <w:right w:w="108" w:type="dxa"/>
          </w:tblCellMar>
        </w:tblPrEx>
        <w:trPr>
          <w:trHeight w:val="340" w:hRule="atLeast"/>
          <w:jc w:val="center"/>
        </w:trPr>
        <w:tc>
          <w:tcPr>
            <w:tcW w:w="10125" w:type="dxa"/>
            <w:gridSpan w:val="4"/>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highlight w:val="none"/>
              </w:rPr>
            </w:pPr>
            <w:r>
              <w:rPr>
                <w:rFonts w:hint="eastAsia" w:ascii="宋体" w:hAnsi="宋体" w:cs="宋体"/>
                <w:b/>
                <w:bCs/>
                <w:highlight w:val="none"/>
              </w:rPr>
              <w:t>项目编号：</w:t>
            </w:r>
          </w:p>
        </w:tc>
      </w:tr>
      <w:tr>
        <w:tblPrEx>
          <w:tblCellMar>
            <w:top w:w="0" w:type="dxa"/>
            <w:left w:w="108" w:type="dxa"/>
            <w:bottom w:w="0" w:type="dxa"/>
            <w:right w:w="108" w:type="dxa"/>
          </w:tblCellMar>
        </w:tblPrEx>
        <w:trPr>
          <w:trHeight w:val="443" w:hRule="atLeast"/>
          <w:jc w:val="center"/>
        </w:trPr>
        <w:tc>
          <w:tcPr>
            <w:tcW w:w="10125" w:type="dxa"/>
            <w:gridSpan w:val="4"/>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b/>
                <w:bCs/>
                <w:highlight w:val="none"/>
              </w:rPr>
            </w:pPr>
            <w:r>
              <w:rPr>
                <w:rFonts w:hint="eastAsia" w:ascii="宋体" w:hAnsi="宋体" w:cs="宋体"/>
                <w:b/>
                <w:bCs/>
                <w:highlight w:val="none"/>
              </w:rPr>
              <w:t>招标人：</w:t>
            </w:r>
          </w:p>
        </w:tc>
      </w:tr>
      <w:tr>
        <w:tblPrEx>
          <w:tblCellMar>
            <w:top w:w="0" w:type="dxa"/>
            <w:left w:w="108" w:type="dxa"/>
            <w:bottom w:w="0" w:type="dxa"/>
            <w:right w:w="108" w:type="dxa"/>
          </w:tblCellMar>
        </w:tblPrEx>
        <w:trPr>
          <w:trHeight w:val="435" w:hRule="atLeast"/>
          <w:jc w:val="center"/>
        </w:trPr>
        <w:tc>
          <w:tcPr>
            <w:tcW w:w="10125" w:type="dxa"/>
            <w:gridSpan w:val="4"/>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b/>
                <w:bCs/>
                <w:highlight w:val="none"/>
              </w:rPr>
            </w:pPr>
            <w:r>
              <w:rPr>
                <w:rFonts w:hint="eastAsia" w:ascii="宋体" w:hAnsi="宋体" w:cs="宋体"/>
                <w:b/>
                <w:bCs/>
                <w:highlight w:val="none"/>
              </w:rPr>
              <w:t>招标代理：</w:t>
            </w:r>
          </w:p>
        </w:tc>
      </w:tr>
      <w:tr>
        <w:tblPrEx>
          <w:tblCellMar>
            <w:top w:w="0" w:type="dxa"/>
            <w:left w:w="108" w:type="dxa"/>
            <w:bottom w:w="0" w:type="dxa"/>
            <w:right w:w="108" w:type="dxa"/>
          </w:tblCellMar>
        </w:tblPrEx>
        <w:trPr>
          <w:trHeight w:val="543" w:hRule="atLeast"/>
          <w:jc w:val="center"/>
        </w:trPr>
        <w:tc>
          <w:tcPr>
            <w:tcW w:w="10125" w:type="dxa"/>
            <w:gridSpan w:val="4"/>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b/>
                <w:bCs/>
                <w:highlight w:val="none"/>
              </w:rPr>
            </w:pPr>
            <w:r>
              <w:rPr>
                <w:rFonts w:hint="eastAsia" w:ascii="宋体" w:hAnsi="宋体" w:cs="宋体"/>
                <w:b/>
                <w:bCs/>
                <w:highlight w:val="none"/>
              </w:rPr>
              <w:t>中标人：</w:t>
            </w:r>
          </w:p>
        </w:tc>
      </w:tr>
      <w:tr>
        <w:tblPrEx>
          <w:tblCellMar>
            <w:top w:w="0" w:type="dxa"/>
            <w:left w:w="108" w:type="dxa"/>
            <w:bottom w:w="0" w:type="dxa"/>
            <w:right w:w="108" w:type="dxa"/>
          </w:tblCellMar>
        </w:tblPrEx>
        <w:trPr>
          <w:trHeight w:val="524" w:hRule="atLeast"/>
          <w:jc w:val="center"/>
        </w:trPr>
        <w:tc>
          <w:tcPr>
            <w:tcW w:w="10125" w:type="dxa"/>
            <w:gridSpan w:val="4"/>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b/>
                <w:bCs/>
                <w:highlight w:val="none"/>
              </w:rPr>
            </w:pPr>
            <w:r>
              <w:rPr>
                <w:rFonts w:hint="eastAsia" w:ascii="宋体" w:hAnsi="宋体" w:cs="宋体"/>
                <w:b/>
                <w:bCs/>
                <w:highlight w:val="none"/>
              </w:rPr>
              <w:t>中标价：</w:t>
            </w:r>
          </w:p>
        </w:tc>
      </w:tr>
      <w:tr>
        <w:tblPrEx>
          <w:tblCellMar>
            <w:top w:w="0" w:type="dxa"/>
            <w:left w:w="108" w:type="dxa"/>
            <w:bottom w:w="0" w:type="dxa"/>
            <w:right w:w="108" w:type="dxa"/>
          </w:tblCellMar>
        </w:tblPrEx>
        <w:trPr>
          <w:trHeight w:val="311" w:hRule="atLeast"/>
          <w:jc w:val="center"/>
        </w:trPr>
        <w:tc>
          <w:tcPr>
            <w:tcW w:w="1012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highlight w:val="none"/>
              </w:rPr>
            </w:pPr>
            <w:r>
              <w:rPr>
                <w:rFonts w:hint="eastAsia" w:ascii="宋体" w:hAnsi="宋体" w:cs="宋体"/>
                <w:b/>
                <w:bCs/>
                <w:highlight w:val="none"/>
              </w:rPr>
              <w:t>招标代理费用计算式</w:t>
            </w:r>
          </w:p>
        </w:tc>
      </w:tr>
      <w:tr>
        <w:tblPrEx>
          <w:tblCellMar>
            <w:top w:w="0" w:type="dxa"/>
            <w:left w:w="108" w:type="dxa"/>
            <w:bottom w:w="0" w:type="dxa"/>
            <w:right w:w="108" w:type="dxa"/>
          </w:tblCellMar>
        </w:tblPrEx>
        <w:trPr>
          <w:trHeight w:val="450" w:hRule="atLeast"/>
          <w:jc w:val="center"/>
        </w:trPr>
        <w:tc>
          <w:tcPr>
            <w:tcW w:w="1605" w:type="dxa"/>
            <w:tcBorders>
              <w:top w:val="nil"/>
              <w:left w:val="single" w:color="000000" w:sz="4" w:space="0"/>
              <w:bottom w:val="nil"/>
              <w:right w:val="nil"/>
            </w:tcBorders>
            <w:noWrap/>
            <w:vAlign w:val="center"/>
          </w:tcPr>
          <w:p>
            <w:pPr>
              <w:jc w:val="left"/>
              <w:rPr>
                <w:rFonts w:ascii="宋体" w:hAnsi="宋体" w:cs="宋体"/>
                <w:highlight w:val="none"/>
              </w:rPr>
            </w:pPr>
          </w:p>
        </w:tc>
        <w:tc>
          <w:tcPr>
            <w:tcW w:w="6082" w:type="dxa"/>
            <w:tcBorders>
              <w:top w:val="nil"/>
              <w:left w:val="nil"/>
              <w:bottom w:val="nil"/>
              <w:right w:val="nil"/>
            </w:tcBorders>
            <w:noWrap/>
            <w:vAlign w:val="center"/>
          </w:tcPr>
          <w:p>
            <w:pPr>
              <w:spacing w:line="480" w:lineRule="exact"/>
              <w:jc w:val="right"/>
              <w:rPr>
                <w:rFonts w:ascii="宋体" w:hAnsi="宋体"/>
                <w:kern w:val="2"/>
                <w:highlight w:val="none"/>
              </w:rPr>
            </w:pPr>
          </w:p>
        </w:tc>
        <w:tc>
          <w:tcPr>
            <w:tcW w:w="1808" w:type="dxa"/>
            <w:tcBorders>
              <w:top w:val="nil"/>
              <w:left w:val="nil"/>
              <w:bottom w:val="nil"/>
              <w:right w:val="nil"/>
            </w:tcBorders>
            <w:noWrap/>
            <w:vAlign w:val="center"/>
          </w:tcPr>
          <w:p>
            <w:pPr>
              <w:spacing w:line="480" w:lineRule="exact"/>
              <w:jc w:val="left"/>
              <w:rPr>
                <w:rFonts w:ascii="宋体" w:hAnsi="宋体"/>
                <w:kern w:val="2"/>
                <w:highlight w:val="none"/>
              </w:rPr>
            </w:pPr>
          </w:p>
        </w:tc>
        <w:tc>
          <w:tcPr>
            <w:tcW w:w="630" w:type="dxa"/>
            <w:tcBorders>
              <w:top w:val="nil"/>
              <w:left w:val="nil"/>
              <w:bottom w:val="nil"/>
              <w:right w:val="single" w:color="000000" w:sz="4" w:space="0"/>
            </w:tcBorders>
            <w:noWrap/>
            <w:vAlign w:val="center"/>
          </w:tcPr>
          <w:p>
            <w:pPr>
              <w:spacing w:line="480" w:lineRule="exact"/>
              <w:jc w:val="left"/>
              <w:rPr>
                <w:rFonts w:ascii="宋体" w:hAnsi="宋体"/>
                <w:kern w:val="2"/>
                <w:highlight w:val="none"/>
              </w:rPr>
            </w:pPr>
          </w:p>
        </w:tc>
      </w:tr>
      <w:tr>
        <w:tblPrEx>
          <w:tblCellMar>
            <w:top w:w="0" w:type="dxa"/>
            <w:left w:w="108" w:type="dxa"/>
            <w:bottom w:w="0" w:type="dxa"/>
            <w:right w:w="108" w:type="dxa"/>
          </w:tblCellMar>
        </w:tblPrEx>
        <w:trPr>
          <w:trHeight w:val="450" w:hRule="atLeast"/>
          <w:jc w:val="center"/>
        </w:trPr>
        <w:tc>
          <w:tcPr>
            <w:tcW w:w="1605" w:type="dxa"/>
            <w:tcBorders>
              <w:top w:val="nil"/>
              <w:left w:val="single" w:color="000000" w:sz="4" w:space="0"/>
              <w:bottom w:val="nil"/>
              <w:right w:val="nil"/>
            </w:tcBorders>
            <w:noWrap/>
            <w:vAlign w:val="center"/>
          </w:tcPr>
          <w:p>
            <w:pPr>
              <w:jc w:val="left"/>
              <w:rPr>
                <w:rFonts w:ascii="宋体" w:hAnsi="宋体" w:cs="宋体"/>
                <w:highlight w:val="none"/>
              </w:rPr>
            </w:pPr>
          </w:p>
        </w:tc>
        <w:tc>
          <w:tcPr>
            <w:tcW w:w="6082" w:type="dxa"/>
            <w:tcBorders>
              <w:top w:val="nil"/>
              <w:left w:val="nil"/>
              <w:bottom w:val="nil"/>
              <w:right w:val="nil"/>
            </w:tcBorders>
            <w:noWrap/>
            <w:vAlign w:val="center"/>
          </w:tcPr>
          <w:p>
            <w:pPr>
              <w:spacing w:line="480" w:lineRule="exact"/>
              <w:jc w:val="right"/>
              <w:rPr>
                <w:rFonts w:ascii="宋体" w:hAnsi="宋体"/>
                <w:kern w:val="2"/>
                <w:highlight w:val="none"/>
              </w:rPr>
            </w:pPr>
          </w:p>
        </w:tc>
        <w:tc>
          <w:tcPr>
            <w:tcW w:w="1808" w:type="dxa"/>
            <w:tcBorders>
              <w:top w:val="nil"/>
              <w:left w:val="nil"/>
              <w:bottom w:val="nil"/>
              <w:right w:val="nil"/>
            </w:tcBorders>
            <w:noWrap/>
            <w:vAlign w:val="center"/>
          </w:tcPr>
          <w:p>
            <w:pPr>
              <w:spacing w:line="480" w:lineRule="exact"/>
              <w:jc w:val="left"/>
              <w:rPr>
                <w:rFonts w:ascii="宋体" w:hAnsi="宋体"/>
                <w:kern w:val="2"/>
                <w:highlight w:val="none"/>
              </w:rPr>
            </w:pPr>
          </w:p>
        </w:tc>
        <w:tc>
          <w:tcPr>
            <w:tcW w:w="630" w:type="dxa"/>
            <w:tcBorders>
              <w:top w:val="nil"/>
              <w:left w:val="nil"/>
              <w:bottom w:val="nil"/>
              <w:right w:val="single" w:color="000000" w:sz="4" w:space="0"/>
            </w:tcBorders>
            <w:noWrap/>
            <w:vAlign w:val="center"/>
          </w:tcPr>
          <w:p>
            <w:pPr>
              <w:spacing w:line="480" w:lineRule="exact"/>
              <w:jc w:val="left"/>
              <w:rPr>
                <w:rFonts w:ascii="宋体" w:hAnsi="宋体"/>
                <w:kern w:val="2"/>
                <w:highlight w:val="none"/>
              </w:rPr>
            </w:pPr>
          </w:p>
        </w:tc>
      </w:tr>
      <w:tr>
        <w:tblPrEx>
          <w:tblCellMar>
            <w:top w:w="0" w:type="dxa"/>
            <w:left w:w="108" w:type="dxa"/>
            <w:bottom w:w="0" w:type="dxa"/>
            <w:right w:w="108" w:type="dxa"/>
          </w:tblCellMar>
        </w:tblPrEx>
        <w:trPr>
          <w:trHeight w:val="450" w:hRule="atLeast"/>
          <w:jc w:val="center"/>
        </w:trPr>
        <w:tc>
          <w:tcPr>
            <w:tcW w:w="1605" w:type="dxa"/>
            <w:tcBorders>
              <w:top w:val="nil"/>
              <w:left w:val="single" w:color="000000" w:sz="4" w:space="0"/>
              <w:bottom w:val="nil"/>
              <w:right w:val="nil"/>
            </w:tcBorders>
            <w:noWrap/>
            <w:textDirection w:val="tbRlV"/>
            <w:vAlign w:val="center"/>
          </w:tcPr>
          <w:p>
            <w:pPr>
              <w:rPr>
                <w:rFonts w:ascii="宋体" w:hAnsi="宋体" w:cs="宋体"/>
                <w:highlight w:val="none"/>
              </w:rPr>
            </w:pPr>
          </w:p>
        </w:tc>
        <w:tc>
          <w:tcPr>
            <w:tcW w:w="6082" w:type="dxa"/>
            <w:tcBorders>
              <w:top w:val="nil"/>
              <w:left w:val="nil"/>
              <w:bottom w:val="nil"/>
              <w:right w:val="nil"/>
            </w:tcBorders>
            <w:noWrap/>
            <w:vAlign w:val="center"/>
          </w:tcPr>
          <w:p>
            <w:pPr>
              <w:spacing w:line="480" w:lineRule="exact"/>
              <w:jc w:val="right"/>
              <w:rPr>
                <w:rFonts w:ascii="宋体" w:hAnsi="宋体"/>
                <w:kern w:val="2"/>
                <w:highlight w:val="none"/>
              </w:rPr>
            </w:pPr>
          </w:p>
        </w:tc>
        <w:tc>
          <w:tcPr>
            <w:tcW w:w="1808" w:type="dxa"/>
            <w:tcBorders>
              <w:top w:val="nil"/>
              <w:left w:val="nil"/>
              <w:bottom w:val="nil"/>
              <w:right w:val="nil"/>
            </w:tcBorders>
            <w:noWrap/>
            <w:vAlign w:val="center"/>
          </w:tcPr>
          <w:p>
            <w:pPr>
              <w:spacing w:line="480" w:lineRule="exact"/>
              <w:jc w:val="left"/>
              <w:rPr>
                <w:rFonts w:ascii="宋体" w:hAnsi="宋体"/>
                <w:kern w:val="2"/>
                <w:highlight w:val="none"/>
              </w:rPr>
            </w:pPr>
          </w:p>
        </w:tc>
        <w:tc>
          <w:tcPr>
            <w:tcW w:w="630" w:type="dxa"/>
            <w:tcBorders>
              <w:top w:val="nil"/>
              <w:left w:val="nil"/>
              <w:bottom w:val="nil"/>
              <w:right w:val="single" w:color="000000" w:sz="4" w:space="0"/>
            </w:tcBorders>
            <w:noWrap/>
            <w:vAlign w:val="center"/>
          </w:tcPr>
          <w:p>
            <w:pPr>
              <w:spacing w:line="480" w:lineRule="exact"/>
              <w:jc w:val="left"/>
              <w:rPr>
                <w:rFonts w:ascii="宋体" w:hAnsi="宋体"/>
                <w:kern w:val="2"/>
                <w:highlight w:val="none"/>
              </w:rPr>
            </w:pPr>
          </w:p>
        </w:tc>
      </w:tr>
      <w:tr>
        <w:tblPrEx>
          <w:tblCellMar>
            <w:top w:w="0" w:type="dxa"/>
            <w:left w:w="108" w:type="dxa"/>
            <w:bottom w:w="0" w:type="dxa"/>
            <w:right w:w="108" w:type="dxa"/>
          </w:tblCellMar>
        </w:tblPrEx>
        <w:trPr>
          <w:trHeight w:val="450" w:hRule="atLeast"/>
          <w:jc w:val="center"/>
        </w:trPr>
        <w:tc>
          <w:tcPr>
            <w:tcW w:w="1605" w:type="dxa"/>
            <w:tcBorders>
              <w:top w:val="nil"/>
              <w:left w:val="single" w:color="000000" w:sz="4" w:space="0"/>
              <w:bottom w:val="nil"/>
              <w:right w:val="nil"/>
            </w:tcBorders>
            <w:noWrap/>
            <w:textDirection w:val="tbRlV"/>
            <w:vAlign w:val="center"/>
          </w:tcPr>
          <w:p>
            <w:pPr>
              <w:rPr>
                <w:rFonts w:ascii="宋体" w:hAnsi="宋体" w:cs="宋体"/>
                <w:highlight w:val="none"/>
              </w:rPr>
            </w:pPr>
          </w:p>
        </w:tc>
        <w:tc>
          <w:tcPr>
            <w:tcW w:w="6082" w:type="dxa"/>
            <w:tcBorders>
              <w:top w:val="nil"/>
              <w:left w:val="nil"/>
              <w:bottom w:val="nil"/>
              <w:right w:val="nil"/>
            </w:tcBorders>
            <w:noWrap/>
            <w:vAlign w:val="center"/>
          </w:tcPr>
          <w:p>
            <w:pPr>
              <w:spacing w:line="480" w:lineRule="exact"/>
              <w:jc w:val="right"/>
              <w:rPr>
                <w:rFonts w:ascii="宋体" w:hAnsi="宋体"/>
                <w:kern w:val="2"/>
                <w:highlight w:val="none"/>
              </w:rPr>
            </w:pPr>
          </w:p>
        </w:tc>
        <w:tc>
          <w:tcPr>
            <w:tcW w:w="1808" w:type="dxa"/>
            <w:tcBorders>
              <w:top w:val="nil"/>
              <w:left w:val="nil"/>
              <w:bottom w:val="nil"/>
              <w:right w:val="nil"/>
            </w:tcBorders>
            <w:noWrap/>
            <w:vAlign w:val="center"/>
          </w:tcPr>
          <w:p>
            <w:pPr>
              <w:spacing w:line="480" w:lineRule="exact"/>
              <w:jc w:val="left"/>
              <w:rPr>
                <w:rFonts w:ascii="宋体" w:hAnsi="宋体"/>
                <w:kern w:val="2"/>
                <w:highlight w:val="none"/>
              </w:rPr>
            </w:pPr>
          </w:p>
        </w:tc>
        <w:tc>
          <w:tcPr>
            <w:tcW w:w="630" w:type="dxa"/>
            <w:tcBorders>
              <w:top w:val="nil"/>
              <w:left w:val="nil"/>
              <w:bottom w:val="nil"/>
              <w:right w:val="single" w:color="000000" w:sz="4" w:space="0"/>
            </w:tcBorders>
            <w:noWrap/>
            <w:vAlign w:val="center"/>
          </w:tcPr>
          <w:p>
            <w:pPr>
              <w:spacing w:line="480" w:lineRule="exact"/>
              <w:jc w:val="left"/>
              <w:rPr>
                <w:rFonts w:ascii="宋体" w:hAnsi="宋体"/>
                <w:kern w:val="2"/>
                <w:highlight w:val="none"/>
              </w:rPr>
            </w:pPr>
          </w:p>
        </w:tc>
      </w:tr>
      <w:tr>
        <w:tblPrEx>
          <w:tblCellMar>
            <w:top w:w="0" w:type="dxa"/>
            <w:left w:w="108" w:type="dxa"/>
            <w:bottom w:w="0" w:type="dxa"/>
            <w:right w:w="108" w:type="dxa"/>
          </w:tblCellMar>
        </w:tblPrEx>
        <w:trPr>
          <w:trHeight w:val="450" w:hRule="atLeast"/>
          <w:jc w:val="center"/>
        </w:trPr>
        <w:tc>
          <w:tcPr>
            <w:tcW w:w="1605" w:type="dxa"/>
            <w:tcBorders>
              <w:top w:val="nil"/>
              <w:left w:val="single" w:color="000000" w:sz="4" w:space="0"/>
              <w:bottom w:val="nil"/>
              <w:right w:val="nil"/>
            </w:tcBorders>
            <w:noWrap/>
            <w:textDirection w:val="tbRlV"/>
            <w:vAlign w:val="center"/>
          </w:tcPr>
          <w:p>
            <w:pPr>
              <w:rPr>
                <w:rFonts w:ascii="宋体" w:hAnsi="宋体" w:cs="宋体"/>
                <w:highlight w:val="none"/>
              </w:rPr>
            </w:pPr>
          </w:p>
        </w:tc>
        <w:tc>
          <w:tcPr>
            <w:tcW w:w="6082" w:type="dxa"/>
            <w:tcBorders>
              <w:top w:val="nil"/>
              <w:left w:val="nil"/>
              <w:bottom w:val="nil"/>
              <w:right w:val="nil"/>
            </w:tcBorders>
            <w:noWrap/>
            <w:vAlign w:val="center"/>
          </w:tcPr>
          <w:p>
            <w:pPr>
              <w:spacing w:line="480" w:lineRule="exact"/>
              <w:jc w:val="right"/>
              <w:rPr>
                <w:rFonts w:ascii="宋体" w:hAnsi="宋体"/>
                <w:kern w:val="2"/>
                <w:highlight w:val="none"/>
              </w:rPr>
            </w:pPr>
          </w:p>
        </w:tc>
        <w:tc>
          <w:tcPr>
            <w:tcW w:w="1808" w:type="dxa"/>
            <w:tcBorders>
              <w:top w:val="nil"/>
              <w:left w:val="nil"/>
              <w:bottom w:val="nil"/>
              <w:right w:val="nil"/>
            </w:tcBorders>
            <w:noWrap/>
            <w:vAlign w:val="center"/>
          </w:tcPr>
          <w:p>
            <w:pPr>
              <w:spacing w:line="480" w:lineRule="exact"/>
              <w:jc w:val="left"/>
              <w:rPr>
                <w:rFonts w:ascii="宋体" w:hAnsi="宋体"/>
                <w:kern w:val="2"/>
                <w:highlight w:val="none"/>
              </w:rPr>
            </w:pPr>
          </w:p>
        </w:tc>
        <w:tc>
          <w:tcPr>
            <w:tcW w:w="630" w:type="dxa"/>
            <w:tcBorders>
              <w:top w:val="nil"/>
              <w:left w:val="nil"/>
              <w:bottom w:val="nil"/>
              <w:right w:val="single" w:color="000000" w:sz="4" w:space="0"/>
            </w:tcBorders>
            <w:noWrap/>
            <w:vAlign w:val="center"/>
          </w:tcPr>
          <w:p>
            <w:pPr>
              <w:spacing w:line="480" w:lineRule="exact"/>
              <w:jc w:val="left"/>
              <w:rPr>
                <w:rFonts w:ascii="宋体" w:hAnsi="宋体"/>
                <w:kern w:val="2"/>
                <w:highlight w:val="none"/>
              </w:rPr>
            </w:pPr>
          </w:p>
        </w:tc>
      </w:tr>
      <w:tr>
        <w:tblPrEx>
          <w:tblCellMar>
            <w:top w:w="0" w:type="dxa"/>
            <w:left w:w="108" w:type="dxa"/>
            <w:bottom w:w="0" w:type="dxa"/>
            <w:right w:w="108" w:type="dxa"/>
          </w:tblCellMar>
        </w:tblPrEx>
        <w:trPr>
          <w:trHeight w:val="450" w:hRule="atLeast"/>
          <w:jc w:val="center"/>
        </w:trPr>
        <w:tc>
          <w:tcPr>
            <w:tcW w:w="10125" w:type="dxa"/>
            <w:gridSpan w:val="4"/>
            <w:tcBorders>
              <w:top w:val="nil"/>
              <w:left w:val="single" w:color="000000" w:sz="4" w:space="0"/>
              <w:bottom w:val="single" w:color="000000" w:sz="4" w:space="0"/>
              <w:right w:val="single" w:color="000000" w:sz="4" w:space="0"/>
            </w:tcBorders>
            <w:noWrap/>
            <w:vAlign w:val="center"/>
          </w:tcPr>
          <w:p>
            <w:pPr>
              <w:jc w:val="left"/>
              <w:textAlignment w:val="center"/>
              <w:rPr>
                <w:rFonts w:ascii="宋体" w:hAnsi="宋体" w:cs="宋体"/>
                <w:highlight w:val="none"/>
              </w:rPr>
            </w:pPr>
            <w:r>
              <w:rPr>
                <w:rFonts w:hint="eastAsia" w:ascii="宋体" w:hAnsi="宋体" w:cs="宋体"/>
                <w:highlight w:val="none"/>
              </w:rPr>
              <w:t>注：根据招标文件及招标代理合同约定，本项目按货物招标类型取费率计算,由中标人付费。</w:t>
            </w:r>
          </w:p>
        </w:tc>
      </w:tr>
      <w:tr>
        <w:tblPrEx>
          <w:tblCellMar>
            <w:top w:w="0" w:type="dxa"/>
            <w:left w:w="108" w:type="dxa"/>
            <w:bottom w:w="0" w:type="dxa"/>
            <w:right w:w="108" w:type="dxa"/>
          </w:tblCellMar>
        </w:tblPrEx>
        <w:trPr>
          <w:trHeight w:val="615" w:hRule="atLeast"/>
          <w:jc w:val="center"/>
        </w:trPr>
        <w:tc>
          <w:tcPr>
            <w:tcW w:w="10125" w:type="dxa"/>
            <w:gridSpan w:val="4"/>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highlight w:val="none"/>
              </w:rPr>
            </w:pPr>
            <w:r>
              <w:rPr>
                <w:rFonts w:hint="eastAsia" w:ascii="宋体" w:hAnsi="宋体" w:cs="宋体"/>
                <w:highlight w:val="none"/>
              </w:rPr>
              <w:t>招标代理费用为</w:t>
            </w:r>
            <w:r>
              <w:rPr>
                <w:rFonts w:hint="eastAsia" w:ascii="宋体" w:hAnsi="宋体" w:cs="宋体"/>
                <w:b/>
                <w:bCs/>
                <w:highlight w:val="none"/>
              </w:rPr>
              <w:t>：</w:t>
            </w:r>
            <w:r>
              <w:rPr>
                <w:rFonts w:hint="eastAsia" w:ascii="宋体" w:hAnsi="宋体" w:cs="宋体"/>
                <w:highlight w:val="none"/>
              </w:rPr>
              <w:t xml:space="preserve">人民币      </w:t>
            </w:r>
            <w:r>
              <w:rPr>
                <w:rFonts w:hint="eastAsia" w:ascii="宋体" w:hAnsi="宋体" w:cs="宋体"/>
                <w:b/>
                <w:bCs/>
                <w:highlight w:val="none"/>
              </w:rPr>
              <w:t>（￥    ）</w:t>
            </w:r>
          </w:p>
        </w:tc>
      </w:tr>
      <w:tr>
        <w:tblPrEx>
          <w:tblCellMar>
            <w:top w:w="0" w:type="dxa"/>
            <w:left w:w="108" w:type="dxa"/>
            <w:bottom w:w="0" w:type="dxa"/>
            <w:right w:w="108" w:type="dxa"/>
          </w:tblCellMar>
        </w:tblPrEx>
        <w:trPr>
          <w:trHeight w:val="1418" w:hRule="atLeast"/>
          <w:jc w:val="center"/>
        </w:trPr>
        <w:tc>
          <w:tcPr>
            <w:tcW w:w="10125" w:type="dxa"/>
            <w:gridSpan w:val="4"/>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ind w:left="0" w:right="0" w:firstLine="0"/>
              <w:jc w:val="left"/>
              <w:textAlignment w:val="center"/>
              <w:rPr>
                <w:highlight w:val="none"/>
              </w:rPr>
            </w:pPr>
            <w:r>
              <w:rPr>
                <w:rFonts w:hint="eastAsia"/>
                <w:highlight w:val="none"/>
              </w:rPr>
              <w:t>招标代理收款账户信息</w:t>
            </w:r>
          </w:p>
          <w:p>
            <w:pPr>
              <w:spacing w:before="0" w:after="0" w:afterAutospacing="0"/>
              <w:ind w:left="0" w:right="0" w:firstLine="0"/>
              <w:jc w:val="left"/>
              <w:textAlignment w:val="center"/>
              <w:rPr>
                <w:highlight w:val="none"/>
              </w:rPr>
            </w:pPr>
            <w:r>
              <w:rPr>
                <w:rFonts w:hint="eastAsia"/>
                <w:highlight w:val="none"/>
              </w:rPr>
              <w:t>户  名：</w:t>
            </w:r>
          </w:p>
          <w:p>
            <w:pPr>
              <w:spacing w:before="0" w:after="0" w:afterAutospacing="0"/>
              <w:ind w:left="0" w:right="0" w:firstLine="0"/>
              <w:jc w:val="left"/>
              <w:textAlignment w:val="center"/>
              <w:rPr>
                <w:highlight w:val="none"/>
              </w:rPr>
            </w:pPr>
            <w:r>
              <w:rPr>
                <w:rFonts w:hint="eastAsia"/>
                <w:highlight w:val="none"/>
              </w:rPr>
              <w:t>开户行：</w:t>
            </w:r>
          </w:p>
          <w:p>
            <w:pPr>
              <w:spacing w:before="0" w:after="0" w:afterAutospacing="0"/>
              <w:ind w:left="0" w:right="0" w:firstLine="0"/>
              <w:jc w:val="left"/>
              <w:textAlignment w:val="center"/>
              <w:rPr>
                <w:highlight w:val="none"/>
              </w:rPr>
            </w:pPr>
            <w:r>
              <w:rPr>
                <w:rFonts w:hint="eastAsia"/>
                <w:highlight w:val="none"/>
              </w:rPr>
              <w:t>账  号：</w:t>
            </w:r>
          </w:p>
          <w:p>
            <w:pPr>
              <w:pStyle w:val="2"/>
              <w:ind w:left="0" w:leftChars="0" w:firstLine="0" w:firstLineChars="0"/>
              <w:rPr>
                <w:highlight w:val="none"/>
              </w:rPr>
            </w:pPr>
            <w:r>
              <w:rPr>
                <w:rFonts w:hint="eastAsia" w:eastAsiaTheme="minorEastAsia"/>
                <w:highlight w:val="none"/>
              </w:rPr>
              <w:t>联系人及联系方式：</w:t>
            </w:r>
          </w:p>
        </w:tc>
      </w:tr>
      <w:tr>
        <w:tblPrEx>
          <w:tblCellMar>
            <w:top w:w="0" w:type="dxa"/>
            <w:left w:w="108" w:type="dxa"/>
            <w:bottom w:w="0" w:type="dxa"/>
            <w:right w:w="108" w:type="dxa"/>
          </w:tblCellMar>
        </w:tblPrEx>
        <w:trPr>
          <w:trHeight w:val="475" w:hRule="atLeast"/>
          <w:jc w:val="center"/>
        </w:trPr>
        <w:tc>
          <w:tcPr>
            <w:tcW w:w="10125" w:type="dxa"/>
            <w:gridSpan w:val="4"/>
            <w:tcBorders>
              <w:top w:val="nil"/>
              <w:left w:val="nil"/>
              <w:bottom w:val="nil"/>
              <w:right w:val="nil"/>
            </w:tcBorders>
            <w:noWrap/>
            <w:vAlign w:val="center"/>
          </w:tcPr>
          <w:p>
            <w:pPr>
              <w:spacing w:before="0" w:after="0" w:afterAutospacing="0" w:line="240" w:lineRule="auto"/>
              <w:ind w:left="0" w:right="0" w:firstLine="0"/>
              <w:rPr>
                <w:highlight w:val="none"/>
              </w:rPr>
            </w:pPr>
            <w:r>
              <w:rPr>
                <w:rFonts w:hint="eastAsia"/>
                <w:highlight w:val="none"/>
              </w:rPr>
              <w:t>招标人合约法规部经办人：（签字或签章）</w:t>
            </w:r>
          </w:p>
          <w:p>
            <w:pPr>
              <w:spacing w:before="0" w:after="0" w:afterAutospacing="0"/>
              <w:ind w:left="0" w:right="0" w:firstLine="0"/>
              <w:rPr>
                <w:highlight w:val="none"/>
              </w:rPr>
            </w:pPr>
            <w:r>
              <w:rPr>
                <w:rFonts w:hint="eastAsia"/>
                <w:highlight w:val="none"/>
              </w:rPr>
              <w:t>招标人合约法规部审核人：（签字或签章）</w:t>
            </w:r>
          </w:p>
          <w:p>
            <w:pPr>
              <w:spacing w:before="0" w:after="0" w:afterAutospacing="0"/>
              <w:ind w:right="0"/>
              <w:rPr>
                <w:highlight w:val="none"/>
              </w:rPr>
            </w:pPr>
            <w:r>
              <w:rPr>
                <w:rFonts w:hint="eastAsia"/>
                <w:highlight w:val="none"/>
              </w:rPr>
              <w:t>招标人合约法规部负责人：（签字或签章）</w:t>
            </w:r>
          </w:p>
          <w:p>
            <w:pPr>
              <w:pStyle w:val="2"/>
              <w:ind w:left="0" w:leftChars="0" w:firstLine="0" w:firstLineChars="0"/>
              <w:rPr>
                <w:rFonts w:ascii="Times New Roman" w:hAnsi="Times New Roman" w:eastAsia="宋体"/>
                <w:sz w:val="21"/>
                <w:highlight w:val="none"/>
              </w:rPr>
            </w:pPr>
          </w:p>
        </w:tc>
      </w:tr>
    </w:tbl>
    <w:p>
      <w:pPr>
        <w:tabs>
          <w:tab w:val="left" w:pos="425"/>
          <w:tab w:val="left" w:pos="1134"/>
          <w:tab w:val="left" w:pos="8364"/>
        </w:tabs>
        <w:spacing w:before="0" w:after="0" w:afterAutospacing="0"/>
        <w:ind w:left="0" w:right="0" w:firstLine="420" w:firstLineChars="200"/>
        <w:rPr>
          <w:rFonts w:ascii="宋体" w:hAnsi="宋体"/>
          <w:highlight w:val="none"/>
        </w:rPr>
      </w:pPr>
    </w:p>
    <w:p>
      <w:pPr>
        <w:tabs>
          <w:tab w:val="left" w:pos="425"/>
          <w:tab w:val="left" w:pos="1134"/>
          <w:tab w:val="left" w:pos="8364"/>
        </w:tabs>
        <w:spacing w:before="0" w:after="0" w:afterAutospacing="0"/>
        <w:ind w:left="0" w:right="0" w:firstLine="0"/>
        <w:outlineLvl w:val="2"/>
        <w:rPr>
          <w:rFonts w:ascii="宋体" w:hAnsi="宋体"/>
          <w:b/>
          <w:bCs/>
          <w:highlight w:val="none"/>
        </w:rPr>
      </w:pPr>
      <w:r>
        <w:rPr>
          <w:rFonts w:hint="eastAsia" w:ascii="宋体" w:hAnsi="宋体"/>
          <w:b/>
          <w:bCs/>
          <w:highlight w:val="none"/>
        </w:rPr>
        <w:t>44.需要补充的其他内容：见投标须知前附表</w:t>
      </w:r>
    </w:p>
    <w:p>
      <w:pPr>
        <w:pStyle w:val="13"/>
        <w:ind w:left="0" w:right="-57" w:firstLine="0"/>
        <w:outlineLvl w:val="0"/>
        <w:rPr>
          <w:rStyle w:val="41"/>
          <w:rFonts w:ascii="宋体" w:hAnsi="宋体" w:eastAsia="宋体"/>
          <w:highlight w:val="none"/>
        </w:rPr>
        <w:sectPr>
          <w:headerReference r:id="rId11" w:type="first"/>
          <w:headerReference r:id="rId10" w:type="default"/>
          <w:pgSz w:w="11905" w:h="16838"/>
          <w:pgMar w:top="1418" w:right="1418" w:bottom="1304" w:left="1418" w:header="454" w:footer="567" w:gutter="0"/>
          <w:pgNumType w:fmt="decimal"/>
          <w:cols w:space="720" w:num="1"/>
          <w:docGrid w:linePitch="312" w:charSpace="0"/>
        </w:sectPr>
      </w:pPr>
      <w:bookmarkStart w:id="999" w:name="_Toc15740"/>
      <w:bookmarkStart w:id="1000" w:name="_Toc4003"/>
      <w:bookmarkStart w:id="1001" w:name="_Toc9991"/>
      <w:bookmarkStart w:id="1002" w:name="_Toc12281"/>
      <w:bookmarkStart w:id="1003" w:name="_Toc13323"/>
      <w:bookmarkStart w:id="1004" w:name="_Toc9725"/>
      <w:bookmarkStart w:id="1005" w:name="_Toc14527"/>
      <w:bookmarkStart w:id="1006" w:name="_Toc17022"/>
      <w:bookmarkStart w:id="1007" w:name="_Toc1179"/>
      <w:bookmarkStart w:id="1008" w:name="_Toc23292"/>
      <w:bookmarkStart w:id="1009" w:name="_Toc16340"/>
      <w:bookmarkStart w:id="1010" w:name="_Toc21919"/>
      <w:bookmarkStart w:id="1011" w:name="_Toc7547"/>
      <w:bookmarkStart w:id="1012" w:name="_Toc11424"/>
      <w:bookmarkStart w:id="1013" w:name="_Toc9458"/>
      <w:bookmarkStart w:id="1014" w:name="_Toc14991"/>
      <w:bookmarkStart w:id="1015" w:name="_Toc28464"/>
      <w:bookmarkStart w:id="1016" w:name="_Toc25920"/>
    </w:p>
    <w:p>
      <w:pPr>
        <w:pStyle w:val="13"/>
        <w:ind w:right="-57" w:firstLine="0"/>
        <w:jc w:val="center"/>
        <w:outlineLvl w:val="0"/>
        <w:rPr>
          <w:rStyle w:val="41"/>
          <w:rFonts w:ascii="宋体" w:hAnsi="宋体" w:eastAsia="宋体"/>
          <w:highlight w:val="none"/>
        </w:rPr>
      </w:pPr>
      <w:bookmarkStart w:id="1017" w:name="_Toc30243"/>
      <w:bookmarkStart w:id="1018" w:name="_Toc21542"/>
      <w:bookmarkStart w:id="1019" w:name="_Toc31843"/>
      <w:bookmarkStart w:id="1020" w:name="_Toc20847"/>
      <w:bookmarkStart w:id="1021" w:name="_Toc420"/>
      <w:bookmarkStart w:id="1022" w:name="_Toc30148"/>
      <w:bookmarkStart w:id="1023" w:name="_Toc23033"/>
      <w:bookmarkStart w:id="1024" w:name="_Toc23308"/>
      <w:bookmarkStart w:id="1025" w:name="_Toc904"/>
      <w:bookmarkStart w:id="1026" w:name="_Toc4836"/>
      <w:bookmarkStart w:id="1027" w:name="_Toc25513"/>
      <w:bookmarkStart w:id="1028" w:name="_Toc32599"/>
      <w:bookmarkStart w:id="1029" w:name="_Toc9908"/>
      <w:bookmarkStart w:id="1030" w:name="_Toc13640"/>
      <w:bookmarkStart w:id="1031" w:name="_Toc24154"/>
      <w:bookmarkStart w:id="1032" w:name="_Toc3991"/>
      <w:bookmarkStart w:id="1033" w:name="_Toc2842"/>
      <w:bookmarkStart w:id="1034" w:name="_Toc23905"/>
      <w:bookmarkStart w:id="1035" w:name="_Toc2632"/>
      <w:r>
        <w:rPr>
          <w:rStyle w:val="41"/>
          <w:rFonts w:hint="eastAsia" w:ascii="宋体" w:hAnsi="宋体" w:eastAsia="宋体"/>
          <w:highlight w:val="none"/>
        </w:rPr>
        <w:t xml:space="preserve">第三章 </w:t>
      </w:r>
      <w:r>
        <w:rPr>
          <w:rStyle w:val="41"/>
          <w:rFonts w:hint="eastAsia" w:hAnsi="宋体"/>
          <w:highlight w:val="none"/>
        </w:rPr>
        <w:t>评标办法</w:t>
      </w:r>
      <w:bookmarkEnd w:id="1017"/>
      <w:bookmarkEnd w:id="1018"/>
      <w:bookmarkEnd w:id="1019"/>
      <w:bookmarkEnd w:id="1020"/>
      <w:bookmarkEnd w:id="1021"/>
      <w:bookmarkEnd w:id="1022"/>
      <w:bookmarkEnd w:id="1023"/>
      <w:bookmarkEnd w:id="1024"/>
      <w:bookmarkEnd w:id="1025"/>
      <w:bookmarkEnd w:id="1026"/>
    </w:p>
    <w:p>
      <w:pPr>
        <w:keepNext/>
        <w:keepLines/>
        <w:spacing w:before="240" w:beforeLines="100"/>
        <w:outlineLvl w:val="2"/>
        <w:rPr>
          <w:b/>
          <w:bCs/>
          <w:sz w:val="24"/>
          <w:highlight w:val="none"/>
        </w:rPr>
      </w:pPr>
      <w:bookmarkStart w:id="1036" w:name="_Toc29786925"/>
      <w:bookmarkStart w:id="1037" w:name="_Toc407135171"/>
      <w:bookmarkStart w:id="1038" w:name="_Toc184635093"/>
      <w:bookmarkStart w:id="1039" w:name="_Toc389065241"/>
      <w:bookmarkStart w:id="1040" w:name="_Toc487632668"/>
      <w:bookmarkStart w:id="1041" w:name="_Toc474847261"/>
      <w:bookmarkStart w:id="1042" w:name="_Toc273366967"/>
      <w:bookmarkStart w:id="1043" w:name="_Toc12983"/>
      <w:bookmarkStart w:id="1044" w:name="_Toc463812922"/>
      <w:bookmarkStart w:id="1045" w:name="_Toc273367559"/>
      <w:r>
        <w:rPr>
          <w:b/>
          <w:bCs/>
          <w:sz w:val="24"/>
          <w:highlight w:val="none"/>
        </w:rPr>
        <w:t>1 评标方法</w:t>
      </w:r>
      <w:bookmarkEnd w:id="1036"/>
      <w:bookmarkEnd w:id="1037"/>
      <w:bookmarkEnd w:id="1038"/>
      <w:bookmarkEnd w:id="1039"/>
      <w:bookmarkEnd w:id="1040"/>
    </w:p>
    <w:p>
      <w:pPr>
        <w:snapToGrid w:val="0"/>
        <w:spacing w:before="0"/>
        <w:ind w:left="0" w:right="0" w:firstLine="420" w:firstLineChars="200"/>
        <w:rPr>
          <w:highlight w:val="none"/>
        </w:rPr>
      </w:pPr>
      <w:r>
        <w:rPr>
          <w:rFonts w:hint="eastAsia"/>
          <w:bCs/>
          <w:highlight w:val="none"/>
        </w:rPr>
        <w:t>本次评标采用</w:t>
      </w:r>
      <w:r>
        <w:rPr>
          <w:rFonts w:hint="eastAsia"/>
          <w:b/>
          <w:highlight w:val="none"/>
        </w:rPr>
        <w:t>综合评估法</w:t>
      </w:r>
      <w:r>
        <w:rPr>
          <w:rFonts w:hint="eastAsia"/>
          <w:bCs/>
          <w:highlight w:val="none"/>
        </w:rPr>
        <w:t>。</w:t>
      </w:r>
      <w:r>
        <w:rPr>
          <w:bCs/>
          <w:highlight w:val="none"/>
        </w:rPr>
        <w:t>满分100分，其中资信得分</w:t>
      </w:r>
      <w:r>
        <w:rPr>
          <w:rFonts w:hint="eastAsia"/>
          <w:bCs/>
          <w:highlight w:val="none"/>
        </w:rPr>
        <w:t>15</w:t>
      </w:r>
      <w:r>
        <w:rPr>
          <w:bCs/>
          <w:highlight w:val="none"/>
        </w:rPr>
        <w:t>分，技术得分</w:t>
      </w:r>
      <w:r>
        <w:rPr>
          <w:rFonts w:hint="eastAsia"/>
          <w:bCs/>
          <w:highlight w:val="none"/>
        </w:rPr>
        <w:t>55</w:t>
      </w:r>
      <w:r>
        <w:rPr>
          <w:bCs/>
          <w:highlight w:val="none"/>
        </w:rPr>
        <w:t>分，价格得分</w:t>
      </w:r>
      <w:r>
        <w:rPr>
          <w:rFonts w:hint="eastAsia"/>
          <w:bCs/>
          <w:highlight w:val="none"/>
        </w:rPr>
        <w:t>3</w:t>
      </w:r>
      <w:r>
        <w:rPr>
          <w:bCs/>
          <w:highlight w:val="none"/>
        </w:rPr>
        <w:t>0分。</w:t>
      </w:r>
      <w:r>
        <w:rPr>
          <w:rFonts w:hint="eastAsia"/>
          <w:bCs/>
          <w:highlight w:val="none"/>
        </w:rPr>
        <w:t>评标委员会对满足招标文件实质性要求的投标文件，按照本章规定的评分标准进行打分，并按得分由高到低顺序推荐中标候选人，但投标报价低于其成本的除外。</w:t>
      </w:r>
    </w:p>
    <w:p>
      <w:pPr>
        <w:keepNext/>
        <w:keepLines/>
        <w:spacing w:before="240" w:beforeLines="100"/>
        <w:outlineLvl w:val="2"/>
        <w:rPr>
          <w:b/>
          <w:bCs/>
          <w:sz w:val="24"/>
          <w:highlight w:val="none"/>
        </w:rPr>
      </w:pPr>
      <w:bookmarkStart w:id="1046" w:name="_Toc29786926"/>
      <w:bookmarkStart w:id="1047" w:name="_Toc487632670"/>
      <w:bookmarkStart w:id="1048" w:name="_Toc407135173"/>
      <w:bookmarkStart w:id="1049" w:name="_Toc389065243"/>
      <w:r>
        <w:rPr>
          <w:b/>
          <w:bCs/>
          <w:sz w:val="24"/>
          <w:highlight w:val="none"/>
        </w:rPr>
        <w:t>2 评标依据</w:t>
      </w:r>
      <w:bookmarkEnd w:id="1046"/>
    </w:p>
    <w:p>
      <w:pPr>
        <w:numPr>
          <w:ilvl w:val="0"/>
          <w:numId w:val="2"/>
        </w:numPr>
        <w:tabs>
          <w:tab w:val="left" w:pos="851"/>
          <w:tab w:val="left" w:pos="1260"/>
          <w:tab w:val="left" w:pos="1620"/>
        </w:tabs>
        <w:adjustRightInd w:val="0"/>
        <w:ind w:left="0" w:firstLine="420" w:firstLineChars="200"/>
        <w:jc w:val="left"/>
        <w:textAlignment w:val="baseline"/>
        <w:rPr>
          <w:highlight w:val="none"/>
        </w:rPr>
      </w:pPr>
      <w:r>
        <w:rPr>
          <w:highlight w:val="none"/>
        </w:rPr>
        <w:t xml:space="preserve">本项目《招标文件》及补充文件； </w:t>
      </w:r>
    </w:p>
    <w:p>
      <w:pPr>
        <w:numPr>
          <w:ilvl w:val="0"/>
          <w:numId w:val="2"/>
        </w:numPr>
        <w:tabs>
          <w:tab w:val="left" w:pos="851"/>
          <w:tab w:val="left" w:pos="1260"/>
          <w:tab w:val="left" w:pos="1620"/>
        </w:tabs>
        <w:adjustRightInd w:val="0"/>
        <w:ind w:left="0" w:firstLine="420" w:firstLineChars="200"/>
        <w:jc w:val="left"/>
        <w:textAlignment w:val="baseline"/>
        <w:rPr>
          <w:highlight w:val="none"/>
        </w:rPr>
      </w:pPr>
      <w:r>
        <w:rPr>
          <w:highlight w:val="none"/>
        </w:rPr>
        <w:t>招投标法及相关法规；</w:t>
      </w:r>
    </w:p>
    <w:p>
      <w:pPr>
        <w:numPr>
          <w:ilvl w:val="0"/>
          <w:numId w:val="2"/>
        </w:numPr>
        <w:tabs>
          <w:tab w:val="left" w:pos="851"/>
          <w:tab w:val="left" w:pos="1260"/>
          <w:tab w:val="left" w:pos="1620"/>
        </w:tabs>
        <w:adjustRightInd w:val="0"/>
        <w:ind w:left="0" w:firstLine="420" w:firstLineChars="200"/>
        <w:jc w:val="left"/>
        <w:textAlignment w:val="baseline"/>
        <w:rPr>
          <w:highlight w:val="none"/>
        </w:rPr>
      </w:pPr>
      <w:r>
        <w:rPr>
          <w:highlight w:val="none"/>
        </w:rPr>
        <w:t>有效的《投标文件》及澄清文件。</w:t>
      </w:r>
      <w:bookmarkEnd w:id="1047"/>
      <w:bookmarkEnd w:id="1048"/>
      <w:bookmarkEnd w:id="1049"/>
      <w:bookmarkStart w:id="1050" w:name="_Toc184635095"/>
      <w:bookmarkStart w:id="1051" w:name="_Toc389065245"/>
    </w:p>
    <w:p>
      <w:pPr>
        <w:keepNext/>
        <w:keepLines/>
        <w:spacing w:before="240" w:beforeLines="100"/>
        <w:outlineLvl w:val="2"/>
        <w:rPr>
          <w:b/>
          <w:bCs/>
          <w:sz w:val="24"/>
          <w:highlight w:val="none"/>
        </w:rPr>
      </w:pPr>
      <w:bookmarkStart w:id="1052" w:name="_Toc487632672"/>
      <w:bookmarkStart w:id="1053" w:name="_Toc407135175"/>
      <w:bookmarkStart w:id="1054" w:name="_Toc29786927"/>
      <w:r>
        <w:rPr>
          <w:b/>
          <w:bCs/>
          <w:sz w:val="24"/>
          <w:highlight w:val="none"/>
        </w:rPr>
        <w:t>3 评标</w:t>
      </w:r>
      <w:bookmarkEnd w:id="1050"/>
      <w:bookmarkEnd w:id="1051"/>
      <w:bookmarkEnd w:id="1052"/>
      <w:bookmarkEnd w:id="1053"/>
      <w:r>
        <w:rPr>
          <w:b/>
          <w:bCs/>
          <w:sz w:val="24"/>
          <w:highlight w:val="none"/>
        </w:rPr>
        <w:t>组织</w:t>
      </w:r>
      <w:bookmarkEnd w:id="1054"/>
    </w:p>
    <w:p>
      <w:pPr>
        <w:snapToGrid w:val="0"/>
        <w:spacing w:before="0"/>
        <w:ind w:left="0" w:right="0" w:firstLine="420" w:firstLineChars="200"/>
        <w:rPr>
          <w:sz w:val="24"/>
          <w:highlight w:val="none"/>
        </w:rPr>
      </w:pPr>
      <w:r>
        <w:rPr>
          <w:bCs/>
          <w:highlight w:val="none"/>
        </w:rPr>
        <w:t>3.1评标工作由招标人依法组建的评标委员会负责</w:t>
      </w:r>
      <w:r>
        <w:rPr>
          <w:rFonts w:hint="eastAsia"/>
          <w:bCs/>
          <w:highlight w:val="none"/>
        </w:rPr>
        <w:t>。</w:t>
      </w:r>
    </w:p>
    <w:p>
      <w:pPr>
        <w:snapToGrid w:val="0"/>
        <w:ind w:left="705" w:leftChars="200" w:hanging="285" w:hangingChars="136"/>
        <w:rPr>
          <w:bCs/>
          <w:highlight w:val="none"/>
        </w:rPr>
      </w:pPr>
      <w:r>
        <w:rPr>
          <w:bCs/>
          <w:highlight w:val="none"/>
        </w:rPr>
        <w:t>3.2评标程序和内容包括：</w:t>
      </w:r>
    </w:p>
    <w:p>
      <w:pPr>
        <w:snapToGrid w:val="0"/>
        <w:spacing w:before="0"/>
        <w:ind w:left="0" w:right="0" w:firstLine="420" w:firstLineChars="200"/>
        <w:rPr>
          <w:bCs/>
          <w:highlight w:val="none"/>
        </w:rPr>
      </w:pPr>
      <w:r>
        <w:rPr>
          <w:bCs/>
          <w:highlight w:val="none"/>
        </w:rPr>
        <w:t>（1）评标委员会成员熟悉招标文件和评标办法；</w:t>
      </w:r>
    </w:p>
    <w:p>
      <w:pPr>
        <w:snapToGrid w:val="0"/>
        <w:spacing w:before="0"/>
        <w:ind w:left="0" w:right="0" w:firstLine="420" w:firstLineChars="200"/>
        <w:rPr>
          <w:bCs/>
          <w:highlight w:val="none"/>
        </w:rPr>
      </w:pPr>
      <w:r>
        <w:rPr>
          <w:bCs/>
          <w:highlight w:val="none"/>
        </w:rPr>
        <w:t>（2）全体评标委员会成员对投标文件的</w:t>
      </w:r>
      <w:r>
        <w:rPr>
          <w:rFonts w:hint="eastAsia"/>
          <w:bCs/>
          <w:highlight w:val="none"/>
        </w:rPr>
        <w:t>资格审查</w:t>
      </w:r>
      <w:r>
        <w:rPr>
          <w:bCs/>
          <w:highlight w:val="none"/>
        </w:rPr>
        <w:t>文件进行</w:t>
      </w:r>
      <w:r>
        <w:rPr>
          <w:rFonts w:hint="eastAsia"/>
          <w:bCs/>
          <w:highlight w:val="none"/>
        </w:rPr>
        <w:t>资格审查</w:t>
      </w:r>
      <w:r>
        <w:rPr>
          <w:bCs/>
          <w:highlight w:val="none"/>
        </w:rPr>
        <w:t>；</w:t>
      </w:r>
    </w:p>
    <w:p>
      <w:pPr>
        <w:snapToGrid w:val="0"/>
        <w:spacing w:before="0"/>
        <w:ind w:left="0" w:right="0" w:firstLine="420" w:firstLineChars="200"/>
        <w:rPr>
          <w:bCs/>
          <w:highlight w:val="none"/>
        </w:rPr>
      </w:pPr>
      <w:r>
        <w:rPr>
          <w:bCs/>
          <w:highlight w:val="none"/>
        </w:rPr>
        <w:t>（3）按专家专业类别分为经济评审组和技术评审组；</w:t>
      </w:r>
    </w:p>
    <w:p>
      <w:pPr>
        <w:snapToGrid w:val="0"/>
        <w:spacing w:before="0"/>
        <w:ind w:left="0" w:right="0" w:firstLine="420" w:firstLineChars="200"/>
        <w:rPr>
          <w:bCs/>
          <w:highlight w:val="none"/>
        </w:rPr>
      </w:pPr>
      <w:r>
        <w:rPr>
          <w:bCs/>
          <w:highlight w:val="none"/>
        </w:rPr>
        <w:t>（4）评标委员会成员对通过</w:t>
      </w:r>
      <w:r>
        <w:rPr>
          <w:rFonts w:hint="eastAsia"/>
          <w:bCs/>
          <w:highlight w:val="none"/>
        </w:rPr>
        <w:t>资格审查</w:t>
      </w:r>
      <w:r>
        <w:rPr>
          <w:bCs/>
          <w:highlight w:val="none"/>
        </w:rPr>
        <w:t>的投标文件进行初步评审；</w:t>
      </w:r>
    </w:p>
    <w:p>
      <w:pPr>
        <w:snapToGrid w:val="0"/>
        <w:spacing w:before="0"/>
        <w:ind w:left="0" w:right="0" w:firstLine="420" w:firstLineChars="200"/>
        <w:rPr>
          <w:highlight w:val="none"/>
        </w:rPr>
      </w:pPr>
      <w:r>
        <w:rPr>
          <w:bCs/>
          <w:highlight w:val="none"/>
        </w:rPr>
        <w:t>（5）</w:t>
      </w:r>
      <w:r>
        <w:rPr>
          <w:highlight w:val="none"/>
        </w:rPr>
        <w:t>技术评审组对</w:t>
      </w:r>
      <w:r>
        <w:rPr>
          <w:bCs/>
          <w:highlight w:val="none"/>
        </w:rPr>
        <w:t>投标文件的资信文件和技术文件进行评审并打分，</w:t>
      </w:r>
      <w:r>
        <w:rPr>
          <w:highlight w:val="none"/>
        </w:rPr>
        <w:t>经济评审组对</w:t>
      </w:r>
      <w:r>
        <w:rPr>
          <w:bCs/>
          <w:highlight w:val="none"/>
        </w:rPr>
        <w:t>投标文件的报价文件进行评审并打分；</w:t>
      </w:r>
    </w:p>
    <w:p>
      <w:pPr>
        <w:snapToGrid w:val="0"/>
        <w:spacing w:before="0"/>
        <w:ind w:left="0" w:right="0" w:firstLine="420" w:firstLineChars="200"/>
        <w:rPr>
          <w:highlight w:val="none"/>
        </w:rPr>
      </w:pPr>
      <w:r>
        <w:rPr>
          <w:bCs/>
          <w:highlight w:val="none"/>
        </w:rPr>
        <w:t>（6）计算各投标人综合评分，并按照综合得分由高到低排序；</w:t>
      </w:r>
    </w:p>
    <w:p>
      <w:pPr>
        <w:snapToGrid w:val="0"/>
        <w:spacing w:before="0"/>
        <w:ind w:left="0" w:right="0" w:firstLine="420" w:firstLineChars="200"/>
        <w:rPr>
          <w:sz w:val="24"/>
          <w:highlight w:val="none"/>
        </w:rPr>
      </w:pPr>
      <w:r>
        <w:rPr>
          <w:bCs/>
          <w:highlight w:val="none"/>
        </w:rPr>
        <w:t>（7）评标委员会完成评标</w:t>
      </w:r>
      <w:r>
        <w:rPr>
          <w:rFonts w:hint="eastAsia"/>
          <w:bCs/>
          <w:highlight w:val="none"/>
        </w:rPr>
        <w:t>后，向招标人提交书面评标</w:t>
      </w:r>
      <w:r>
        <w:rPr>
          <w:bCs/>
          <w:highlight w:val="none"/>
        </w:rPr>
        <w:t>报告，推荐中标候选人。</w:t>
      </w:r>
    </w:p>
    <w:p>
      <w:pPr>
        <w:keepNext/>
        <w:keepLines/>
        <w:spacing w:before="240" w:beforeLines="100"/>
        <w:outlineLvl w:val="2"/>
        <w:rPr>
          <w:b/>
          <w:bCs/>
          <w:sz w:val="24"/>
          <w:highlight w:val="none"/>
        </w:rPr>
      </w:pPr>
      <w:bookmarkStart w:id="1055" w:name="_Toc29786928"/>
      <w:bookmarkStart w:id="1056" w:name="_Toc487632673"/>
      <w:bookmarkStart w:id="1057" w:name="_Toc407135176"/>
      <w:bookmarkStart w:id="1058" w:name="_Toc389065246"/>
      <w:r>
        <w:rPr>
          <w:b/>
          <w:bCs/>
          <w:sz w:val="24"/>
          <w:highlight w:val="none"/>
        </w:rPr>
        <w:t xml:space="preserve">4 </w:t>
      </w:r>
      <w:bookmarkEnd w:id="1055"/>
      <w:r>
        <w:rPr>
          <w:rFonts w:hint="eastAsia"/>
          <w:b/>
          <w:bCs/>
          <w:sz w:val="24"/>
          <w:highlight w:val="none"/>
        </w:rPr>
        <w:t>资格审查</w:t>
      </w:r>
    </w:p>
    <w:p>
      <w:pPr>
        <w:snapToGrid w:val="0"/>
        <w:spacing w:before="0" w:after="0" w:afterAutospacing="0"/>
        <w:ind w:left="0" w:right="0" w:firstLine="420" w:firstLineChars="200"/>
        <w:rPr>
          <w:bCs/>
          <w:highlight w:val="none"/>
        </w:rPr>
      </w:pPr>
      <w:r>
        <w:rPr>
          <w:bCs/>
          <w:highlight w:val="none"/>
        </w:rPr>
        <w:t>4.1全体评标委员会审查投标人是否符合法律、法规、规章以及本招标文件对投标人资质、业绩和其他强制性标准，是否处于正常的经营状况等情况。</w:t>
      </w:r>
    </w:p>
    <w:p>
      <w:pPr>
        <w:snapToGrid w:val="0"/>
        <w:spacing w:before="0" w:after="0" w:afterAutospacing="0"/>
        <w:ind w:left="0" w:right="0" w:firstLine="420" w:firstLineChars="200"/>
        <w:rPr>
          <w:bCs/>
          <w:highlight w:val="none"/>
        </w:rPr>
      </w:pPr>
      <w:r>
        <w:rPr>
          <w:bCs/>
          <w:highlight w:val="none"/>
        </w:rPr>
        <w:t>4.2在本阶段不符合任何一项</w:t>
      </w:r>
      <w:r>
        <w:rPr>
          <w:rFonts w:hint="eastAsia"/>
          <w:bCs/>
          <w:highlight w:val="none"/>
        </w:rPr>
        <w:t>资格审查</w:t>
      </w:r>
      <w:r>
        <w:rPr>
          <w:bCs/>
          <w:highlight w:val="none"/>
        </w:rPr>
        <w:t>标准的投标人，均视为</w:t>
      </w:r>
      <w:r>
        <w:rPr>
          <w:rFonts w:hint="eastAsia"/>
          <w:bCs/>
          <w:highlight w:val="none"/>
        </w:rPr>
        <w:t>资格审查</w:t>
      </w:r>
      <w:r>
        <w:rPr>
          <w:bCs/>
          <w:highlight w:val="none"/>
        </w:rPr>
        <w:t>不合格，不得进入下一阶段的评审。评审标准详见附表一《</w:t>
      </w:r>
      <w:r>
        <w:rPr>
          <w:rFonts w:hint="eastAsia"/>
          <w:bCs/>
          <w:highlight w:val="none"/>
        </w:rPr>
        <w:t>资格审查表</w:t>
      </w:r>
      <w:r>
        <w:rPr>
          <w:bCs/>
          <w:highlight w:val="none"/>
        </w:rPr>
        <w:t>》。</w:t>
      </w:r>
    </w:p>
    <w:p>
      <w:pPr>
        <w:keepNext/>
        <w:keepLines/>
        <w:spacing w:before="240" w:beforeLines="100"/>
        <w:outlineLvl w:val="2"/>
        <w:rPr>
          <w:b/>
          <w:bCs/>
          <w:sz w:val="24"/>
          <w:highlight w:val="none"/>
        </w:rPr>
      </w:pPr>
      <w:bookmarkStart w:id="1059" w:name="_Toc29786929"/>
      <w:r>
        <w:rPr>
          <w:b/>
          <w:bCs/>
          <w:sz w:val="24"/>
          <w:highlight w:val="none"/>
        </w:rPr>
        <w:t>5 初步评审</w:t>
      </w:r>
      <w:bookmarkEnd w:id="1056"/>
      <w:bookmarkEnd w:id="1057"/>
      <w:bookmarkEnd w:id="1058"/>
      <w:bookmarkEnd w:id="1059"/>
    </w:p>
    <w:p>
      <w:pPr>
        <w:tabs>
          <w:tab w:val="left" w:pos="851"/>
        </w:tabs>
        <w:spacing w:before="0"/>
        <w:ind w:left="0" w:right="0" w:firstLine="420" w:firstLineChars="200"/>
        <w:rPr>
          <w:bCs/>
          <w:highlight w:val="none"/>
        </w:rPr>
      </w:pPr>
      <w:r>
        <w:rPr>
          <w:bCs/>
          <w:highlight w:val="none"/>
        </w:rPr>
        <w:t>5.1评标委员会将对投标文件的实质性内容进行初步评审，判定其内容是否真实、完整，是否满足招标文件要求并在实质性内容上予以响应；</w:t>
      </w:r>
    </w:p>
    <w:p>
      <w:pPr>
        <w:tabs>
          <w:tab w:val="left" w:pos="851"/>
        </w:tabs>
        <w:spacing w:before="0"/>
        <w:ind w:left="0" w:right="0" w:firstLine="420" w:firstLineChars="200"/>
        <w:rPr>
          <w:bCs/>
          <w:highlight w:val="none"/>
        </w:rPr>
      </w:pPr>
      <w:r>
        <w:rPr>
          <w:bCs/>
          <w:highlight w:val="none"/>
        </w:rPr>
        <w:t>5.2如果投标文件实质性不响应招标文件的要求和条件的，评标委员会将判定为重大偏差并作否决投标处理，并且不允许投标人通过修正或撤销其不符要求的差异或保留，使之成为具有响应性的投标文件；</w:t>
      </w:r>
    </w:p>
    <w:p>
      <w:pPr>
        <w:tabs>
          <w:tab w:val="left" w:pos="851"/>
        </w:tabs>
        <w:spacing w:before="0"/>
        <w:ind w:left="0" w:right="0" w:firstLine="420" w:firstLineChars="200"/>
        <w:rPr>
          <w:bCs/>
          <w:highlight w:val="none"/>
        </w:rPr>
      </w:pPr>
      <w:r>
        <w:rPr>
          <w:bCs/>
          <w:highlight w:val="none"/>
        </w:rPr>
        <w:t>5.3评标委员会根据招标文件的要求对投标人进行初步评审，未通过初步评审的投标人不得进入下一阶段的详细评审。评审标准详见附表二《初步评审表》。</w:t>
      </w:r>
    </w:p>
    <w:p>
      <w:pPr>
        <w:keepNext/>
        <w:keepLines/>
        <w:spacing w:before="240" w:beforeLines="100"/>
        <w:outlineLvl w:val="2"/>
        <w:rPr>
          <w:b/>
          <w:bCs/>
          <w:sz w:val="24"/>
          <w:highlight w:val="none"/>
        </w:rPr>
      </w:pPr>
      <w:bookmarkStart w:id="1060" w:name="_Toc29786930"/>
      <w:bookmarkStart w:id="1061" w:name="_Toc487632674"/>
      <w:bookmarkStart w:id="1062" w:name="_Toc407135177"/>
      <w:bookmarkStart w:id="1063" w:name="_Toc389065247"/>
      <w:r>
        <w:rPr>
          <w:b/>
          <w:bCs/>
          <w:sz w:val="24"/>
          <w:highlight w:val="none"/>
        </w:rPr>
        <w:t>6 详细评审</w:t>
      </w:r>
      <w:bookmarkEnd w:id="1060"/>
    </w:p>
    <w:p>
      <w:pPr>
        <w:keepNext/>
        <w:keepLines/>
        <w:spacing w:before="0" w:after="0" w:afterAutospacing="0"/>
        <w:ind w:left="0" w:right="0" w:firstLine="422" w:firstLineChars="200"/>
        <w:outlineLvl w:val="2"/>
        <w:rPr>
          <w:b/>
          <w:bCs/>
          <w:highlight w:val="none"/>
        </w:rPr>
      </w:pPr>
      <w:r>
        <w:rPr>
          <w:b/>
          <w:bCs/>
          <w:highlight w:val="none"/>
        </w:rPr>
        <w:t>6.1资信、技术部分评审</w:t>
      </w:r>
    </w:p>
    <w:p>
      <w:pPr>
        <w:tabs>
          <w:tab w:val="left" w:pos="851"/>
          <w:tab w:val="left" w:pos="1134"/>
        </w:tabs>
        <w:spacing w:before="0" w:after="0" w:afterAutospacing="0"/>
        <w:ind w:left="0" w:right="0" w:firstLine="420" w:firstLineChars="200"/>
        <w:rPr>
          <w:highlight w:val="none"/>
        </w:rPr>
      </w:pPr>
      <w:r>
        <w:rPr>
          <w:highlight w:val="none"/>
        </w:rPr>
        <w:t>6.1.1评标委员会技术评审组对通过初步评审的投标文件的资信文件和技术文件进行详细评审。</w:t>
      </w:r>
    </w:p>
    <w:p>
      <w:pPr>
        <w:tabs>
          <w:tab w:val="left" w:pos="851"/>
          <w:tab w:val="left" w:pos="1134"/>
        </w:tabs>
        <w:spacing w:before="0" w:after="0" w:afterAutospacing="0"/>
        <w:ind w:left="0" w:right="0" w:firstLine="420" w:firstLineChars="200"/>
        <w:rPr>
          <w:highlight w:val="none"/>
        </w:rPr>
      </w:pPr>
      <w:r>
        <w:rPr>
          <w:highlight w:val="none"/>
        </w:rPr>
        <w:t>6.1.2技术评审组按照附表三《资信</w:t>
      </w:r>
      <w:r>
        <w:rPr>
          <w:rFonts w:hint="eastAsia"/>
          <w:highlight w:val="none"/>
        </w:rPr>
        <w:t>部分</w:t>
      </w:r>
      <w:r>
        <w:rPr>
          <w:highlight w:val="none"/>
        </w:rPr>
        <w:t>评分表》规定的量化因素和分值，对各投标人资信部分评审，各项评审得分合计为投标人资信得分（得分出现小数的，保留小数点后二位，第三位小数四舍五入）。</w:t>
      </w:r>
    </w:p>
    <w:p>
      <w:pPr>
        <w:tabs>
          <w:tab w:val="left" w:pos="851"/>
          <w:tab w:val="left" w:pos="1134"/>
        </w:tabs>
        <w:spacing w:before="0" w:after="0" w:afterAutospacing="0"/>
        <w:ind w:left="0" w:right="0" w:firstLine="420" w:firstLineChars="200"/>
        <w:rPr>
          <w:highlight w:val="none"/>
        </w:rPr>
      </w:pPr>
      <w:r>
        <w:rPr>
          <w:highlight w:val="none"/>
        </w:rPr>
        <w:t>6.1.3技术评审组按照附表四《技术</w:t>
      </w:r>
      <w:r>
        <w:rPr>
          <w:rFonts w:hint="eastAsia"/>
          <w:highlight w:val="none"/>
        </w:rPr>
        <w:t>部分</w:t>
      </w:r>
      <w:r>
        <w:rPr>
          <w:highlight w:val="none"/>
        </w:rPr>
        <w:t>评分表》规定的量化因素和分值，对各投标人技术部分评审。各评委对投标人的各评分项评分累加后得出各评委的总得分。投标人技术得分取所有评委总得分的算术平均值（得分出现小数的，保留小数点后二位，第三位小数四舍五入）。</w:t>
      </w:r>
    </w:p>
    <w:p>
      <w:pPr>
        <w:keepNext/>
        <w:keepLines/>
        <w:spacing w:before="0" w:after="0" w:afterAutospacing="0"/>
        <w:ind w:left="0" w:right="0" w:firstLine="422" w:firstLineChars="200"/>
        <w:outlineLvl w:val="2"/>
        <w:rPr>
          <w:b/>
          <w:bCs/>
          <w:highlight w:val="none"/>
        </w:rPr>
      </w:pPr>
      <w:r>
        <w:rPr>
          <w:b/>
          <w:bCs/>
          <w:highlight w:val="none"/>
        </w:rPr>
        <w:t>6.2报价部分评审</w:t>
      </w:r>
    </w:p>
    <w:p>
      <w:pPr>
        <w:spacing w:before="0" w:after="0" w:afterAutospacing="0"/>
        <w:ind w:left="0" w:right="0" w:firstLine="420" w:firstLineChars="200"/>
        <w:rPr>
          <w:highlight w:val="none"/>
        </w:rPr>
      </w:pPr>
      <w:r>
        <w:rPr>
          <w:highlight w:val="none"/>
        </w:rPr>
        <w:t>6.2.1评标委员会经济评审组对通过初步评审的投标文件的报价文件进行详细评审。</w:t>
      </w:r>
    </w:p>
    <w:p>
      <w:pPr>
        <w:spacing w:before="0" w:after="0" w:afterAutospacing="0"/>
        <w:ind w:left="0" w:right="0" w:firstLine="420" w:firstLineChars="200"/>
        <w:rPr>
          <w:highlight w:val="none"/>
        </w:rPr>
      </w:pPr>
      <w:r>
        <w:rPr>
          <w:highlight w:val="none"/>
        </w:rPr>
        <w:t>6.2.</w:t>
      </w:r>
      <w:r>
        <w:rPr>
          <w:rFonts w:hint="eastAsia"/>
          <w:highlight w:val="none"/>
        </w:rPr>
        <w:t>2</w:t>
      </w:r>
      <w:r>
        <w:rPr>
          <w:highlight w:val="none"/>
        </w:rPr>
        <w:t>经济评审组按照附表五《投标</w:t>
      </w:r>
      <w:r>
        <w:rPr>
          <w:rFonts w:hint="eastAsia"/>
          <w:highlight w:val="none"/>
        </w:rPr>
        <w:t>报价</w:t>
      </w:r>
      <w:r>
        <w:rPr>
          <w:highlight w:val="none"/>
        </w:rPr>
        <w:t>评分表》规定的量化因素和分值，</w:t>
      </w:r>
      <w:r>
        <w:rPr>
          <w:rFonts w:hint="eastAsia"/>
          <w:highlight w:val="none"/>
        </w:rPr>
        <w:t>以</w:t>
      </w:r>
      <w:r>
        <w:rPr>
          <w:b/>
          <w:bCs/>
          <w:highlight w:val="none"/>
        </w:rPr>
        <w:t>含</w:t>
      </w:r>
      <w:r>
        <w:rPr>
          <w:rFonts w:hint="eastAsia"/>
          <w:b/>
          <w:bCs/>
          <w:highlight w:val="none"/>
        </w:rPr>
        <w:t>增值</w:t>
      </w:r>
      <w:r>
        <w:rPr>
          <w:b/>
          <w:bCs/>
          <w:highlight w:val="none"/>
        </w:rPr>
        <w:t>税的投标报价</w:t>
      </w:r>
      <w:r>
        <w:rPr>
          <w:rFonts w:hint="eastAsia"/>
          <w:b/>
          <w:bCs/>
          <w:highlight w:val="none"/>
        </w:rPr>
        <w:t>为准，</w:t>
      </w:r>
      <w:r>
        <w:rPr>
          <w:highlight w:val="none"/>
        </w:rPr>
        <w:t>对各投标人的投标报价</w:t>
      </w:r>
      <w:r>
        <w:rPr>
          <w:rFonts w:hint="eastAsia"/>
          <w:highlight w:val="none"/>
        </w:rPr>
        <w:t>进行</w:t>
      </w:r>
      <w:r>
        <w:rPr>
          <w:highlight w:val="none"/>
        </w:rPr>
        <w:t>评审，并计算出价格得分（得分出现小数的，保留小数点后二位，第三位小数四舍五入）。</w:t>
      </w:r>
    </w:p>
    <w:p>
      <w:pPr>
        <w:spacing w:before="0" w:after="0" w:afterAutospacing="0"/>
        <w:ind w:left="0" w:right="0" w:firstLine="420" w:firstLineChars="200"/>
        <w:rPr>
          <w:rFonts w:asciiTheme="minorEastAsia" w:hAnsiTheme="minorEastAsia" w:eastAsiaTheme="minorEastAsia" w:cstheme="minorEastAsia"/>
          <w:highlight w:val="none"/>
        </w:rPr>
      </w:pPr>
      <w:r>
        <w:rPr>
          <w:highlight w:val="none"/>
        </w:rPr>
        <w:t>6.2.</w:t>
      </w:r>
      <w:r>
        <w:rPr>
          <w:rFonts w:hint="eastAsia"/>
          <w:highlight w:val="none"/>
        </w:rPr>
        <w:t>3</w:t>
      </w:r>
      <w:r>
        <w:rPr>
          <w:highlight w:val="none"/>
        </w:rPr>
        <w:t>投标报价有算术错误的，评标委员会按以下原则对投标报价进行修正，修正的价格经投标</w:t>
      </w:r>
      <w:r>
        <w:rPr>
          <w:rFonts w:hint="eastAsia" w:asciiTheme="minorEastAsia" w:hAnsiTheme="minorEastAsia" w:eastAsiaTheme="minorEastAsia" w:cstheme="minorEastAsia"/>
          <w:highlight w:val="none"/>
        </w:rPr>
        <w:t>人书面确认后具有约束力。投标人不接受修正价格的，其投标作否决投标处理：</w:t>
      </w:r>
    </w:p>
    <w:p>
      <w:pPr>
        <w:tabs>
          <w:tab w:val="left" w:pos="420"/>
          <w:tab w:val="left" w:pos="1134"/>
        </w:tabs>
        <w:spacing w:before="0" w:after="0" w:afterAutospacing="0"/>
        <w:ind w:left="0" w:right="0" w:firstLine="42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（1）投标报价大写金额与小写金额不一致的，以大写金额为准；</w:t>
      </w:r>
    </w:p>
    <w:p>
      <w:pPr>
        <w:spacing w:before="0" w:after="0" w:afterAutospacing="0"/>
        <w:ind w:left="0" w:right="0" w:firstLine="420" w:firstLineChars="200"/>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（2）单价金额与数量相乘不等于合价金额时，以单价金额为准计算合价金额，</w:t>
      </w:r>
      <w:r>
        <w:rPr>
          <w:rFonts w:hint="eastAsia" w:asciiTheme="minorEastAsia" w:hAnsiTheme="minorEastAsia" w:eastAsiaTheme="minorEastAsia" w:cstheme="minorEastAsia"/>
          <w:color w:val="000000"/>
          <w:highlight w:val="none"/>
        </w:rPr>
        <w:t>但单价金额小数点有明显错误的除外；</w:t>
      </w:r>
    </w:p>
    <w:p>
      <w:pPr>
        <w:spacing w:before="0" w:after="0" w:afterAutospacing="0"/>
        <w:ind w:left="0" w:right="0" w:firstLine="420" w:firstLineChars="200"/>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（3）投标报价为各分项报价金额之和，投标报价与各分项报价之和不一致的，应以各分项报价累计数为准，修正投标报价；</w:t>
      </w:r>
    </w:p>
    <w:p>
      <w:pPr>
        <w:pStyle w:val="36"/>
        <w:tabs>
          <w:tab w:val="left" w:pos="851"/>
        </w:tabs>
        <w:spacing w:before="0" w:after="0" w:afterAutospacing="0"/>
        <w:ind w:left="0" w:right="0" w:firstLine="42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（4）同一规格、型号的货物、材料在各分项报价中应为同一单价。投标人对每种货物(指完全相同的同一货物)只允许有一个报价，如有不同报价，则以最低报价为准；</w:t>
      </w:r>
    </w:p>
    <w:p>
      <w:pPr>
        <w:pStyle w:val="36"/>
        <w:numPr>
          <w:ilvl w:val="255"/>
          <w:numId w:val="0"/>
        </w:numPr>
        <w:tabs>
          <w:tab w:val="left" w:pos="567"/>
        </w:tabs>
        <w:spacing w:before="0" w:after="0" w:afterAutospacing="0"/>
        <w:ind w:right="0" w:firstLine="420" w:firstLineChars="200"/>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按上述原则对投标报价进行修正。评标价格及中标价均以修正后的投标报价为准。如投标人不接受以上原则确定的评标价格和中标价，则其投标将被拒绝。</w:t>
      </w:r>
    </w:p>
    <w:p>
      <w:pPr>
        <w:tabs>
          <w:tab w:val="left" w:pos="851"/>
        </w:tabs>
        <w:spacing w:before="0" w:after="0" w:afterAutospacing="0"/>
        <w:ind w:left="0" w:right="0" w:firstLine="420" w:firstLineChars="200"/>
        <w:rPr>
          <w:highlight w:val="none"/>
        </w:rPr>
      </w:pPr>
      <w:r>
        <w:rPr>
          <w:highlight w:val="none"/>
        </w:rPr>
        <w:t>6.2.</w:t>
      </w:r>
      <w:r>
        <w:rPr>
          <w:rFonts w:hint="eastAsia"/>
          <w:highlight w:val="none"/>
        </w:rPr>
        <w:t>4</w:t>
      </w:r>
      <w:r>
        <w:rPr>
          <w:highlight w:val="none"/>
        </w:rPr>
        <w:t>出现下列情况的投标文件将予以否决：</w:t>
      </w:r>
    </w:p>
    <w:p>
      <w:pPr>
        <w:spacing w:before="0" w:after="0" w:afterAutospacing="0"/>
        <w:ind w:left="0" w:right="0" w:firstLine="420" w:firstLineChars="200"/>
        <w:rPr>
          <w:bCs/>
          <w:highlight w:val="none"/>
        </w:rPr>
      </w:pPr>
      <w:r>
        <w:rPr>
          <w:bCs/>
          <w:highlight w:val="none"/>
        </w:rPr>
        <w:t>（1）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投标，否决其投标。</w:t>
      </w:r>
    </w:p>
    <w:p>
      <w:pPr>
        <w:spacing w:before="0" w:after="0" w:afterAutospacing="0"/>
        <w:ind w:left="0" w:right="0" w:firstLine="420" w:firstLineChars="200"/>
        <w:rPr>
          <w:b/>
          <w:bCs/>
          <w:highlight w:val="none"/>
        </w:rPr>
      </w:pPr>
      <w:r>
        <w:rPr>
          <w:bCs/>
          <w:highlight w:val="none"/>
        </w:rPr>
        <w:t>（2）</w:t>
      </w:r>
      <w:r>
        <w:rPr>
          <w:b/>
          <w:bCs/>
          <w:highlight w:val="none"/>
        </w:rPr>
        <w:t>投标报价清单如有漏项的投标文件，将予以否决。</w:t>
      </w:r>
    </w:p>
    <w:p>
      <w:pPr>
        <w:adjustRightInd w:val="0"/>
        <w:snapToGrid w:val="0"/>
        <w:spacing w:before="0" w:after="0" w:afterAutospacing="0"/>
        <w:ind w:left="0" w:right="0" w:firstLine="420" w:firstLineChars="200"/>
        <w:rPr>
          <w:highlight w:val="none"/>
        </w:rPr>
      </w:pPr>
      <w:r>
        <w:rPr>
          <w:highlight w:val="none"/>
        </w:rPr>
        <w:t>（</w:t>
      </w:r>
      <w:r>
        <w:rPr>
          <w:rFonts w:hint="eastAsia"/>
          <w:highlight w:val="none"/>
        </w:rPr>
        <w:t>3</w:t>
      </w:r>
      <w:r>
        <w:rPr>
          <w:highlight w:val="none"/>
        </w:rPr>
        <w:t>）</w:t>
      </w:r>
      <w:r>
        <w:rPr>
          <w:b/>
          <w:bCs/>
          <w:highlight w:val="none"/>
        </w:rPr>
        <w:t>修正后的最终投标报价超过招标控制价的投标文件作否决投标处理。如项目设有分项招标控制价，修正后的分项报价超过分项招标控制价的投标文件作否决投标处理。如项目设有综合单价上限控制价的，修正后的综合单价超过综合单价上限控制价的投标文件作否决投标处理。</w:t>
      </w:r>
    </w:p>
    <w:p>
      <w:pPr>
        <w:keepNext/>
        <w:keepLines/>
        <w:spacing w:before="0" w:after="0" w:afterAutospacing="0"/>
        <w:ind w:left="0" w:right="0" w:firstLine="422" w:firstLineChars="200"/>
        <w:outlineLvl w:val="2"/>
        <w:rPr>
          <w:b/>
          <w:bCs/>
          <w:highlight w:val="none"/>
        </w:rPr>
      </w:pPr>
      <w:r>
        <w:rPr>
          <w:b/>
          <w:bCs/>
          <w:highlight w:val="none"/>
        </w:rPr>
        <w:t>6.3 投标文件的澄清和补正</w:t>
      </w:r>
    </w:p>
    <w:p>
      <w:pPr>
        <w:spacing w:before="0" w:after="0" w:afterAutospacing="0"/>
        <w:ind w:left="0" w:right="0" w:firstLine="420" w:firstLineChars="200"/>
        <w:rPr>
          <w:highlight w:val="none"/>
        </w:rPr>
      </w:pPr>
      <w:r>
        <w:rPr>
          <w:highlight w:val="none"/>
        </w:rPr>
        <w:t>6.3.1在评标过程中，评标委员会可以书面形式要求投标人对所提交的投标文件中的非实质性偏离内容进行书面澄清、说明或补正。澄清、说明和补正必须由评标委员会书面提出</w:t>
      </w:r>
      <w:r>
        <w:rPr>
          <w:rFonts w:hint="eastAsia"/>
          <w:highlight w:val="none"/>
        </w:rPr>
        <w:t>，</w:t>
      </w:r>
      <w:r>
        <w:rPr>
          <w:highlight w:val="none"/>
        </w:rPr>
        <w:t>投标人书面答复，否则无效。评标委员会不接受投标人主动提出的澄清、说明或补正。</w:t>
      </w:r>
    </w:p>
    <w:p>
      <w:pPr>
        <w:spacing w:before="0" w:after="0" w:afterAutospacing="0"/>
        <w:ind w:left="0" w:right="0" w:firstLine="420" w:firstLineChars="200"/>
        <w:rPr>
          <w:bCs/>
          <w:highlight w:val="none"/>
        </w:rPr>
      </w:pPr>
      <w:r>
        <w:rPr>
          <w:bCs/>
          <w:highlight w:val="none"/>
        </w:rPr>
        <w:t>非实质性偏离是指投标文件实质性响应招标文件，但在部分可允许范围内存在一些不规则、不一致、不完整的内容，通过澄清、说明或者补正后这些内容不会改变投标文件的实质性。以下情况属于非实质性偏离：</w:t>
      </w:r>
    </w:p>
    <w:p>
      <w:pPr>
        <w:spacing w:before="0" w:after="0" w:afterAutospacing="0"/>
        <w:ind w:left="0" w:right="0" w:firstLine="420" w:firstLineChars="200"/>
        <w:rPr>
          <w:bCs/>
          <w:highlight w:val="none"/>
        </w:rPr>
      </w:pPr>
      <w:r>
        <w:rPr>
          <w:bCs/>
          <w:highlight w:val="none"/>
        </w:rPr>
        <w:t>（1）投标文件文字表述的内容含义不明确；</w:t>
      </w:r>
    </w:p>
    <w:p>
      <w:pPr>
        <w:spacing w:before="0" w:after="0" w:afterAutospacing="0"/>
        <w:ind w:left="0" w:right="0" w:firstLine="420" w:firstLineChars="200"/>
        <w:rPr>
          <w:bCs/>
          <w:highlight w:val="none"/>
        </w:rPr>
      </w:pPr>
      <w:r>
        <w:rPr>
          <w:bCs/>
          <w:highlight w:val="none"/>
        </w:rPr>
        <w:t>（2）同类问题表述不一致；</w:t>
      </w:r>
    </w:p>
    <w:p>
      <w:pPr>
        <w:spacing w:before="0" w:after="0" w:afterAutospacing="0"/>
        <w:ind w:left="0" w:right="0" w:firstLine="420" w:firstLineChars="200"/>
        <w:rPr>
          <w:bCs/>
          <w:highlight w:val="none"/>
        </w:rPr>
      </w:pPr>
      <w:r>
        <w:rPr>
          <w:bCs/>
          <w:highlight w:val="none"/>
        </w:rPr>
        <w:t>（3）明显文字和计算错误；</w:t>
      </w:r>
    </w:p>
    <w:p>
      <w:pPr>
        <w:spacing w:before="0" w:after="0" w:afterAutospacing="0"/>
        <w:ind w:left="0" w:right="0" w:firstLine="420" w:firstLineChars="200"/>
        <w:rPr>
          <w:bCs/>
          <w:highlight w:val="none"/>
        </w:rPr>
      </w:pPr>
      <w:r>
        <w:rPr>
          <w:bCs/>
          <w:highlight w:val="none"/>
        </w:rPr>
        <w:t>（4）评标委员会认定的其他非实质性偏离情况。</w:t>
      </w:r>
    </w:p>
    <w:p>
      <w:pPr>
        <w:spacing w:before="0" w:after="0" w:afterAutospacing="0"/>
        <w:ind w:left="0" w:right="0" w:firstLine="420" w:firstLineChars="200"/>
        <w:rPr>
          <w:highlight w:val="none"/>
        </w:rPr>
      </w:pPr>
      <w:r>
        <w:rPr>
          <w:highlight w:val="none"/>
        </w:rPr>
        <w:t>6.3.2澄清、说明和补正不得改变投标文件的实质性内容（算术性错误修正的除外）</w:t>
      </w:r>
      <w:r>
        <w:rPr>
          <w:rFonts w:hint="eastAsia"/>
          <w:highlight w:val="none"/>
        </w:rPr>
        <w:t>，并构成</w:t>
      </w:r>
      <w:r>
        <w:rPr>
          <w:highlight w:val="none"/>
        </w:rPr>
        <w:t>投标文件的组成部分。</w:t>
      </w:r>
    </w:p>
    <w:p>
      <w:pPr>
        <w:spacing w:before="0" w:after="0" w:afterAutospacing="0"/>
        <w:ind w:left="0" w:right="0" w:firstLine="420" w:firstLineChars="200"/>
        <w:rPr>
          <w:highlight w:val="none"/>
        </w:rPr>
      </w:pPr>
      <w:r>
        <w:rPr>
          <w:highlight w:val="none"/>
        </w:rPr>
        <w:t>6.3.3评标委员会对投标人提交的澄清、说明或补正有疑问的，可以要求投标人进一步澄清、说明或补正，直至满足评标委员会的要求。</w:t>
      </w:r>
    </w:p>
    <w:p>
      <w:pPr>
        <w:keepNext/>
        <w:keepLines/>
        <w:spacing w:before="0" w:after="0" w:afterAutospacing="0"/>
        <w:ind w:left="0" w:right="0" w:firstLine="422" w:firstLineChars="200"/>
        <w:outlineLvl w:val="2"/>
        <w:rPr>
          <w:b/>
          <w:bCs/>
          <w:highlight w:val="none"/>
        </w:rPr>
      </w:pPr>
      <w:r>
        <w:rPr>
          <w:b/>
          <w:bCs/>
          <w:highlight w:val="none"/>
        </w:rPr>
        <w:t>6.4评标结果</w:t>
      </w:r>
    </w:p>
    <w:p>
      <w:pPr>
        <w:spacing w:before="0" w:after="0" w:afterAutospacing="0"/>
        <w:ind w:left="0" w:right="0" w:firstLine="420" w:firstLineChars="200"/>
        <w:rPr>
          <w:highlight w:val="none"/>
        </w:rPr>
      </w:pPr>
      <w:r>
        <w:rPr>
          <w:highlight w:val="none"/>
        </w:rPr>
        <w:t>6.4.1汇总得分</w:t>
      </w:r>
    </w:p>
    <w:p>
      <w:pPr>
        <w:spacing w:before="0" w:after="0" w:afterAutospacing="0"/>
        <w:ind w:left="0" w:right="0" w:firstLine="422" w:firstLineChars="200"/>
        <w:rPr>
          <w:b/>
          <w:bCs/>
          <w:highlight w:val="none"/>
        </w:rPr>
      </w:pPr>
      <w:r>
        <w:rPr>
          <w:b/>
          <w:bCs/>
          <w:highlight w:val="none"/>
        </w:rPr>
        <w:t>各投标人综合评分=资信得分+技术得分+</w:t>
      </w:r>
      <w:r>
        <w:rPr>
          <w:rFonts w:hint="eastAsia"/>
          <w:b/>
          <w:bCs/>
          <w:highlight w:val="none"/>
        </w:rPr>
        <w:t>报价</w:t>
      </w:r>
      <w:r>
        <w:rPr>
          <w:b/>
          <w:bCs/>
          <w:highlight w:val="none"/>
        </w:rPr>
        <w:t>得分</w:t>
      </w:r>
      <w:bookmarkEnd w:id="1061"/>
      <w:bookmarkEnd w:id="1062"/>
      <w:bookmarkEnd w:id="1063"/>
    </w:p>
    <w:p>
      <w:pPr>
        <w:spacing w:before="0" w:after="0" w:afterAutospacing="0"/>
        <w:ind w:left="0" w:right="0" w:firstLine="420" w:firstLineChars="200"/>
        <w:rPr>
          <w:sz w:val="24"/>
          <w:highlight w:val="none"/>
        </w:rPr>
      </w:pPr>
      <w:r>
        <w:rPr>
          <w:highlight w:val="none"/>
        </w:rPr>
        <w:t>6.4.2推荐中标候选人</w:t>
      </w:r>
    </w:p>
    <w:p>
      <w:pPr>
        <w:spacing w:before="0" w:after="0" w:afterAutospacing="0"/>
        <w:ind w:left="0" w:right="0" w:firstLine="420" w:firstLineChars="200"/>
        <w:rPr>
          <w:highlight w:val="none"/>
        </w:rPr>
      </w:pPr>
      <w:r>
        <w:rPr>
          <w:highlight w:val="none"/>
        </w:rPr>
        <w:t>经评审后，评标委员会按综合评分由高到低顺序</w:t>
      </w:r>
      <w:r>
        <w:rPr>
          <w:szCs w:val="20"/>
          <w:highlight w:val="none"/>
        </w:rPr>
        <w:t>推荐3名中标候选人（当中标候选人不足3名时按实际数量推荐），并标明排序</w:t>
      </w:r>
      <w:r>
        <w:rPr>
          <w:highlight w:val="none"/>
        </w:rPr>
        <w:t>。</w:t>
      </w:r>
      <w:r>
        <w:rPr>
          <w:rFonts w:hint="eastAsia"/>
          <w:bCs/>
          <w:highlight w:val="none"/>
        </w:rPr>
        <w:t>综合评分相等时，以投标报价低的优先；投标报价也相等的，以技术得分高的优先；如果技术得分也相等，</w:t>
      </w:r>
      <w:r>
        <w:rPr>
          <w:highlight w:val="none"/>
        </w:rPr>
        <w:t>则由评标委员会采用记名投票方式确定</w:t>
      </w:r>
      <w:r>
        <w:rPr>
          <w:rFonts w:hint="eastAsia"/>
          <w:highlight w:val="none"/>
        </w:rPr>
        <w:t>，</w:t>
      </w:r>
      <w:r>
        <w:rPr>
          <w:rFonts w:hint="eastAsia"/>
          <w:bCs/>
          <w:highlight w:val="none"/>
        </w:rPr>
        <w:t>以少数服从多数的原则确定中标候选人顺序。</w:t>
      </w:r>
    </w:p>
    <w:p>
      <w:pPr>
        <w:spacing w:before="0" w:after="0" w:afterAutospacing="0"/>
        <w:ind w:left="0" w:right="0" w:firstLine="420" w:firstLineChars="200"/>
        <w:rPr>
          <w:highlight w:val="none"/>
        </w:rPr>
      </w:pPr>
      <w:r>
        <w:rPr>
          <w:highlight w:val="none"/>
        </w:rPr>
        <w:t>6.4.3 评标委员会完成评标后，应当向招标人提交书面评标报告。</w:t>
      </w:r>
      <w:r>
        <w:rPr>
          <w:bCs/>
          <w:highlight w:val="none"/>
        </w:rPr>
        <w:t>评标报告由评标委员会成员起草，按少数服从多数的原则通过。评标委员会全体成员应在评标报告上签字确认，评标专家如有保留意见可以在评标报告中阐明。</w:t>
      </w:r>
      <w:r>
        <w:rPr>
          <w:highlight w:val="none"/>
        </w:rPr>
        <w:t>评标委员会成员拒绝在评审报告中签字又不书面说明其不同意见和理由的，视为同意评审结果。</w:t>
      </w:r>
    </w:p>
    <w:p>
      <w:pPr>
        <w:spacing w:before="0" w:after="0" w:afterAutospacing="0"/>
        <w:ind w:left="0" w:right="0" w:firstLine="420" w:firstLineChars="200"/>
        <w:rPr>
          <w:highlight w:val="none"/>
        </w:rPr>
      </w:pPr>
      <w:r>
        <w:rPr>
          <w:highlight w:val="none"/>
        </w:rPr>
        <w:t>6.4.4评标委员会应将评标过程中使用的文件、表格以及其他材料即时归还招标人。</w:t>
      </w:r>
    </w:p>
    <w:p>
      <w:pPr>
        <w:spacing w:before="0" w:after="0" w:afterAutospacing="0"/>
        <w:ind w:left="0" w:right="0" w:firstLine="422" w:firstLineChars="200"/>
        <w:rPr>
          <w:rFonts w:ascii="宋体" w:hAnsi="宋体"/>
          <w:b/>
          <w:highlight w:val="none"/>
        </w:rPr>
      </w:pPr>
      <w:r>
        <w:rPr>
          <w:b/>
          <w:bCs/>
          <w:highlight w:val="none"/>
        </w:rPr>
        <w:t>本评标办法由南宁轨道交通运营有限公司</w:t>
      </w:r>
      <w:r>
        <w:rPr>
          <w:rFonts w:hint="eastAsia"/>
          <w:b/>
          <w:bCs/>
          <w:highlight w:val="none"/>
        </w:rPr>
        <w:t>工会委员会</w:t>
      </w:r>
      <w:r>
        <w:rPr>
          <w:b/>
          <w:bCs/>
          <w:highlight w:val="none"/>
        </w:rPr>
        <w:t>负责解释。</w:t>
      </w:r>
      <w:bookmarkEnd w:id="1041"/>
      <w:bookmarkEnd w:id="1042"/>
      <w:bookmarkEnd w:id="1043"/>
      <w:bookmarkEnd w:id="1044"/>
      <w:bookmarkEnd w:id="1045"/>
    </w:p>
    <w:p>
      <w:pPr>
        <w:keepNext/>
        <w:keepLines/>
        <w:spacing w:before="240" w:beforeLines="100"/>
        <w:rPr>
          <w:bCs/>
          <w:highlight w:val="none"/>
        </w:rPr>
      </w:pPr>
      <w:r>
        <w:rPr>
          <w:rFonts w:hint="eastAsia"/>
          <w:b/>
          <w:bCs/>
          <w:sz w:val="24"/>
          <w:highlight w:val="none"/>
        </w:rPr>
        <w:t xml:space="preserve">7 </w:t>
      </w:r>
      <w:r>
        <w:rPr>
          <w:bCs/>
          <w:szCs w:val="18"/>
          <w:highlight w:val="none"/>
        </w:rPr>
        <w:t>投标文件</w:t>
      </w:r>
      <w:r>
        <w:rPr>
          <w:rFonts w:hint="eastAsia"/>
          <w:bCs/>
          <w:szCs w:val="18"/>
          <w:highlight w:val="none"/>
        </w:rPr>
        <w:t>或投标人</w:t>
      </w:r>
      <w:r>
        <w:rPr>
          <w:bCs/>
          <w:szCs w:val="18"/>
          <w:highlight w:val="none"/>
        </w:rPr>
        <w:t>有下列情形之一的，评标委员会应按否决投标处理：</w:t>
      </w:r>
    </w:p>
    <w:p>
      <w:pPr>
        <w:numPr>
          <w:ilvl w:val="0"/>
          <w:numId w:val="3"/>
        </w:numPr>
        <w:spacing w:before="0"/>
        <w:ind w:left="0" w:right="0" w:firstLine="420" w:firstLineChars="200"/>
        <w:rPr>
          <w:szCs w:val="18"/>
          <w:highlight w:val="none"/>
        </w:rPr>
      </w:pPr>
      <w:r>
        <w:rPr>
          <w:rFonts w:hint="eastAsia"/>
          <w:szCs w:val="18"/>
          <w:highlight w:val="none"/>
        </w:rPr>
        <w:t>参加现场开标会的，</w:t>
      </w:r>
      <w:r>
        <w:rPr>
          <w:szCs w:val="18"/>
          <w:highlight w:val="none"/>
        </w:rPr>
        <w:t>开标会结束拒绝在开标记录上签字确认，且经核实无误后，仍拒绝签字确认的；</w:t>
      </w:r>
    </w:p>
    <w:p>
      <w:pPr>
        <w:numPr>
          <w:ilvl w:val="0"/>
          <w:numId w:val="3"/>
        </w:numPr>
        <w:spacing w:before="0"/>
        <w:ind w:left="0" w:right="0" w:firstLine="420" w:firstLineChars="200"/>
        <w:rPr>
          <w:szCs w:val="18"/>
          <w:highlight w:val="none"/>
        </w:rPr>
      </w:pPr>
      <w:r>
        <w:rPr>
          <w:szCs w:val="18"/>
          <w:highlight w:val="none"/>
        </w:rPr>
        <w:t>投标人扰乱会场秩序，经劝阻仍然无理取闹的；</w:t>
      </w:r>
    </w:p>
    <w:p>
      <w:pPr>
        <w:numPr>
          <w:ilvl w:val="0"/>
          <w:numId w:val="3"/>
        </w:numPr>
        <w:spacing w:before="0"/>
        <w:ind w:left="0" w:right="0" w:firstLine="420" w:firstLineChars="200"/>
        <w:rPr>
          <w:szCs w:val="18"/>
          <w:highlight w:val="none"/>
        </w:rPr>
      </w:pPr>
      <w:r>
        <w:rPr>
          <w:szCs w:val="18"/>
          <w:highlight w:val="none"/>
        </w:rPr>
        <w:t>不符合附表一《</w:t>
      </w:r>
      <w:r>
        <w:rPr>
          <w:rFonts w:hint="eastAsia"/>
          <w:szCs w:val="18"/>
          <w:highlight w:val="none"/>
        </w:rPr>
        <w:t>资格审查表</w:t>
      </w:r>
      <w:r>
        <w:rPr>
          <w:szCs w:val="18"/>
          <w:highlight w:val="none"/>
        </w:rPr>
        <w:t>》规定的；</w:t>
      </w:r>
    </w:p>
    <w:p>
      <w:pPr>
        <w:numPr>
          <w:ilvl w:val="0"/>
          <w:numId w:val="3"/>
        </w:numPr>
        <w:spacing w:before="0"/>
        <w:ind w:left="0" w:right="0" w:firstLine="420" w:firstLineChars="200"/>
        <w:rPr>
          <w:szCs w:val="18"/>
          <w:highlight w:val="none"/>
        </w:rPr>
      </w:pPr>
      <w:r>
        <w:rPr>
          <w:szCs w:val="18"/>
          <w:highlight w:val="none"/>
        </w:rPr>
        <w:t>不符合附表二《初步评审表》规定的；</w:t>
      </w:r>
    </w:p>
    <w:p>
      <w:pPr>
        <w:numPr>
          <w:ilvl w:val="0"/>
          <w:numId w:val="3"/>
        </w:numPr>
        <w:spacing w:before="0"/>
        <w:ind w:left="0" w:right="0" w:firstLine="420" w:firstLineChars="200"/>
        <w:rPr>
          <w:highlight w:val="none"/>
        </w:rPr>
      </w:pPr>
      <w:r>
        <w:rPr>
          <w:rFonts w:hint="eastAsia"/>
          <w:szCs w:val="18"/>
          <w:highlight w:val="none"/>
        </w:rPr>
        <w:t>在资格审查和初步评审后，因</w:t>
      </w:r>
      <w:r>
        <w:rPr>
          <w:szCs w:val="18"/>
          <w:highlight w:val="none"/>
        </w:rPr>
        <w:t>有效投标不足</w:t>
      </w:r>
      <w:r>
        <w:rPr>
          <w:rFonts w:hint="eastAsia"/>
          <w:szCs w:val="18"/>
          <w:highlight w:val="none"/>
        </w:rPr>
        <w:t>三家，且投标明显缺乏</w:t>
      </w:r>
      <w:r>
        <w:rPr>
          <w:szCs w:val="18"/>
          <w:highlight w:val="none"/>
        </w:rPr>
        <w:t>竞争</w:t>
      </w:r>
      <w:r>
        <w:rPr>
          <w:rFonts w:hint="eastAsia"/>
          <w:szCs w:val="18"/>
          <w:highlight w:val="none"/>
        </w:rPr>
        <w:t>性</w:t>
      </w:r>
      <w:r>
        <w:rPr>
          <w:szCs w:val="18"/>
          <w:highlight w:val="none"/>
        </w:rPr>
        <w:t>的</w:t>
      </w:r>
      <w:r>
        <w:rPr>
          <w:rFonts w:hint="eastAsia"/>
          <w:szCs w:val="18"/>
          <w:highlight w:val="none"/>
        </w:rPr>
        <w:t>；（</w:t>
      </w:r>
      <w:r>
        <w:rPr>
          <w:rFonts w:hint="eastAsia" w:ascii="宋体" w:hAnsi="宋体"/>
          <w:highlight w:val="none"/>
        </w:rPr>
        <w:t>当有效投标只有两家时，如果评标委员会认为有竞争性的，应继续评审</w:t>
      </w:r>
      <w:r>
        <w:rPr>
          <w:rFonts w:hint="eastAsia"/>
          <w:szCs w:val="18"/>
          <w:highlight w:val="none"/>
        </w:rPr>
        <w:t>）</w:t>
      </w:r>
    </w:p>
    <w:p>
      <w:pPr>
        <w:numPr>
          <w:ilvl w:val="0"/>
          <w:numId w:val="3"/>
        </w:numPr>
        <w:spacing w:before="0"/>
        <w:ind w:left="0" w:right="0" w:firstLine="420" w:firstLineChars="200"/>
        <w:rPr>
          <w:highlight w:val="none"/>
        </w:rPr>
      </w:pPr>
      <w:r>
        <w:rPr>
          <w:szCs w:val="18"/>
          <w:highlight w:val="none"/>
        </w:rPr>
        <w:t>法定代表人未按规定出具授权委托书的(采用委托代理人形式的)；</w:t>
      </w:r>
    </w:p>
    <w:p>
      <w:pPr>
        <w:numPr>
          <w:ilvl w:val="0"/>
          <w:numId w:val="3"/>
        </w:numPr>
        <w:spacing w:before="0"/>
        <w:ind w:left="0" w:right="0" w:firstLine="420" w:firstLineChars="200"/>
        <w:rPr>
          <w:highlight w:val="none"/>
        </w:rPr>
      </w:pPr>
      <w:r>
        <w:rPr>
          <w:szCs w:val="18"/>
          <w:highlight w:val="none"/>
        </w:rPr>
        <w:t>投标人以经评标委员会评审认定为低于成本的报价竞标；</w:t>
      </w:r>
    </w:p>
    <w:p>
      <w:pPr>
        <w:numPr>
          <w:ilvl w:val="0"/>
          <w:numId w:val="3"/>
        </w:numPr>
        <w:spacing w:before="0"/>
        <w:ind w:left="0" w:right="0" w:firstLine="420" w:firstLineChars="200"/>
        <w:rPr>
          <w:szCs w:val="18"/>
          <w:highlight w:val="none"/>
        </w:rPr>
      </w:pPr>
      <w:r>
        <w:rPr>
          <w:szCs w:val="18"/>
          <w:highlight w:val="none"/>
        </w:rPr>
        <w:t>投标报价清单有</w:t>
      </w:r>
      <w:r>
        <w:rPr>
          <w:rFonts w:hint="eastAsia"/>
          <w:szCs w:val="18"/>
          <w:highlight w:val="none"/>
        </w:rPr>
        <w:t>缺、</w:t>
      </w:r>
      <w:r>
        <w:rPr>
          <w:szCs w:val="18"/>
          <w:highlight w:val="none"/>
        </w:rPr>
        <w:t>漏项的</w:t>
      </w:r>
      <w:r>
        <w:rPr>
          <w:rFonts w:hint="eastAsia"/>
          <w:szCs w:val="18"/>
          <w:highlight w:val="none"/>
        </w:rPr>
        <w:t>的；</w:t>
      </w:r>
    </w:p>
    <w:p>
      <w:pPr>
        <w:numPr>
          <w:ilvl w:val="0"/>
          <w:numId w:val="3"/>
        </w:numPr>
        <w:spacing w:before="0"/>
        <w:ind w:left="0" w:right="0" w:firstLine="420" w:firstLineChars="200"/>
        <w:rPr>
          <w:highlight w:val="none"/>
        </w:rPr>
      </w:pPr>
      <w:r>
        <w:rPr>
          <w:rFonts w:hint="eastAsia"/>
          <w:szCs w:val="18"/>
          <w:highlight w:val="none"/>
        </w:rPr>
        <w:t>投标报价超过招标上限控制价的或</w:t>
      </w:r>
      <w:r>
        <w:rPr>
          <w:szCs w:val="18"/>
          <w:highlight w:val="none"/>
        </w:rPr>
        <w:t>修正后的最终投标报价超过招标</w:t>
      </w:r>
      <w:r>
        <w:rPr>
          <w:rFonts w:hint="eastAsia"/>
          <w:szCs w:val="18"/>
          <w:highlight w:val="none"/>
        </w:rPr>
        <w:t>上限</w:t>
      </w:r>
      <w:r>
        <w:rPr>
          <w:szCs w:val="18"/>
          <w:highlight w:val="none"/>
        </w:rPr>
        <w:t>控制价的。如项目设有分项招标</w:t>
      </w:r>
      <w:r>
        <w:rPr>
          <w:rFonts w:hint="eastAsia"/>
          <w:szCs w:val="18"/>
          <w:highlight w:val="none"/>
        </w:rPr>
        <w:t>上限</w:t>
      </w:r>
      <w:r>
        <w:rPr>
          <w:szCs w:val="18"/>
          <w:highlight w:val="none"/>
        </w:rPr>
        <w:t>控制价，分项报价</w:t>
      </w:r>
      <w:r>
        <w:rPr>
          <w:rFonts w:hint="eastAsia"/>
          <w:szCs w:val="18"/>
          <w:highlight w:val="none"/>
        </w:rPr>
        <w:t>或</w:t>
      </w:r>
      <w:r>
        <w:rPr>
          <w:szCs w:val="18"/>
          <w:highlight w:val="none"/>
        </w:rPr>
        <w:t>修正后的分项报价超过分项招标</w:t>
      </w:r>
      <w:r>
        <w:rPr>
          <w:rFonts w:hint="eastAsia"/>
          <w:szCs w:val="18"/>
          <w:highlight w:val="none"/>
        </w:rPr>
        <w:t>上限</w:t>
      </w:r>
      <w:r>
        <w:rPr>
          <w:szCs w:val="18"/>
          <w:highlight w:val="none"/>
        </w:rPr>
        <w:t>控制价的</w:t>
      </w:r>
      <w:r>
        <w:rPr>
          <w:rFonts w:hint="eastAsia"/>
          <w:szCs w:val="18"/>
          <w:highlight w:val="none"/>
        </w:rPr>
        <w:t>；</w:t>
      </w:r>
    </w:p>
    <w:p>
      <w:pPr>
        <w:numPr>
          <w:ilvl w:val="0"/>
          <w:numId w:val="3"/>
        </w:numPr>
        <w:spacing w:before="0"/>
        <w:ind w:left="0" w:right="0" w:firstLine="420" w:firstLineChars="200"/>
        <w:rPr>
          <w:highlight w:val="none"/>
        </w:rPr>
      </w:pPr>
      <w:r>
        <w:rPr>
          <w:rFonts w:hint="eastAsia" w:cs="宋体"/>
          <w:highlight w:val="none"/>
        </w:rPr>
        <w:t>投标文件实质上没有响应招标文件的要求的(包括</w:t>
      </w:r>
      <w:r>
        <w:rPr>
          <w:rFonts w:cs="宋体"/>
          <w:highlight w:val="none"/>
        </w:rPr>
        <w:t>：质量要求、</w:t>
      </w:r>
      <w:r>
        <w:rPr>
          <w:rFonts w:hint="eastAsia" w:cs="宋体"/>
          <w:highlight w:val="none"/>
        </w:rPr>
        <w:t>交货</w:t>
      </w:r>
      <w:r>
        <w:rPr>
          <w:rFonts w:cs="宋体"/>
          <w:highlight w:val="none"/>
        </w:rPr>
        <w:t>期、技术标准和要求、合同</w:t>
      </w:r>
      <w:r>
        <w:rPr>
          <w:rFonts w:hint="eastAsia" w:cs="宋体"/>
          <w:highlight w:val="none"/>
        </w:rPr>
        <w:t>价款</w:t>
      </w:r>
      <w:r>
        <w:rPr>
          <w:rFonts w:cs="宋体"/>
          <w:highlight w:val="none"/>
        </w:rPr>
        <w:t>主要条款、投标有效期等</w:t>
      </w:r>
      <w:r>
        <w:rPr>
          <w:rFonts w:hint="eastAsia" w:cs="宋体"/>
          <w:highlight w:val="none"/>
        </w:rPr>
        <w:t>)；</w:t>
      </w:r>
    </w:p>
    <w:p>
      <w:pPr>
        <w:numPr>
          <w:ilvl w:val="0"/>
          <w:numId w:val="3"/>
        </w:numPr>
        <w:spacing w:before="0"/>
        <w:ind w:left="0" w:right="0" w:firstLine="420" w:firstLineChars="200"/>
        <w:rPr>
          <w:highlight w:val="none"/>
        </w:rPr>
      </w:pPr>
      <w:r>
        <w:rPr>
          <w:szCs w:val="18"/>
          <w:highlight w:val="none"/>
        </w:rPr>
        <w:t>投标人未能按照评标委员会要求，对其投标文件进行澄清、说明和补正的；</w:t>
      </w:r>
    </w:p>
    <w:p>
      <w:pPr>
        <w:numPr>
          <w:ilvl w:val="0"/>
          <w:numId w:val="3"/>
        </w:numPr>
        <w:spacing w:before="0"/>
        <w:ind w:left="0" w:right="0" w:firstLine="420" w:firstLineChars="200"/>
        <w:rPr>
          <w:szCs w:val="18"/>
          <w:highlight w:val="none"/>
        </w:rPr>
      </w:pPr>
      <w:r>
        <w:rPr>
          <w:szCs w:val="18"/>
          <w:highlight w:val="none"/>
        </w:rPr>
        <w:t>投标文件中有虚假文件或资料的；</w:t>
      </w:r>
    </w:p>
    <w:p>
      <w:pPr>
        <w:numPr>
          <w:ilvl w:val="0"/>
          <w:numId w:val="3"/>
        </w:numPr>
        <w:spacing w:before="0"/>
        <w:ind w:left="0" w:right="0" w:firstLine="420" w:firstLineChars="200"/>
        <w:rPr>
          <w:szCs w:val="18"/>
          <w:highlight w:val="none"/>
        </w:rPr>
      </w:pPr>
      <w:r>
        <w:rPr>
          <w:szCs w:val="18"/>
          <w:highlight w:val="none"/>
        </w:rPr>
        <w:t>投标文件中附有招标人不能接受的条件；</w:t>
      </w:r>
    </w:p>
    <w:p>
      <w:pPr>
        <w:numPr>
          <w:ilvl w:val="0"/>
          <w:numId w:val="3"/>
        </w:numPr>
        <w:spacing w:before="0"/>
        <w:ind w:left="0" w:right="0" w:firstLine="420" w:firstLineChars="200"/>
        <w:rPr>
          <w:szCs w:val="18"/>
          <w:highlight w:val="none"/>
        </w:rPr>
      </w:pPr>
      <w:r>
        <w:rPr>
          <w:szCs w:val="18"/>
          <w:highlight w:val="none"/>
        </w:rPr>
        <w:t>投标人以他人的名义投标、串通投标、以行贿手段谋取中标或者以其他弄虚作假方式投标的。</w:t>
      </w:r>
    </w:p>
    <w:p>
      <w:pPr>
        <w:numPr>
          <w:ilvl w:val="0"/>
          <w:numId w:val="3"/>
        </w:numPr>
        <w:spacing w:before="0"/>
        <w:ind w:left="0" w:right="0" w:firstLine="420" w:firstLineChars="200"/>
        <w:rPr>
          <w:szCs w:val="18"/>
          <w:highlight w:val="none"/>
        </w:rPr>
      </w:pPr>
      <w:r>
        <w:rPr>
          <w:szCs w:val="18"/>
          <w:highlight w:val="none"/>
        </w:rPr>
        <w:t>为本项目提供招标代理服务的；</w:t>
      </w:r>
    </w:p>
    <w:p>
      <w:pPr>
        <w:numPr>
          <w:ilvl w:val="0"/>
          <w:numId w:val="3"/>
        </w:numPr>
        <w:spacing w:before="0"/>
        <w:ind w:left="0" w:right="0" w:firstLine="420" w:firstLineChars="200"/>
        <w:rPr>
          <w:szCs w:val="18"/>
          <w:highlight w:val="none"/>
        </w:rPr>
      </w:pPr>
      <w:r>
        <w:rPr>
          <w:szCs w:val="18"/>
          <w:highlight w:val="none"/>
        </w:rPr>
        <w:t>与本项目的招标代理机构同为一个法定代表人的；</w:t>
      </w:r>
    </w:p>
    <w:p>
      <w:pPr>
        <w:numPr>
          <w:ilvl w:val="0"/>
          <w:numId w:val="3"/>
        </w:numPr>
        <w:spacing w:before="0"/>
        <w:ind w:left="0" w:right="0" w:firstLine="420" w:firstLineChars="200"/>
        <w:rPr>
          <w:szCs w:val="18"/>
          <w:highlight w:val="none"/>
        </w:rPr>
      </w:pPr>
      <w:r>
        <w:rPr>
          <w:szCs w:val="18"/>
          <w:highlight w:val="none"/>
        </w:rPr>
        <w:t>与本项目的招标代理机构相互控股或参股的；</w:t>
      </w:r>
    </w:p>
    <w:p>
      <w:pPr>
        <w:numPr>
          <w:ilvl w:val="0"/>
          <w:numId w:val="3"/>
        </w:numPr>
        <w:spacing w:before="0"/>
        <w:ind w:left="0" w:right="0" w:firstLine="420" w:firstLineChars="200"/>
        <w:rPr>
          <w:szCs w:val="18"/>
          <w:highlight w:val="none"/>
        </w:rPr>
      </w:pPr>
      <w:r>
        <w:rPr>
          <w:szCs w:val="18"/>
          <w:highlight w:val="none"/>
        </w:rPr>
        <w:t>与本项目的招标代理机构相互任职或工作的；</w:t>
      </w:r>
    </w:p>
    <w:p>
      <w:pPr>
        <w:numPr>
          <w:ilvl w:val="0"/>
          <w:numId w:val="3"/>
        </w:numPr>
        <w:spacing w:before="0"/>
        <w:ind w:left="0" w:right="0" w:firstLine="420" w:firstLineChars="200"/>
        <w:rPr>
          <w:highlight w:val="none"/>
        </w:rPr>
      </w:pPr>
      <w:r>
        <w:rPr>
          <w:szCs w:val="18"/>
          <w:highlight w:val="none"/>
        </w:rPr>
        <w:t>招标文件、法律、法规规定的其他否决投标情况。</w:t>
      </w:r>
    </w:p>
    <w:p>
      <w:pPr>
        <w:spacing w:before="0" w:after="0" w:afterAutospacing="0"/>
        <w:ind w:left="0" w:right="0" w:firstLine="0"/>
        <w:outlineLvl w:val="1"/>
        <w:rPr>
          <w:rFonts w:hAnsi="宋体"/>
          <w:b/>
          <w:sz w:val="24"/>
          <w:szCs w:val="24"/>
          <w:highlight w:val="none"/>
        </w:rPr>
        <w:sectPr>
          <w:headerReference r:id="rId12" w:type="default"/>
          <w:footerReference r:id="rId13" w:type="default"/>
          <w:pgSz w:w="11905" w:h="16838"/>
          <w:pgMar w:top="1418" w:right="1418" w:bottom="1418" w:left="1418" w:header="454" w:footer="567" w:gutter="0"/>
          <w:pgNumType w:fmt="decimal"/>
          <w:cols w:space="720" w:num="1"/>
          <w:docGrid w:linePitch="319" w:charSpace="0"/>
        </w:sectPr>
      </w:pPr>
      <w:bookmarkStart w:id="1064" w:name="_Toc12482"/>
    </w:p>
    <w:p>
      <w:pPr>
        <w:spacing w:before="0" w:after="0" w:afterAutospacing="0"/>
        <w:ind w:left="0" w:right="0" w:firstLine="0"/>
        <w:outlineLvl w:val="1"/>
        <w:rPr>
          <w:rFonts w:hAnsi="宋体"/>
          <w:b/>
          <w:sz w:val="24"/>
          <w:szCs w:val="24"/>
          <w:highlight w:val="none"/>
        </w:rPr>
      </w:pPr>
      <w:bookmarkStart w:id="1065" w:name="_Toc18664"/>
      <w:bookmarkStart w:id="1066" w:name="_Toc21465"/>
      <w:bookmarkStart w:id="1067" w:name="_Toc11500"/>
      <w:bookmarkStart w:id="1068" w:name="_Toc8373"/>
      <w:bookmarkStart w:id="1069" w:name="_Toc31741"/>
      <w:bookmarkStart w:id="1070" w:name="_Toc31055"/>
      <w:bookmarkStart w:id="1071" w:name="_Toc10620"/>
      <w:bookmarkStart w:id="1072" w:name="_Toc8801"/>
      <w:bookmarkStart w:id="1073" w:name="_Toc20346"/>
      <w:r>
        <w:rPr>
          <w:rFonts w:hint="eastAsia" w:hAnsi="宋体"/>
          <w:b/>
          <w:sz w:val="24"/>
          <w:szCs w:val="24"/>
          <w:highlight w:val="none"/>
        </w:rPr>
        <w:t>附表一 资格审查表</w:t>
      </w:r>
      <w:bookmarkEnd w:id="1064"/>
      <w:bookmarkEnd w:id="1065"/>
      <w:bookmarkEnd w:id="1066"/>
      <w:bookmarkEnd w:id="1067"/>
      <w:bookmarkEnd w:id="1068"/>
      <w:bookmarkEnd w:id="1069"/>
      <w:bookmarkEnd w:id="1070"/>
      <w:bookmarkEnd w:id="1071"/>
      <w:bookmarkEnd w:id="1072"/>
      <w:bookmarkEnd w:id="1073"/>
    </w:p>
    <w:p>
      <w:pPr>
        <w:snapToGrid w:val="0"/>
        <w:spacing w:before="0"/>
        <w:ind w:left="420" w:right="240" w:firstLine="0"/>
        <w:jc w:val="center"/>
        <w:rPr>
          <w:rFonts w:ascii="宋体" w:hAnsi="宋体"/>
          <w:b/>
          <w:sz w:val="24"/>
          <w:szCs w:val="24"/>
          <w:highlight w:val="none"/>
        </w:rPr>
      </w:pPr>
      <w:r>
        <w:rPr>
          <w:rFonts w:hint="eastAsia" w:ascii="宋体" w:hAnsi="宋体"/>
          <w:b/>
          <w:sz w:val="24"/>
          <w:szCs w:val="24"/>
          <w:highlight w:val="none"/>
        </w:rPr>
        <w:t>资格审查表</w:t>
      </w:r>
    </w:p>
    <w:tbl>
      <w:tblPr>
        <w:tblStyle w:val="27"/>
        <w:tblW w:w="911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31"/>
        <w:gridCol w:w="1215"/>
        <w:gridCol w:w="3860"/>
        <w:gridCol w:w="23"/>
        <w:gridCol w:w="2183"/>
        <w:gridCol w:w="100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831" w:type="dxa"/>
            <w:vAlign w:val="center"/>
          </w:tcPr>
          <w:p>
            <w:pPr>
              <w:spacing w:before="0" w:after="0" w:afterAutospacing="0"/>
              <w:ind w:left="0" w:right="0" w:firstLine="0"/>
              <w:jc w:val="center"/>
              <w:rPr>
                <w:rFonts w:ascii="宋体" w:hAnsi="宋体"/>
                <w:highlight w:val="none"/>
              </w:rPr>
            </w:pPr>
            <w:r>
              <w:rPr>
                <w:rFonts w:hint="eastAsia" w:ascii="宋体" w:hAnsi="宋体"/>
                <w:highlight w:val="none"/>
              </w:rPr>
              <w:t>序号</w:t>
            </w:r>
          </w:p>
        </w:tc>
        <w:tc>
          <w:tcPr>
            <w:tcW w:w="1215" w:type="dxa"/>
            <w:vAlign w:val="center"/>
          </w:tcPr>
          <w:p>
            <w:pPr>
              <w:spacing w:before="0" w:after="0" w:afterAutospacing="0"/>
              <w:ind w:left="0" w:right="0" w:firstLine="0"/>
              <w:jc w:val="center"/>
              <w:rPr>
                <w:rFonts w:ascii="宋体" w:hAnsi="宋体"/>
                <w:highlight w:val="none"/>
              </w:rPr>
            </w:pPr>
            <w:r>
              <w:rPr>
                <w:rFonts w:hint="eastAsia" w:ascii="宋体" w:hAnsi="宋体"/>
                <w:highlight w:val="none"/>
              </w:rPr>
              <w:t>评审因素</w:t>
            </w:r>
          </w:p>
        </w:tc>
        <w:tc>
          <w:tcPr>
            <w:tcW w:w="3860" w:type="dxa"/>
            <w:vAlign w:val="center"/>
          </w:tcPr>
          <w:p>
            <w:pPr>
              <w:spacing w:before="0" w:after="0" w:afterAutospacing="0"/>
              <w:ind w:left="0" w:right="0" w:firstLine="0"/>
              <w:jc w:val="center"/>
              <w:rPr>
                <w:rFonts w:ascii="宋体" w:hAnsi="宋体"/>
                <w:highlight w:val="none"/>
              </w:rPr>
            </w:pPr>
            <w:r>
              <w:rPr>
                <w:rFonts w:hint="eastAsia" w:ascii="宋体" w:hAnsi="宋体"/>
                <w:highlight w:val="none"/>
              </w:rPr>
              <w:t>评审标准</w:t>
            </w:r>
          </w:p>
        </w:tc>
        <w:tc>
          <w:tcPr>
            <w:tcW w:w="2206" w:type="dxa"/>
            <w:gridSpan w:val="2"/>
            <w:vAlign w:val="center"/>
          </w:tcPr>
          <w:p>
            <w:pPr>
              <w:spacing w:before="0" w:after="0" w:afterAutospacing="0"/>
              <w:ind w:left="0" w:right="0" w:firstLine="0"/>
              <w:jc w:val="center"/>
              <w:rPr>
                <w:rFonts w:ascii="宋体" w:hAnsi="宋体"/>
                <w:highlight w:val="none"/>
              </w:rPr>
            </w:pPr>
            <w:r>
              <w:rPr>
                <w:rFonts w:hint="eastAsia" w:ascii="宋体" w:hAnsi="宋体"/>
                <w:highlight w:val="none"/>
              </w:rPr>
              <w:t>评审依据</w:t>
            </w:r>
          </w:p>
        </w:tc>
        <w:tc>
          <w:tcPr>
            <w:tcW w:w="1002" w:type="dxa"/>
            <w:vAlign w:val="center"/>
          </w:tcPr>
          <w:p>
            <w:pPr>
              <w:spacing w:before="0" w:after="0" w:afterAutospacing="0"/>
              <w:ind w:left="0" w:right="0" w:firstLine="0"/>
              <w:jc w:val="center"/>
              <w:rPr>
                <w:rFonts w:ascii="宋体" w:hAnsi="宋体"/>
                <w:highlight w:val="none"/>
              </w:rPr>
            </w:pPr>
            <w:r>
              <w:rPr>
                <w:rFonts w:hint="eastAsia" w:ascii="宋体" w:hAnsi="宋体"/>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41" w:hRule="atLeast"/>
          <w:jc w:val="center"/>
        </w:trPr>
        <w:tc>
          <w:tcPr>
            <w:tcW w:w="831" w:type="dxa"/>
            <w:vAlign w:val="center"/>
          </w:tcPr>
          <w:p>
            <w:pPr>
              <w:spacing w:before="0" w:after="0" w:afterAutospacing="0"/>
              <w:ind w:left="0" w:right="0" w:firstLine="0"/>
              <w:jc w:val="center"/>
              <w:rPr>
                <w:rFonts w:ascii="宋体" w:hAnsi="宋体"/>
                <w:highlight w:val="none"/>
              </w:rPr>
            </w:pPr>
            <w:r>
              <w:rPr>
                <w:rFonts w:ascii="宋体" w:hAnsi="宋体"/>
                <w:highlight w:val="none"/>
              </w:rPr>
              <w:t>1</w:t>
            </w:r>
          </w:p>
        </w:tc>
        <w:tc>
          <w:tcPr>
            <w:tcW w:w="1215" w:type="dxa"/>
            <w:vAlign w:val="center"/>
          </w:tcPr>
          <w:p>
            <w:pPr>
              <w:spacing w:before="0" w:after="0" w:afterAutospacing="0"/>
              <w:ind w:left="0" w:right="0" w:firstLine="0"/>
              <w:rPr>
                <w:rFonts w:ascii="宋体" w:hAnsi="宋体"/>
                <w:highlight w:val="none"/>
              </w:rPr>
            </w:pPr>
            <w:r>
              <w:rPr>
                <w:rFonts w:hint="eastAsia" w:ascii="宋体" w:hAnsi="宋体"/>
                <w:highlight w:val="none"/>
              </w:rPr>
              <w:t>身份证明材料</w:t>
            </w:r>
          </w:p>
        </w:tc>
        <w:tc>
          <w:tcPr>
            <w:tcW w:w="3860" w:type="dxa"/>
            <w:vAlign w:val="center"/>
          </w:tcPr>
          <w:p>
            <w:pPr>
              <w:spacing w:before="0" w:after="0" w:afterAutospacing="0"/>
              <w:ind w:left="0" w:right="0" w:firstLine="0"/>
              <w:rPr>
                <w:rFonts w:ascii="宋体" w:hAnsi="宋体"/>
                <w:highlight w:val="none"/>
              </w:rPr>
            </w:pPr>
            <w:r>
              <w:rPr>
                <w:rFonts w:hint="eastAsia"/>
                <w:highlight w:val="none"/>
              </w:rPr>
              <w:t>法定代表人授权书及法定代表人资格证明书，法定代表人及委托代理人身份证复印件；（如无授权时，只需提供法定代表人资格证明书和法定代表人身份证复印件。）</w:t>
            </w:r>
          </w:p>
        </w:tc>
        <w:tc>
          <w:tcPr>
            <w:tcW w:w="2206" w:type="dxa"/>
            <w:gridSpan w:val="2"/>
            <w:vAlign w:val="center"/>
          </w:tcPr>
          <w:p>
            <w:pPr>
              <w:spacing w:before="0" w:after="0" w:afterAutospacing="0"/>
              <w:ind w:left="0" w:right="0" w:firstLine="0"/>
              <w:rPr>
                <w:rFonts w:ascii="宋体" w:hAnsi="宋体"/>
                <w:highlight w:val="none"/>
              </w:rPr>
            </w:pPr>
            <w:r>
              <w:rPr>
                <w:rFonts w:hint="eastAsia" w:ascii="宋体" w:hAnsi="宋体"/>
                <w:highlight w:val="none"/>
              </w:rPr>
              <w:t>法定代表人授权书，法定代表人资格证明书和身份证复印件</w:t>
            </w:r>
          </w:p>
        </w:tc>
        <w:tc>
          <w:tcPr>
            <w:tcW w:w="1002" w:type="dxa"/>
            <w:vAlign w:val="center"/>
          </w:tcPr>
          <w:p>
            <w:pPr>
              <w:spacing w:before="0" w:after="0" w:afterAutospacing="0"/>
              <w:ind w:left="0" w:right="0" w:firstLine="0"/>
              <w:rPr>
                <w:rFonts w:ascii="宋体" w:hAnsi="宋体"/>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63" w:hRule="atLeast"/>
          <w:jc w:val="center"/>
        </w:trPr>
        <w:tc>
          <w:tcPr>
            <w:tcW w:w="831" w:type="dxa"/>
            <w:vAlign w:val="center"/>
          </w:tcPr>
          <w:p>
            <w:pPr>
              <w:spacing w:before="0" w:after="0" w:afterAutospacing="0"/>
              <w:ind w:left="0" w:right="0" w:firstLine="0"/>
              <w:jc w:val="center"/>
              <w:rPr>
                <w:rFonts w:ascii="宋体" w:hAnsi="宋体"/>
                <w:highlight w:val="none"/>
              </w:rPr>
            </w:pPr>
            <w:r>
              <w:rPr>
                <w:rFonts w:ascii="宋体" w:hAnsi="宋体"/>
                <w:highlight w:val="none"/>
              </w:rPr>
              <w:t>2</w:t>
            </w:r>
          </w:p>
        </w:tc>
        <w:tc>
          <w:tcPr>
            <w:tcW w:w="1215" w:type="dxa"/>
            <w:vAlign w:val="center"/>
          </w:tcPr>
          <w:p>
            <w:pPr>
              <w:spacing w:before="0" w:after="0" w:afterAutospacing="0"/>
              <w:ind w:left="0" w:right="0" w:firstLine="0"/>
              <w:rPr>
                <w:rFonts w:ascii="宋体" w:hAnsi="宋体"/>
                <w:highlight w:val="none"/>
              </w:rPr>
            </w:pPr>
            <w:r>
              <w:rPr>
                <w:rFonts w:hint="eastAsia" w:ascii="宋体" w:hAnsi="宋体"/>
                <w:highlight w:val="none"/>
              </w:rPr>
              <w:t>投标人资格</w:t>
            </w:r>
          </w:p>
        </w:tc>
        <w:tc>
          <w:tcPr>
            <w:tcW w:w="3860" w:type="dxa"/>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1.投标人为中华人民共和国境内依法设立的法人或其他组织（若以分公司名义参与投标，必须出具总公司授权参与的证明）。</w:t>
            </w:r>
            <w:r>
              <w:rPr>
                <w:rFonts w:hint="eastAsia" w:ascii="宋体" w:hAnsi="宋体"/>
                <w:b/>
                <w:highlight w:val="none"/>
              </w:rPr>
              <w:t>营业执照经营范围至少包括下列范围之一：①食品，②粮油制品，③奶制品等类似范围。</w:t>
            </w:r>
          </w:p>
          <w:p>
            <w:pPr>
              <w:spacing w:before="0" w:after="0" w:afterAutospacing="0" w:line="276" w:lineRule="auto"/>
              <w:ind w:left="0" w:right="0" w:firstLine="0"/>
              <w:rPr>
                <w:rFonts w:ascii="宋体" w:hAnsi="宋体"/>
                <w:highlight w:val="none"/>
              </w:rPr>
            </w:pPr>
            <w:r>
              <w:rPr>
                <w:rFonts w:hint="eastAsia" w:ascii="宋体" w:hAnsi="宋体"/>
                <w:highlight w:val="none"/>
              </w:rPr>
              <w:t>2.</w:t>
            </w:r>
            <w:r>
              <w:rPr>
                <w:rFonts w:hint="eastAsia" w:ascii="宋体" w:hAnsi="宋体"/>
                <w:b/>
                <w:highlight w:val="none"/>
              </w:rPr>
              <w:t>投标人须具有有效的《食品经营许可证》（如《食品经营许可证》为下属门店或机构的，则由投标人出具相关证明）或仅销售预包装食品经营者备案等类似证明材料。</w:t>
            </w:r>
          </w:p>
        </w:tc>
        <w:tc>
          <w:tcPr>
            <w:tcW w:w="2206" w:type="dxa"/>
            <w:gridSpan w:val="2"/>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营业执照副本或事业单位法人证书和食品经营许可证或仅销售预包装食品经营者备案等类似证明材料。</w:t>
            </w:r>
          </w:p>
        </w:tc>
        <w:tc>
          <w:tcPr>
            <w:tcW w:w="1002" w:type="dxa"/>
            <w:vAlign w:val="center"/>
          </w:tcPr>
          <w:p>
            <w:pPr>
              <w:spacing w:before="0" w:after="0" w:afterAutospacing="0"/>
              <w:ind w:left="0" w:right="0" w:firstLine="0"/>
              <w:rPr>
                <w:rFonts w:ascii="宋体" w:hAnsi="宋体"/>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831" w:type="dxa"/>
            <w:vAlign w:val="center"/>
          </w:tcPr>
          <w:p>
            <w:pPr>
              <w:spacing w:before="0" w:after="0" w:afterAutospacing="0"/>
              <w:ind w:left="0" w:right="0" w:firstLine="0"/>
              <w:jc w:val="center"/>
              <w:rPr>
                <w:rFonts w:ascii="宋体" w:hAnsi="宋体"/>
                <w:highlight w:val="none"/>
              </w:rPr>
            </w:pPr>
            <w:r>
              <w:rPr>
                <w:rFonts w:hint="eastAsia" w:ascii="宋体" w:hAnsi="宋体"/>
                <w:highlight w:val="none"/>
              </w:rPr>
              <w:t>3</w:t>
            </w:r>
          </w:p>
        </w:tc>
        <w:tc>
          <w:tcPr>
            <w:tcW w:w="1215" w:type="dxa"/>
            <w:vAlign w:val="center"/>
          </w:tcPr>
          <w:p>
            <w:pPr>
              <w:spacing w:before="0" w:after="0" w:afterAutospacing="0"/>
              <w:ind w:left="0" w:right="0" w:firstLine="0"/>
              <w:rPr>
                <w:rFonts w:ascii="宋体" w:hAnsi="宋体"/>
                <w:highlight w:val="none"/>
              </w:rPr>
            </w:pPr>
            <w:r>
              <w:rPr>
                <w:rFonts w:hint="eastAsia" w:ascii="宋体" w:hAnsi="宋体"/>
                <w:highlight w:val="none"/>
              </w:rPr>
              <w:t>承诺书</w:t>
            </w:r>
          </w:p>
        </w:tc>
        <w:tc>
          <w:tcPr>
            <w:tcW w:w="3860" w:type="dxa"/>
            <w:vAlign w:val="center"/>
          </w:tcPr>
          <w:p>
            <w:pPr>
              <w:spacing w:before="0" w:after="0" w:afterAutospacing="0"/>
              <w:ind w:left="0" w:right="0" w:firstLine="0"/>
              <w:rPr>
                <w:rFonts w:ascii="宋体" w:hAnsi="宋体"/>
                <w:highlight w:val="none"/>
              </w:rPr>
            </w:pPr>
            <w:r>
              <w:rPr>
                <w:rFonts w:hint="eastAsia" w:ascii="宋体" w:hAnsi="宋体"/>
                <w:highlight w:val="none"/>
              </w:rPr>
              <w:t>投标人没有处于行政主管部门或业主取消投标资格的处罚期内，且没有被责令停业，财产被接管、破产状态；投标截止日前</w:t>
            </w:r>
            <w:r>
              <w:rPr>
                <w:rFonts w:ascii="宋体" w:hAnsi="宋体"/>
                <w:highlight w:val="none"/>
              </w:rPr>
              <w:t>3</w:t>
            </w:r>
            <w:r>
              <w:rPr>
                <w:rFonts w:hint="eastAsia" w:ascii="宋体" w:hAnsi="宋体"/>
                <w:highlight w:val="none"/>
              </w:rPr>
              <w:t>年内没有骗取中标、严重违约或重大质量安全责任事故的情况。单位负责人为同一人或者存在控股、管理关系的不同单位，未同时参加同一招标项目投标。</w:t>
            </w:r>
          </w:p>
        </w:tc>
        <w:tc>
          <w:tcPr>
            <w:tcW w:w="2206" w:type="dxa"/>
            <w:gridSpan w:val="2"/>
            <w:vAlign w:val="center"/>
          </w:tcPr>
          <w:p>
            <w:pPr>
              <w:spacing w:before="0" w:after="0" w:afterAutospacing="0"/>
              <w:ind w:left="0" w:right="0" w:firstLine="0"/>
              <w:rPr>
                <w:rFonts w:ascii="宋体" w:hAnsi="宋体"/>
                <w:highlight w:val="none"/>
              </w:rPr>
            </w:pPr>
            <w:r>
              <w:rPr>
                <w:rFonts w:hint="eastAsia" w:ascii="宋体" w:hAnsi="宋体"/>
                <w:highlight w:val="none"/>
              </w:rPr>
              <w:t>承诺书原件</w:t>
            </w:r>
          </w:p>
        </w:tc>
        <w:tc>
          <w:tcPr>
            <w:tcW w:w="1002" w:type="dxa"/>
            <w:vAlign w:val="center"/>
          </w:tcPr>
          <w:p>
            <w:pPr>
              <w:spacing w:before="0" w:after="0" w:afterAutospacing="0"/>
              <w:ind w:left="0" w:right="0" w:firstLine="0"/>
              <w:rPr>
                <w:rFonts w:ascii="宋体" w:hAnsi="宋体"/>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831" w:type="dxa"/>
            <w:vAlign w:val="center"/>
          </w:tcPr>
          <w:p>
            <w:pPr>
              <w:spacing w:before="0" w:after="0" w:afterAutospacing="0"/>
              <w:ind w:left="0" w:right="0" w:firstLine="0"/>
              <w:jc w:val="center"/>
              <w:rPr>
                <w:rFonts w:ascii="宋体" w:hAnsi="宋体"/>
                <w:highlight w:val="none"/>
              </w:rPr>
            </w:pPr>
            <w:r>
              <w:rPr>
                <w:rFonts w:hint="eastAsia" w:ascii="宋体" w:hAnsi="宋体"/>
                <w:highlight w:val="none"/>
              </w:rPr>
              <w:t>4</w:t>
            </w:r>
          </w:p>
        </w:tc>
        <w:tc>
          <w:tcPr>
            <w:tcW w:w="1215" w:type="dxa"/>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联合体</w:t>
            </w:r>
          </w:p>
        </w:tc>
        <w:tc>
          <w:tcPr>
            <w:tcW w:w="3883" w:type="dxa"/>
            <w:gridSpan w:val="2"/>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投标人非联合体投标</w:t>
            </w:r>
          </w:p>
        </w:tc>
        <w:tc>
          <w:tcPr>
            <w:tcW w:w="2183" w:type="dxa"/>
            <w:vAlign w:val="center"/>
          </w:tcPr>
          <w:p>
            <w:pPr>
              <w:spacing w:before="0" w:after="0" w:afterAutospacing="0" w:line="276" w:lineRule="auto"/>
              <w:ind w:left="0" w:right="0" w:firstLine="0"/>
              <w:rPr>
                <w:rFonts w:ascii="宋体" w:hAnsi="宋体"/>
                <w:highlight w:val="none"/>
              </w:rPr>
            </w:pPr>
            <w:r>
              <w:rPr>
                <w:rFonts w:hint="eastAsia" w:ascii="宋体" w:hAnsi="宋体"/>
                <w:highlight w:val="none"/>
              </w:rPr>
              <w:t>本项目不接受联合体投标</w:t>
            </w:r>
          </w:p>
        </w:tc>
        <w:tc>
          <w:tcPr>
            <w:tcW w:w="1002" w:type="dxa"/>
            <w:vAlign w:val="center"/>
          </w:tcPr>
          <w:p>
            <w:pPr>
              <w:spacing w:before="0" w:after="0" w:afterAutospacing="0"/>
              <w:ind w:left="0" w:right="0" w:firstLine="0"/>
              <w:rPr>
                <w:rFonts w:ascii="宋体" w:hAnsi="宋体"/>
                <w:highlight w:val="none"/>
              </w:rPr>
            </w:pPr>
          </w:p>
        </w:tc>
      </w:tr>
    </w:tbl>
    <w:p>
      <w:pPr>
        <w:snapToGrid w:val="0"/>
        <w:spacing w:before="0" w:after="0" w:afterAutospacing="0"/>
        <w:ind w:left="0" w:right="0" w:firstLine="0"/>
        <w:rPr>
          <w:rFonts w:ascii="宋体" w:hAnsi="宋体"/>
          <w:b/>
          <w:highlight w:val="none"/>
        </w:rPr>
      </w:pPr>
    </w:p>
    <w:p>
      <w:pPr>
        <w:snapToGrid w:val="0"/>
        <w:spacing w:before="0" w:after="0" w:afterAutospacing="0"/>
        <w:ind w:left="0" w:right="0" w:firstLine="0"/>
        <w:rPr>
          <w:rFonts w:ascii="宋体" w:hAnsi="宋体"/>
          <w:b/>
          <w:highlight w:val="none"/>
        </w:rPr>
      </w:pPr>
      <w:r>
        <w:rPr>
          <w:rFonts w:hint="eastAsia" w:ascii="宋体" w:hAnsi="宋体"/>
          <w:b/>
          <w:highlight w:val="none"/>
        </w:rPr>
        <w:t>注：1.以上所有证明资料原件备查。</w:t>
      </w:r>
    </w:p>
    <w:p>
      <w:pPr>
        <w:numPr>
          <w:ilvl w:val="0"/>
          <w:numId w:val="4"/>
        </w:numPr>
        <w:snapToGrid w:val="0"/>
        <w:spacing w:before="0" w:after="0" w:afterAutospacing="0"/>
        <w:ind w:left="0" w:right="0" w:firstLine="0"/>
        <w:jc w:val="left"/>
        <w:rPr>
          <w:highlight w:val="none"/>
        </w:rPr>
      </w:pPr>
      <w:r>
        <w:rPr>
          <w:rFonts w:hAnsi="宋体"/>
          <w:b/>
          <w:bCs/>
          <w:highlight w:val="none"/>
        </w:rPr>
        <w:t>评审结果填写合格打</w:t>
      </w:r>
      <w:r>
        <w:rPr>
          <w:b/>
          <w:bCs/>
          <w:highlight w:val="none"/>
        </w:rPr>
        <w:t>√</w:t>
      </w:r>
      <w:r>
        <w:rPr>
          <w:rFonts w:hAnsi="宋体"/>
          <w:b/>
          <w:bCs/>
          <w:highlight w:val="none"/>
        </w:rPr>
        <w:t>，不合格打</w:t>
      </w:r>
      <w:r>
        <w:rPr>
          <w:b/>
          <w:bCs/>
          <w:highlight w:val="none"/>
        </w:rPr>
        <w:t>×</w:t>
      </w:r>
      <w:r>
        <w:rPr>
          <w:rFonts w:hAnsi="宋体"/>
          <w:b/>
          <w:bCs/>
          <w:highlight w:val="none"/>
        </w:rPr>
        <w:t>，凡评审结果有一项不合格者，结论为不通过。</w:t>
      </w:r>
      <w:r>
        <w:rPr>
          <w:rFonts w:hint="eastAsia" w:ascii="宋体" w:hAnsi="宋体"/>
          <w:b/>
          <w:bCs/>
          <w:highlight w:val="none"/>
        </w:rPr>
        <w:t>投</w:t>
      </w:r>
      <w:r>
        <w:rPr>
          <w:rFonts w:hint="eastAsia" w:ascii="宋体" w:hAnsi="宋体"/>
          <w:b/>
          <w:highlight w:val="none"/>
        </w:rPr>
        <w:t>标人如未通过上述资格审查，则作投标被否决处理并不得进入下一阶段评审。</w:t>
      </w:r>
    </w:p>
    <w:p>
      <w:pPr>
        <w:pStyle w:val="13"/>
        <w:numPr>
          <w:ilvl w:val="255"/>
          <w:numId w:val="0"/>
        </w:numPr>
        <w:rPr>
          <w:highlight w:val="none"/>
        </w:rPr>
      </w:pPr>
    </w:p>
    <w:p>
      <w:pPr>
        <w:spacing w:before="0" w:after="0" w:afterAutospacing="0"/>
        <w:ind w:left="710" w:right="0" w:hanging="709" w:hangingChars="338"/>
        <w:outlineLvl w:val="1"/>
        <w:rPr>
          <w:rFonts w:hAnsi="宋体"/>
          <w:b/>
          <w:sz w:val="24"/>
          <w:szCs w:val="24"/>
          <w:highlight w:val="none"/>
        </w:rPr>
      </w:pPr>
      <w:r>
        <w:rPr>
          <w:rFonts w:ascii="宋体" w:hAnsi="宋体"/>
          <w:highlight w:val="none"/>
        </w:rPr>
        <w:br w:type="page"/>
      </w:r>
      <w:bookmarkStart w:id="1074" w:name="_Toc29064"/>
      <w:bookmarkStart w:id="1075" w:name="_Toc28610"/>
      <w:bookmarkStart w:id="1076" w:name="_Toc5970"/>
      <w:bookmarkStart w:id="1077" w:name="_Toc14412"/>
      <w:bookmarkStart w:id="1078" w:name="_Toc6843"/>
      <w:bookmarkStart w:id="1079" w:name="_Toc1732"/>
      <w:bookmarkStart w:id="1080" w:name="_Toc27791"/>
      <w:bookmarkStart w:id="1081" w:name="_Toc27961"/>
      <w:bookmarkStart w:id="1082" w:name="_Toc9867"/>
      <w:bookmarkStart w:id="1083" w:name="_Toc26702"/>
      <w:r>
        <w:rPr>
          <w:rFonts w:hAnsi="宋体"/>
          <w:b/>
          <w:sz w:val="24"/>
          <w:szCs w:val="24"/>
          <w:highlight w:val="none"/>
        </w:rPr>
        <w:t>附表二</w:t>
      </w:r>
      <w:r>
        <w:rPr>
          <w:rFonts w:hint="eastAsia" w:hAnsi="宋体"/>
          <w:b/>
          <w:sz w:val="24"/>
          <w:szCs w:val="24"/>
          <w:highlight w:val="none"/>
        </w:rPr>
        <w:t xml:space="preserve"> </w:t>
      </w:r>
      <w:r>
        <w:rPr>
          <w:rFonts w:hAnsi="宋体"/>
          <w:b/>
          <w:sz w:val="24"/>
          <w:szCs w:val="24"/>
          <w:highlight w:val="none"/>
        </w:rPr>
        <w:t>初步评审表</w:t>
      </w:r>
      <w:bookmarkEnd w:id="1074"/>
      <w:bookmarkEnd w:id="1075"/>
      <w:bookmarkEnd w:id="1076"/>
      <w:bookmarkEnd w:id="1077"/>
      <w:bookmarkEnd w:id="1078"/>
      <w:bookmarkEnd w:id="1079"/>
      <w:bookmarkEnd w:id="1080"/>
      <w:bookmarkEnd w:id="1081"/>
      <w:bookmarkEnd w:id="1082"/>
      <w:bookmarkEnd w:id="1083"/>
    </w:p>
    <w:p>
      <w:pPr>
        <w:spacing w:before="0"/>
        <w:ind w:right="0" w:firstLine="0"/>
        <w:jc w:val="center"/>
        <w:rPr>
          <w:b/>
          <w:sz w:val="24"/>
          <w:szCs w:val="24"/>
          <w:highlight w:val="none"/>
        </w:rPr>
      </w:pPr>
      <w:r>
        <w:rPr>
          <w:rFonts w:hint="eastAsia" w:hAnsi="宋体"/>
          <w:b/>
          <w:sz w:val="24"/>
          <w:szCs w:val="24"/>
          <w:highlight w:val="none"/>
        </w:rPr>
        <w:t>经济初步</w:t>
      </w:r>
      <w:r>
        <w:rPr>
          <w:rFonts w:hAnsi="宋体"/>
          <w:b/>
          <w:sz w:val="24"/>
          <w:szCs w:val="24"/>
          <w:highlight w:val="none"/>
        </w:rPr>
        <w:t>评审表</w:t>
      </w:r>
    </w:p>
    <w:tbl>
      <w:tblPr>
        <w:tblStyle w:val="27"/>
        <w:tblW w:w="882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81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highlight w:val="none"/>
              </w:rPr>
            </w:pPr>
            <w:r>
              <w:rPr>
                <w:highlight w:val="none"/>
              </w:rPr>
              <w:t>序号</w:t>
            </w:r>
          </w:p>
        </w:tc>
        <w:tc>
          <w:tcPr>
            <w:tcW w:w="8150" w:type="dxa"/>
            <w:tcBorders>
              <w:top w:val="single" w:color="auto" w:sz="12" w:space="0"/>
            </w:tcBorders>
            <w:vAlign w:val="center"/>
          </w:tcPr>
          <w:p>
            <w:pPr>
              <w:ind w:left="0" w:firstLine="0"/>
              <w:jc w:val="center"/>
              <w:rPr>
                <w:highlight w:val="none"/>
              </w:rPr>
            </w:pPr>
            <w:r>
              <w:rPr>
                <w:rFonts w:hint="eastAsia"/>
                <w:highlight w:val="none"/>
              </w:rPr>
              <w:t>评审因素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highlight w:val="none"/>
              </w:rPr>
            </w:pPr>
            <w:r>
              <w:rPr>
                <w:highlight w:val="none"/>
              </w:rPr>
              <w:t>1</w:t>
            </w:r>
          </w:p>
        </w:tc>
        <w:tc>
          <w:tcPr>
            <w:tcW w:w="8150" w:type="dxa"/>
            <w:vAlign w:val="center"/>
          </w:tcPr>
          <w:p>
            <w:pPr>
              <w:ind w:left="0" w:firstLine="0"/>
              <w:rPr>
                <w:highlight w:val="none"/>
              </w:rPr>
            </w:pPr>
            <w:r>
              <w:rPr>
                <w:snapToGrid w:val="0"/>
                <w:highlight w:val="none"/>
              </w:rPr>
              <w:t>投标文件按规定签署</w:t>
            </w:r>
            <w:r>
              <w:rPr>
                <w:rFonts w:hint="eastAsia"/>
                <w:snapToGrid w:val="0"/>
                <w:highlight w:val="none"/>
              </w:rPr>
              <w:t>和</w:t>
            </w:r>
            <w:r>
              <w:rPr>
                <w:snapToGrid w:val="0"/>
                <w:highlight w:val="none"/>
              </w:rPr>
              <w:t>盖章</w:t>
            </w:r>
            <w:r>
              <w:rPr>
                <w:rFonts w:hint="eastAsia"/>
                <w:snapToGrid w:val="0"/>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highlight w:val="none"/>
              </w:rPr>
            </w:pPr>
            <w:r>
              <w:rPr>
                <w:highlight w:val="none"/>
              </w:rPr>
              <w:t>2</w:t>
            </w:r>
          </w:p>
        </w:tc>
        <w:tc>
          <w:tcPr>
            <w:tcW w:w="8150" w:type="dxa"/>
            <w:vAlign w:val="center"/>
          </w:tcPr>
          <w:p>
            <w:pPr>
              <w:ind w:left="0" w:firstLine="0"/>
              <w:rPr>
                <w:highlight w:val="none"/>
              </w:rPr>
            </w:pPr>
            <w:r>
              <w:rPr>
                <w:snapToGrid w:val="0"/>
                <w:highlight w:val="none"/>
              </w:rPr>
              <w:t>投标文件按规定的格式填写，内容</w:t>
            </w:r>
            <w:r>
              <w:rPr>
                <w:rFonts w:hint="eastAsia"/>
                <w:snapToGrid w:val="0"/>
                <w:highlight w:val="none"/>
              </w:rPr>
              <w:t>齐</w:t>
            </w:r>
            <w:r>
              <w:rPr>
                <w:snapToGrid w:val="0"/>
                <w:highlight w:val="none"/>
              </w:rPr>
              <w:t>全；</w:t>
            </w:r>
            <w:r>
              <w:rPr>
                <w:rFonts w:hint="eastAsia"/>
                <w:snapToGrid w:val="0"/>
                <w:highlight w:val="none"/>
              </w:rPr>
              <w:t>投标函中没有关键字迹模糊、无法辨认或含义不明确的（应按照招标文件规定第五章投标文件格式填写）。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highlight w:val="none"/>
              </w:rPr>
            </w:pPr>
            <w:r>
              <w:rPr>
                <w:highlight w:val="none"/>
              </w:rPr>
              <w:t>3</w:t>
            </w:r>
          </w:p>
        </w:tc>
        <w:tc>
          <w:tcPr>
            <w:tcW w:w="8150" w:type="dxa"/>
            <w:vAlign w:val="center"/>
          </w:tcPr>
          <w:p>
            <w:pPr>
              <w:ind w:left="0" w:firstLine="0"/>
              <w:rPr>
                <w:highlight w:val="none"/>
              </w:rPr>
            </w:pPr>
            <w:r>
              <w:rPr>
                <w:snapToGrid w:val="0"/>
                <w:highlight w:val="none"/>
              </w:rPr>
              <w:t>投标有效期</w:t>
            </w:r>
            <w:r>
              <w:rPr>
                <w:rFonts w:hint="eastAsia"/>
                <w:snapToGrid w:val="0"/>
                <w:highlight w:val="none"/>
              </w:rPr>
              <w:t>满足招标文件要求。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highlight w:val="none"/>
              </w:rPr>
            </w:pPr>
            <w:r>
              <w:rPr>
                <w:rFonts w:ascii="宋体" w:hAnsi="宋体"/>
                <w:highlight w:val="none"/>
              </w:rPr>
              <w:t>4</w:t>
            </w:r>
          </w:p>
        </w:tc>
        <w:tc>
          <w:tcPr>
            <w:tcW w:w="8150" w:type="dxa"/>
            <w:vAlign w:val="center"/>
          </w:tcPr>
          <w:p>
            <w:pPr>
              <w:ind w:left="0" w:firstLine="0"/>
              <w:rPr>
                <w:snapToGrid w:val="0"/>
                <w:highlight w:val="none"/>
              </w:rPr>
            </w:pPr>
            <w:r>
              <w:rPr>
                <w:snapToGrid w:val="0"/>
                <w:highlight w:val="none"/>
              </w:rPr>
              <w:t>投标报价</w:t>
            </w:r>
            <w:r>
              <w:rPr>
                <w:rFonts w:hint="eastAsia"/>
                <w:snapToGrid w:val="0"/>
                <w:highlight w:val="none"/>
              </w:rPr>
              <w:t>未</w:t>
            </w:r>
            <w:r>
              <w:rPr>
                <w:snapToGrid w:val="0"/>
                <w:highlight w:val="none"/>
              </w:rPr>
              <w:t>超过招标</w:t>
            </w:r>
            <w:r>
              <w:rPr>
                <w:rFonts w:hint="eastAsia"/>
                <w:snapToGrid w:val="0"/>
                <w:highlight w:val="none"/>
              </w:rPr>
              <w:t>上限控制价或分项报价未超过分项上限控制价</w:t>
            </w:r>
            <w:r>
              <w:rPr>
                <w:snapToGrid w:val="0"/>
                <w:highlight w:val="none"/>
              </w:rPr>
              <w:t>的</w:t>
            </w:r>
            <w:r>
              <w:rPr>
                <w:rFonts w:hint="eastAsia"/>
                <w:snapToGrid w:val="0"/>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highlight w:val="none"/>
              </w:rPr>
            </w:pPr>
            <w:r>
              <w:rPr>
                <w:rFonts w:ascii="宋体" w:hAnsi="宋体"/>
                <w:highlight w:val="none"/>
              </w:rPr>
              <w:t>5</w:t>
            </w:r>
          </w:p>
        </w:tc>
        <w:tc>
          <w:tcPr>
            <w:tcW w:w="8150" w:type="dxa"/>
            <w:vAlign w:val="center"/>
          </w:tcPr>
          <w:p>
            <w:pPr>
              <w:ind w:left="0" w:firstLine="0"/>
              <w:rPr>
                <w:highlight w:val="none"/>
              </w:rPr>
            </w:pPr>
            <w:r>
              <w:rPr>
                <w:rFonts w:hint="eastAsia"/>
                <w:highlight w:val="none"/>
              </w:rPr>
              <w:t>投标人每个种类只能选一个品牌或厂家竞标，投标货品必须是用户需求书清单所列对应的品牌、规格参数，清单指定外的货品投标无效。如投标人投标的货物为招标人《用户需求书》外的货物及品牌或厂家的，视为无效报价，并作为废标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highlight w:val="none"/>
              </w:rPr>
            </w:pPr>
            <w:r>
              <w:rPr>
                <w:rFonts w:ascii="宋体" w:hAnsi="宋体"/>
                <w:highlight w:val="none"/>
              </w:rPr>
              <w:t>6</w:t>
            </w:r>
          </w:p>
        </w:tc>
        <w:tc>
          <w:tcPr>
            <w:tcW w:w="8150" w:type="dxa"/>
            <w:vAlign w:val="center"/>
          </w:tcPr>
          <w:p>
            <w:pPr>
              <w:ind w:left="0" w:firstLine="0"/>
              <w:rPr>
                <w:highlight w:val="none"/>
              </w:rPr>
            </w:pPr>
            <w:r>
              <w:rPr>
                <w:snapToGrid w:val="0"/>
                <w:highlight w:val="none"/>
              </w:rPr>
              <w:t>投标报价固定</w:t>
            </w:r>
            <w:r>
              <w:rPr>
                <w:rFonts w:hint="eastAsia"/>
                <w:snapToGrid w:val="0"/>
                <w:highlight w:val="none"/>
              </w:rPr>
              <w:t>，</w:t>
            </w:r>
            <w:r>
              <w:rPr>
                <w:snapToGrid w:val="0"/>
                <w:highlight w:val="none"/>
              </w:rPr>
              <w:t>或同一方案</w:t>
            </w:r>
            <w:r>
              <w:rPr>
                <w:rFonts w:hint="eastAsia"/>
                <w:snapToGrid w:val="0"/>
                <w:highlight w:val="none"/>
              </w:rPr>
              <w:t>无</w:t>
            </w:r>
            <w:r>
              <w:rPr>
                <w:snapToGrid w:val="0"/>
                <w:highlight w:val="none"/>
              </w:rPr>
              <w:t>选择性报价</w:t>
            </w:r>
            <w:r>
              <w:rPr>
                <w:rFonts w:hint="eastAsia"/>
                <w:snapToGrid w:val="0"/>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highlight w:val="none"/>
              </w:rPr>
            </w:pPr>
            <w:r>
              <w:rPr>
                <w:rFonts w:ascii="宋体" w:hAnsi="宋体"/>
                <w:highlight w:val="none"/>
              </w:rPr>
              <w:t>7</w:t>
            </w:r>
          </w:p>
        </w:tc>
        <w:tc>
          <w:tcPr>
            <w:tcW w:w="8150" w:type="dxa"/>
            <w:vAlign w:val="center"/>
          </w:tcPr>
          <w:p>
            <w:pPr>
              <w:ind w:left="0" w:firstLine="0"/>
              <w:rPr>
                <w:highlight w:val="none"/>
              </w:rPr>
            </w:pPr>
            <w:r>
              <w:rPr>
                <w:rFonts w:hint="eastAsia"/>
                <w:snapToGrid w:val="0"/>
                <w:highlight w:val="none"/>
              </w:rPr>
              <w:t>供货期满足招标文件要求。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highlight w:val="none"/>
              </w:rPr>
            </w:pPr>
            <w:r>
              <w:rPr>
                <w:rFonts w:ascii="宋体" w:hAnsi="宋体"/>
                <w:highlight w:val="none"/>
              </w:rPr>
              <w:t>8</w:t>
            </w:r>
          </w:p>
        </w:tc>
        <w:tc>
          <w:tcPr>
            <w:tcW w:w="8150" w:type="dxa"/>
            <w:vAlign w:val="center"/>
          </w:tcPr>
          <w:p>
            <w:pPr>
              <w:ind w:left="0" w:firstLine="0"/>
              <w:rPr>
                <w:highlight w:val="none"/>
              </w:rPr>
            </w:pPr>
            <w:r>
              <w:rPr>
                <w:rFonts w:hint="eastAsia"/>
                <w:highlight w:val="none"/>
              </w:rPr>
              <w:t>投标报价清单无缺、漏项。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highlight w:val="none"/>
              </w:rPr>
            </w:pPr>
            <w:r>
              <w:rPr>
                <w:rFonts w:ascii="宋体" w:hAnsi="宋体"/>
                <w:highlight w:val="none"/>
              </w:rPr>
              <w:t>9</w:t>
            </w:r>
          </w:p>
        </w:tc>
        <w:tc>
          <w:tcPr>
            <w:tcW w:w="8150" w:type="dxa"/>
            <w:vAlign w:val="center"/>
          </w:tcPr>
          <w:p>
            <w:pPr>
              <w:ind w:left="0" w:firstLine="0"/>
              <w:rPr>
                <w:highlight w:val="none"/>
              </w:rPr>
            </w:pPr>
            <w:r>
              <w:rPr>
                <w:rFonts w:hint="eastAsia"/>
                <w:highlight w:val="none"/>
              </w:rPr>
              <w:t>无</w:t>
            </w:r>
            <w:r>
              <w:rPr>
                <w:highlight w:val="none"/>
              </w:rPr>
              <w:t>招标文件、法律、法规规定的其他</w:t>
            </w:r>
            <w:r>
              <w:rPr>
                <w:rFonts w:hint="eastAsia"/>
                <w:highlight w:val="none"/>
              </w:rPr>
              <w:t>否决投标情况。</w:t>
            </w:r>
          </w:p>
        </w:tc>
      </w:tr>
    </w:tbl>
    <w:p>
      <w:pPr>
        <w:spacing w:before="0" w:after="0" w:afterAutospacing="0"/>
        <w:ind w:right="0" w:firstLine="0"/>
        <w:rPr>
          <w:rFonts w:hAnsi="宋体"/>
          <w:highlight w:val="none"/>
        </w:rPr>
      </w:pPr>
    </w:p>
    <w:p>
      <w:pPr>
        <w:spacing w:before="0" w:after="0" w:afterAutospacing="0"/>
        <w:ind w:right="0" w:firstLine="0"/>
        <w:rPr>
          <w:rFonts w:hAnsi="宋体"/>
          <w:highlight w:val="none"/>
        </w:rPr>
      </w:pPr>
      <w:r>
        <w:rPr>
          <w:rFonts w:hAnsi="宋体"/>
          <w:highlight w:val="none"/>
        </w:rPr>
        <w:t>注：</w:t>
      </w:r>
      <w:r>
        <w:rPr>
          <w:rFonts w:hint="eastAsia" w:hAnsi="宋体"/>
          <w:highlight w:val="none"/>
        </w:rPr>
        <w:t>1.</w:t>
      </w:r>
      <w:r>
        <w:rPr>
          <w:rFonts w:hAnsi="宋体"/>
          <w:highlight w:val="none"/>
        </w:rPr>
        <w:t>评审结果填写合格打</w:t>
      </w:r>
      <w:r>
        <w:rPr>
          <w:highlight w:val="none"/>
        </w:rPr>
        <w:t>√</w:t>
      </w:r>
      <w:r>
        <w:rPr>
          <w:rFonts w:hAnsi="宋体"/>
          <w:highlight w:val="none"/>
        </w:rPr>
        <w:t>，不合格打</w:t>
      </w:r>
      <w:r>
        <w:rPr>
          <w:highlight w:val="none"/>
        </w:rPr>
        <w:t>×</w:t>
      </w:r>
      <w:r>
        <w:rPr>
          <w:rFonts w:hAnsi="宋体"/>
          <w:highlight w:val="none"/>
        </w:rPr>
        <w:t>，凡评审结果有一项不合格者，结论为不通过。本表内容由经济评审组评审使用。</w:t>
      </w:r>
    </w:p>
    <w:p>
      <w:pPr>
        <w:spacing w:before="0" w:after="0" w:afterAutospacing="0"/>
        <w:ind w:right="0" w:firstLine="200"/>
        <w:rPr>
          <w:rFonts w:hAnsi="宋体"/>
          <w:highlight w:val="none"/>
        </w:rPr>
      </w:pPr>
      <w:r>
        <w:rPr>
          <w:rFonts w:hAnsi="宋体"/>
          <w:highlight w:val="none"/>
        </w:rPr>
        <w:t>2.</w:t>
      </w:r>
      <w:r>
        <w:rPr>
          <w:rFonts w:hint="eastAsia" w:hAnsi="宋体"/>
          <w:highlight w:val="none"/>
        </w:rPr>
        <w:t>“缺、漏项”是指投标人未按照招标人提供的清单项进行报价，投标人的报价清单中缺少某项清单或报价。</w:t>
      </w:r>
    </w:p>
    <w:p>
      <w:pPr>
        <w:spacing w:before="0"/>
        <w:ind w:right="0" w:firstLine="0"/>
        <w:rPr>
          <w:sz w:val="24"/>
          <w:szCs w:val="24"/>
          <w:highlight w:val="none"/>
        </w:rPr>
      </w:pPr>
    </w:p>
    <w:p>
      <w:pPr>
        <w:spacing w:before="0"/>
        <w:ind w:right="0" w:firstLine="0"/>
        <w:jc w:val="center"/>
        <w:rPr>
          <w:rFonts w:hAnsi="宋体"/>
          <w:b/>
          <w:sz w:val="24"/>
          <w:szCs w:val="24"/>
          <w:highlight w:val="none"/>
        </w:rPr>
      </w:pPr>
    </w:p>
    <w:p>
      <w:pPr>
        <w:spacing w:before="0"/>
        <w:ind w:right="0" w:firstLine="0"/>
        <w:jc w:val="center"/>
        <w:rPr>
          <w:rFonts w:hAnsi="宋体"/>
          <w:b/>
          <w:sz w:val="24"/>
          <w:szCs w:val="24"/>
          <w:highlight w:val="none"/>
        </w:rPr>
      </w:pPr>
      <w:r>
        <w:rPr>
          <w:highlight w:val="none"/>
        </w:rPr>
        <w:br w:type="page"/>
      </w:r>
    </w:p>
    <w:p>
      <w:pPr>
        <w:spacing w:before="0"/>
        <w:ind w:right="0" w:firstLine="0"/>
        <w:jc w:val="center"/>
        <w:rPr>
          <w:b/>
          <w:sz w:val="24"/>
          <w:szCs w:val="24"/>
          <w:highlight w:val="none"/>
        </w:rPr>
      </w:pPr>
      <w:r>
        <w:rPr>
          <w:rFonts w:hint="eastAsia" w:hAnsi="宋体"/>
          <w:b/>
          <w:sz w:val="24"/>
          <w:szCs w:val="24"/>
          <w:highlight w:val="none"/>
        </w:rPr>
        <w:t>技术初步</w:t>
      </w:r>
      <w:r>
        <w:rPr>
          <w:rFonts w:hAnsi="宋体"/>
          <w:b/>
          <w:sz w:val="24"/>
          <w:szCs w:val="24"/>
          <w:highlight w:val="none"/>
        </w:rPr>
        <w:t>评审表</w:t>
      </w:r>
    </w:p>
    <w:tbl>
      <w:tblPr>
        <w:tblStyle w:val="27"/>
        <w:tblW w:w="933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862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6" w:hRule="atLeast"/>
          <w:tblHeader/>
          <w:jc w:val="center"/>
        </w:trPr>
        <w:tc>
          <w:tcPr>
            <w:tcW w:w="710" w:type="dxa"/>
            <w:tcBorders>
              <w:top w:val="single" w:color="auto" w:sz="12" w:space="0"/>
            </w:tcBorders>
            <w:vAlign w:val="center"/>
          </w:tcPr>
          <w:p>
            <w:pPr>
              <w:ind w:left="0" w:firstLine="0"/>
              <w:jc w:val="center"/>
              <w:rPr>
                <w:highlight w:val="none"/>
              </w:rPr>
            </w:pPr>
            <w:r>
              <w:rPr>
                <w:rFonts w:hint="eastAsia"/>
                <w:highlight w:val="none"/>
              </w:rPr>
              <w:t>序号</w:t>
            </w:r>
          </w:p>
        </w:tc>
        <w:tc>
          <w:tcPr>
            <w:tcW w:w="8629" w:type="dxa"/>
            <w:tcBorders>
              <w:top w:val="single" w:color="auto" w:sz="12" w:space="0"/>
            </w:tcBorders>
            <w:vAlign w:val="center"/>
          </w:tcPr>
          <w:p>
            <w:pPr>
              <w:ind w:left="0" w:firstLine="0"/>
              <w:jc w:val="center"/>
              <w:rPr>
                <w:highlight w:val="none"/>
              </w:rPr>
            </w:pPr>
            <w:r>
              <w:rPr>
                <w:rFonts w:hint="eastAsia"/>
                <w:highlight w:val="none"/>
              </w:rPr>
              <w:t>评审因素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36" w:hRule="atLeast"/>
          <w:jc w:val="center"/>
        </w:trPr>
        <w:tc>
          <w:tcPr>
            <w:tcW w:w="710" w:type="dxa"/>
            <w:vAlign w:val="center"/>
          </w:tcPr>
          <w:p>
            <w:pPr>
              <w:ind w:left="0" w:firstLine="0"/>
              <w:jc w:val="center"/>
              <w:rPr>
                <w:highlight w:val="none"/>
              </w:rPr>
            </w:pPr>
            <w:r>
              <w:rPr>
                <w:highlight w:val="none"/>
              </w:rPr>
              <w:t>1</w:t>
            </w:r>
          </w:p>
        </w:tc>
        <w:tc>
          <w:tcPr>
            <w:tcW w:w="8629" w:type="dxa"/>
            <w:vAlign w:val="center"/>
          </w:tcPr>
          <w:p>
            <w:pPr>
              <w:ind w:left="0" w:firstLine="0"/>
              <w:rPr>
                <w:highlight w:val="none"/>
              </w:rPr>
            </w:pPr>
            <w:r>
              <w:rPr>
                <w:highlight w:val="none"/>
              </w:rPr>
              <w:t>投标文件</w:t>
            </w:r>
            <w:r>
              <w:rPr>
                <w:snapToGrid w:val="0"/>
                <w:highlight w:val="none"/>
              </w:rPr>
              <w:t>按规定签署</w:t>
            </w:r>
            <w:r>
              <w:rPr>
                <w:rFonts w:hint="eastAsia"/>
                <w:snapToGrid w:val="0"/>
                <w:highlight w:val="none"/>
              </w:rPr>
              <w:t>和</w:t>
            </w:r>
            <w:r>
              <w:rPr>
                <w:snapToGrid w:val="0"/>
                <w:highlight w:val="none"/>
              </w:rPr>
              <w:t>盖章</w:t>
            </w:r>
            <w:r>
              <w:rPr>
                <w:rFonts w:hint="eastAsia"/>
                <w:snapToGrid w:val="0"/>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43" w:hRule="atLeast"/>
          <w:jc w:val="center"/>
        </w:trPr>
        <w:tc>
          <w:tcPr>
            <w:tcW w:w="710" w:type="dxa"/>
            <w:vAlign w:val="center"/>
          </w:tcPr>
          <w:p>
            <w:pPr>
              <w:ind w:left="0" w:firstLine="0"/>
              <w:jc w:val="center"/>
              <w:rPr>
                <w:highlight w:val="none"/>
              </w:rPr>
            </w:pPr>
            <w:r>
              <w:rPr>
                <w:highlight w:val="none"/>
              </w:rPr>
              <w:t>2</w:t>
            </w:r>
          </w:p>
        </w:tc>
        <w:tc>
          <w:tcPr>
            <w:tcW w:w="8629" w:type="dxa"/>
            <w:vAlign w:val="center"/>
          </w:tcPr>
          <w:p>
            <w:pPr>
              <w:ind w:left="0" w:firstLine="0"/>
              <w:rPr>
                <w:highlight w:val="none"/>
              </w:rPr>
            </w:pPr>
            <w:r>
              <w:rPr>
                <w:rFonts w:hint="eastAsia"/>
                <w:highlight w:val="none"/>
              </w:rPr>
              <w:t>投标文件的实质性内容按照规定的格式填写、内容齐全（应按照招标文件规定第五章节格式填写）。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36" w:hRule="atLeast"/>
          <w:jc w:val="center"/>
        </w:trPr>
        <w:tc>
          <w:tcPr>
            <w:tcW w:w="710" w:type="dxa"/>
            <w:vAlign w:val="center"/>
          </w:tcPr>
          <w:p>
            <w:pPr>
              <w:ind w:left="0" w:firstLine="0"/>
              <w:jc w:val="center"/>
              <w:rPr>
                <w:highlight w:val="none"/>
              </w:rPr>
            </w:pPr>
            <w:r>
              <w:rPr>
                <w:highlight w:val="none"/>
              </w:rPr>
              <w:t>3</w:t>
            </w:r>
          </w:p>
        </w:tc>
        <w:tc>
          <w:tcPr>
            <w:tcW w:w="8629" w:type="dxa"/>
            <w:vAlign w:val="center"/>
          </w:tcPr>
          <w:p>
            <w:pPr>
              <w:ind w:left="0" w:firstLine="0"/>
              <w:rPr>
                <w:highlight w:val="none"/>
              </w:rPr>
            </w:pPr>
            <w:r>
              <w:rPr>
                <w:highlight w:val="none"/>
              </w:rPr>
              <w:t>投标人在资格</w:t>
            </w:r>
            <w:r>
              <w:rPr>
                <w:rFonts w:hint="eastAsia"/>
                <w:highlight w:val="none"/>
              </w:rPr>
              <w:t>审查文件或资信文件</w:t>
            </w:r>
            <w:r>
              <w:rPr>
                <w:highlight w:val="none"/>
              </w:rPr>
              <w:t>或技术</w:t>
            </w:r>
            <w:r>
              <w:rPr>
                <w:rFonts w:hint="eastAsia"/>
                <w:highlight w:val="none"/>
              </w:rPr>
              <w:t>文件</w:t>
            </w:r>
            <w:r>
              <w:rPr>
                <w:highlight w:val="none"/>
              </w:rPr>
              <w:t>中</w:t>
            </w:r>
            <w:r>
              <w:rPr>
                <w:rFonts w:hint="eastAsia"/>
                <w:highlight w:val="none"/>
              </w:rPr>
              <w:t>未</w:t>
            </w:r>
            <w:r>
              <w:rPr>
                <w:highlight w:val="none"/>
              </w:rPr>
              <w:t>透露有关报价的信息</w:t>
            </w:r>
            <w:r>
              <w:rPr>
                <w:rFonts w:hint="eastAsia"/>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36" w:hRule="atLeast"/>
          <w:jc w:val="center"/>
        </w:trPr>
        <w:tc>
          <w:tcPr>
            <w:tcW w:w="710" w:type="dxa"/>
            <w:vAlign w:val="center"/>
          </w:tcPr>
          <w:p>
            <w:pPr>
              <w:ind w:left="0" w:firstLine="0"/>
              <w:jc w:val="center"/>
              <w:rPr>
                <w:highlight w:val="none"/>
              </w:rPr>
            </w:pPr>
            <w:r>
              <w:rPr>
                <w:highlight w:val="none"/>
              </w:rPr>
              <w:t>4</w:t>
            </w:r>
          </w:p>
        </w:tc>
        <w:tc>
          <w:tcPr>
            <w:tcW w:w="8629" w:type="dxa"/>
            <w:vAlign w:val="center"/>
          </w:tcPr>
          <w:p>
            <w:pPr>
              <w:ind w:left="0" w:firstLine="0"/>
              <w:rPr>
                <w:highlight w:val="none"/>
              </w:rPr>
            </w:pPr>
            <w:r>
              <w:rPr>
                <w:rFonts w:hint="eastAsia"/>
                <w:highlight w:val="none"/>
              </w:rPr>
              <w:t>合同条款完全响应。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36" w:hRule="atLeast"/>
          <w:jc w:val="center"/>
        </w:trPr>
        <w:tc>
          <w:tcPr>
            <w:tcW w:w="710" w:type="dxa"/>
            <w:vAlign w:val="center"/>
          </w:tcPr>
          <w:p>
            <w:pPr>
              <w:ind w:left="0" w:firstLine="0"/>
              <w:jc w:val="center"/>
              <w:rPr>
                <w:highlight w:val="none"/>
              </w:rPr>
            </w:pPr>
            <w:r>
              <w:rPr>
                <w:highlight w:val="none"/>
              </w:rPr>
              <w:t>5</w:t>
            </w:r>
          </w:p>
        </w:tc>
        <w:tc>
          <w:tcPr>
            <w:tcW w:w="8629" w:type="dxa"/>
            <w:vAlign w:val="center"/>
          </w:tcPr>
          <w:p>
            <w:pPr>
              <w:rPr>
                <w:highlight w:val="none"/>
              </w:rPr>
            </w:pPr>
            <w:r>
              <w:rPr>
                <w:rFonts w:hint="eastAsia"/>
                <w:highlight w:val="none"/>
              </w:rPr>
              <w:t>满足《用户需求书》要求。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36" w:hRule="atLeast"/>
          <w:jc w:val="center"/>
        </w:trPr>
        <w:tc>
          <w:tcPr>
            <w:tcW w:w="710" w:type="dxa"/>
            <w:vAlign w:val="center"/>
          </w:tcPr>
          <w:p>
            <w:pPr>
              <w:ind w:left="0" w:firstLine="0"/>
              <w:jc w:val="center"/>
              <w:rPr>
                <w:highlight w:val="none"/>
              </w:rPr>
            </w:pPr>
            <w:r>
              <w:rPr>
                <w:rFonts w:hint="eastAsia"/>
                <w:highlight w:val="none"/>
              </w:rPr>
              <w:t>6</w:t>
            </w:r>
          </w:p>
        </w:tc>
        <w:tc>
          <w:tcPr>
            <w:tcW w:w="8629" w:type="dxa"/>
            <w:vAlign w:val="center"/>
          </w:tcPr>
          <w:p>
            <w:pPr>
              <w:ind w:left="0" w:firstLine="0"/>
              <w:rPr>
                <w:highlight w:val="none"/>
              </w:rPr>
            </w:pPr>
            <w:r>
              <w:rPr>
                <w:rFonts w:hint="eastAsia"/>
                <w:highlight w:val="none"/>
              </w:rPr>
              <w:t>技术部分响应表无负偏离的。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66" w:hRule="atLeast"/>
          <w:jc w:val="center"/>
        </w:trPr>
        <w:tc>
          <w:tcPr>
            <w:tcW w:w="710" w:type="dxa"/>
            <w:vAlign w:val="center"/>
          </w:tcPr>
          <w:p>
            <w:pPr>
              <w:ind w:left="0" w:firstLine="0"/>
              <w:jc w:val="center"/>
              <w:rPr>
                <w:highlight w:val="none"/>
              </w:rPr>
            </w:pPr>
            <w:r>
              <w:rPr>
                <w:rFonts w:hint="eastAsia"/>
                <w:highlight w:val="none"/>
              </w:rPr>
              <w:t>7</w:t>
            </w:r>
          </w:p>
        </w:tc>
        <w:tc>
          <w:tcPr>
            <w:tcW w:w="8629" w:type="dxa"/>
            <w:vAlign w:val="center"/>
          </w:tcPr>
          <w:p>
            <w:pPr>
              <w:ind w:left="0" w:firstLine="0"/>
              <w:rPr>
                <w:highlight w:val="none"/>
              </w:rPr>
            </w:pPr>
            <w:r>
              <w:rPr>
                <w:rFonts w:hint="eastAsia"/>
                <w:highlight w:val="none"/>
              </w:rPr>
              <w:t>无招标文件、法律、法规规定的其他否决投标条件。</w:t>
            </w:r>
          </w:p>
        </w:tc>
      </w:tr>
    </w:tbl>
    <w:p>
      <w:pPr>
        <w:spacing w:before="0" w:after="0" w:afterAutospacing="0"/>
        <w:ind w:left="0" w:right="0" w:firstLine="0"/>
        <w:jc w:val="left"/>
        <w:rPr>
          <w:highlight w:val="none"/>
        </w:rPr>
      </w:pPr>
    </w:p>
    <w:p>
      <w:pPr>
        <w:spacing w:before="0" w:after="0" w:afterAutospacing="0"/>
        <w:ind w:left="0" w:right="0" w:firstLine="0"/>
        <w:jc w:val="left"/>
        <w:rPr>
          <w:rFonts w:ascii="宋体" w:hAnsi="宋体"/>
          <w:highlight w:val="none"/>
        </w:rPr>
        <w:sectPr>
          <w:pgSz w:w="11905" w:h="16838"/>
          <w:pgMar w:top="1418" w:right="1418" w:bottom="1418" w:left="1418" w:header="454" w:footer="567" w:gutter="0"/>
          <w:pgNumType w:fmt="decimal"/>
          <w:cols w:space="720" w:num="1"/>
          <w:docGrid w:linePitch="319" w:charSpace="0"/>
        </w:sectPr>
      </w:pPr>
      <w:r>
        <w:rPr>
          <w:rFonts w:hint="eastAsia"/>
          <w:highlight w:val="none"/>
        </w:rPr>
        <w:t>注：评审结果填写合格打√，不合格打</w:t>
      </w:r>
      <w:r>
        <w:rPr>
          <w:highlight w:val="none"/>
        </w:rPr>
        <w:t>×</w:t>
      </w:r>
      <w:r>
        <w:rPr>
          <w:rFonts w:hint="eastAsia"/>
          <w:highlight w:val="none"/>
        </w:rPr>
        <w:t>，凡评审结果有一项不合格者，结论为不通过。本表内容由技术评审组评审使用。</w:t>
      </w:r>
    </w:p>
    <w:p>
      <w:pPr>
        <w:spacing w:before="0" w:after="0" w:afterAutospacing="0"/>
        <w:ind w:left="0" w:right="0" w:firstLine="0"/>
        <w:jc w:val="center"/>
        <w:outlineLvl w:val="1"/>
        <w:rPr>
          <w:b/>
          <w:sz w:val="24"/>
          <w:szCs w:val="24"/>
          <w:highlight w:val="none"/>
        </w:rPr>
      </w:pPr>
      <w:bookmarkStart w:id="1084" w:name="_Toc15905"/>
      <w:bookmarkStart w:id="1085" w:name="_Toc29922"/>
      <w:bookmarkStart w:id="1086" w:name="_Toc26682"/>
      <w:bookmarkStart w:id="1087" w:name="_Toc30684"/>
      <w:bookmarkStart w:id="1088" w:name="_Toc24348"/>
      <w:bookmarkStart w:id="1089" w:name="_Toc4702"/>
      <w:bookmarkStart w:id="1090" w:name="_Toc26902"/>
      <w:bookmarkStart w:id="1091" w:name="_Toc29440"/>
      <w:bookmarkStart w:id="1092" w:name="_Toc24515"/>
      <w:bookmarkStart w:id="1093" w:name="_Toc30110"/>
      <w:r>
        <w:rPr>
          <w:rFonts w:hint="eastAsia"/>
          <w:b/>
          <w:sz w:val="24"/>
          <w:szCs w:val="24"/>
          <w:highlight w:val="none"/>
        </w:rPr>
        <w:t>附表三 资信部分评分表</w:t>
      </w:r>
      <w:bookmarkEnd w:id="1084"/>
      <w:bookmarkEnd w:id="1085"/>
      <w:bookmarkEnd w:id="1086"/>
      <w:bookmarkEnd w:id="1087"/>
      <w:bookmarkEnd w:id="1088"/>
      <w:bookmarkEnd w:id="1089"/>
      <w:bookmarkEnd w:id="1090"/>
      <w:bookmarkEnd w:id="1091"/>
      <w:bookmarkEnd w:id="1092"/>
      <w:bookmarkEnd w:id="1093"/>
    </w:p>
    <w:tbl>
      <w:tblPr>
        <w:tblStyle w:val="27"/>
        <w:tblW w:w="128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
        <w:gridCol w:w="2134"/>
        <w:gridCol w:w="1068"/>
        <w:gridCol w:w="8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842" w:type="dxa"/>
          </w:tcPr>
          <w:p>
            <w:pPr>
              <w:ind w:left="0" w:firstLine="0"/>
              <w:jc w:val="center"/>
              <w:rPr>
                <w:highlight w:val="none"/>
              </w:rPr>
            </w:pPr>
            <w:r>
              <w:rPr>
                <w:rFonts w:hint="eastAsia"/>
                <w:highlight w:val="none"/>
              </w:rPr>
              <w:t>序号</w:t>
            </w:r>
          </w:p>
        </w:tc>
        <w:tc>
          <w:tcPr>
            <w:tcW w:w="2134" w:type="dxa"/>
          </w:tcPr>
          <w:p>
            <w:pPr>
              <w:ind w:left="0" w:firstLine="0"/>
              <w:jc w:val="center"/>
              <w:rPr>
                <w:highlight w:val="none"/>
              </w:rPr>
            </w:pPr>
            <w:r>
              <w:rPr>
                <w:rFonts w:hint="eastAsia"/>
                <w:highlight w:val="none"/>
              </w:rPr>
              <w:t>评审因素</w:t>
            </w:r>
          </w:p>
        </w:tc>
        <w:tc>
          <w:tcPr>
            <w:tcW w:w="1068" w:type="dxa"/>
          </w:tcPr>
          <w:p>
            <w:pPr>
              <w:ind w:left="0" w:firstLine="0"/>
              <w:jc w:val="center"/>
              <w:rPr>
                <w:highlight w:val="none"/>
              </w:rPr>
            </w:pPr>
            <w:r>
              <w:rPr>
                <w:rFonts w:hint="eastAsia"/>
                <w:highlight w:val="none"/>
              </w:rPr>
              <w:t>分值</w:t>
            </w:r>
          </w:p>
        </w:tc>
        <w:tc>
          <w:tcPr>
            <w:tcW w:w="8843" w:type="dxa"/>
          </w:tcPr>
          <w:p>
            <w:pPr>
              <w:ind w:left="0" w:firstLine="0"/>
              <w:jc w:val="center"/>
              <w:rPr>
                <w:highlight w:val="none"/>
              </w:rPr>
            </w:pPr>
            <w:r>
              <w:rPr>
                <w:rFonts w:hint="eastAsia"/>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jc w:val="center"/>
        </w:trPr>
        <w:tc>
          <w:tcPr>
            <w:tcW w:w="842" w:type="dxa"/>
            <w:vAlign w:val="center"/>
          </w:tcPr>
          <w:p>
            <w:pPr>
              <w:spacing w:before="0" w:after="0" w:afterAutospacing="0"/>
              <w:ind w:left="0" w:right="0" w:firstLine="0"/>
              <w:jc w:val="center"/>
              <w:rPr>
                <w:highlight w:val="none"/>
              </w:rPr>
            </w:pPr>
            <w:r>
              <w:rPr>
                <w:rFonts w:hint="eastAsia"/>
                <w:highlight w:val="none"/>
              </w:rPr>
              <w:t>1</w:t>
            </w:r>
          </w:p>
        </w:tc>
        <w:tc>
          <w:tcPr>
            <w:tcW w:w="2134" w:type="dxa"/>
            <w:vAlign w:val="center"/>
          </w:tcPr>
          <w:p>
            <w:pPr>
              <w:spacing w:before="0" w:after="0" w:afterAutospacing="0"/>
              <w:ind w:left="0" w:right="0" w:firstLine="0"/>
              <w:jc w:val="left"/>
              <w:rPr>
                <w:highlight w:val="none"/>
              </w:rPr>
            </w:pPr>
            <w:r>
              <w:rPr>
                <w:rFonts w:hint="eastAsia"/>
                <w:highlight w:val="none"/>
              </w:rPr>
              <w:t>财务状况</w:t>
            </w:r>
          </w:p>
        </w:tc>
        <w:tc>
          <w:tcPr>
            <w:tcW w:w="1068" w:type="dxa"/>
            <w:vAlign w:val="center"/>
          </w:tcPr>
          <w:p>
            <w:pPr>
              <w:spacing w:before="0" w:after="0" w:afterAutospacing="0"/>
              <w:ind w:left="0" w:right="0" w:firstLine="0"/>
              <w:jc w:val="center"/>
              <w:rPr>
                <w:highlight w:val="none"/>
              </w:rPr>
            </w:pPr>
            <w:r>
              <w:rPr>
                <w:rFonts w:hint="eastAsia"/>
                <w:highlight w:val="none"/>
              </w:rPr>
              <w:t>2分</w:t>
            </w:r>
          </w:p>
        </w:tc>
        <w:tc>
          <w:tcPr>
            <w:tcW w:w="8843" w:type="dxa"/>
          </w:tcPr>
          <w:p>
            <w:pPr>
              <w:spacing w:before="0" w:after="0" w:afterAutospacing="0"/>
              <w:ind w:left="0" w:right="0" w:firstLine="0"/>
              <w:rPr>
                <w:highlight w:val="none"/>
              </w:rPr>
            </w:pPr>
            <w:r>
              <w:rPr>
                <w:rFonts w:hint="eastAsia"/>
                <w:highlight w:val="none"/>
              </w:rPr>
              <w:t>投标人提供</w:t>
            </w:r>
            <w:r>
              <w:rPr>
                <w:rFonts w:hint="eastAsia"/>
                <w:highlight w:val="none"/>
                <w:u w:val="single"/>
              </w:rPr>
              <w:t xml:space="preserve"> 2022或2023  </w:t>
            </w:r>
            <w:r>
              <w:rPr>
                <w:rFonts w:hint="eastAsia"/>
                <w:highlight w:val="none"/>
              </w:rPr>
              <w:t>年度财务报告的得1分；投标人提供</w:t>
            </w:r>
            <w:r>
              <w:rPr>
                <w:rFonts w:hint="eastAsia"/>
                <w:highlight w:val="none"/>
                <w:u w:val="single"/>
              </w:rPr>
              <w:t xml:space="preserve">  2022或2023   </w:t>
            </w:r>
            <w:r>
              <w:rPr>
                <w:rFonts w:hint="eastAsia"/>
                <w:highlight w:val="none"/>
              </w:rPr>
              <w:t>年度</w:t>
            </w:r>
            <w:r>
              <w:rPr>
                <w:rFonts w:hint="eastAsia" w:ascii="宋体" w:hAnsi="宋体" w:cs="宋体"/>
                <w:highlight w:val="none"/>
              </w:rPr>
              <w:t>由注册会计师事务所出具</w:t>
            </w:r>
            <w:r>
              <w:rPr>
                <w:rFonts w:hint="eastAsia"/>
                <w:highlight w:val="none"/>
              </w:rPr>
              <w:t>的无保留意见财务审计报告的得2分，未提供不得分。（财务报告</w:t>
            </w:r>
            <w:r>
              <w:rPr>
                <w:rFonts w:hint="eastAsia" w:ascii="宋体" w:hAnsi="宋体" w:cs="宋体"/>
                <w:highlight w:val="none"/>
              </w:rPr>
              <w:t>应包含资产负债表、损益表、现金流量表等主要财务报表及附注）</w:t>
            </w:r>
            <w:r>
              <w:rPr>
                <w:rFonts w:hint="eastAsia"/>
                <w:highlight w:val="none"/>
              </w:rPr>
              <w:t>（满分2分）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842" w:type="dxa"/>
            <w:vAlign w:val="center"/>
          </w:tcPr>
          <w:p>
            <w:pPr>
              <w:spacing w:before="0" w:after="0" w:afterAutospacing="0"/>
              <w:ind w:left="0" w:right="0" w:firstLine="0"/>
              <w:jc w:val="center"/>
              <w:rPr>
                <w:highlight w:val="none"/>
              </w:rPr>
            </w:pPr>
            <w:r>
              <w:rPr>
                <w:rFonts w:hint="eastAsia"/>
                <w:highlight w:val="none"/>
              </w:rPr>
              <w:t>2</w:t>
            </w:r>
          </w:p>
        </w:tc>
        <w:tc>
          <w:tcPr>
            <w:tcW w:w="2134" w:type="dxa"/>
            <w:vAlign w:val="center"/>
          </w:tcPr>
          <w:p>
            <w:pPr>
              <w:spacing w:before="0" w:after="0" w:afterAutospacing="0"/>
              <w:ind w:left="0" w:right="0" w:firstLine="0"/>
              <w:jc w:val="left"/>
              <w:rPr>
                <w:highlight w:val="none"/>
              </w:rPr>
            </w:pPr>
            <w:r>
              <w:rPr>
                <w:rFonts w:hint="eastAsia"/>
                <w:highlight w:val="none"/>
              </w:rPr>
              <w:t>纳税信用等级</w:t>
            </w:r>
          </w:p>
        </w:tc>
        <w:tc>
          <w:tcPr>
            <w:tcW w:w="1068" w:type="dxa"/>
            <w:vAlign w:val="center"/>
          </w:tcPr>
          <w:p>
            <w:pPr>
              <w:spacing w:before="0" w:after="0" w:afterAutospacing="0"/>
              <w:ind w:left="0" w:right="0" w:firstLine="0"/>
              <w:jc w:val="center"/>
              <w:rPr>
                <w:highlight w:val="none"/>
              </w:rPr>
            </w:pPr>
            <w:r>
              <w:rPr>
                <w:rFonts w:hint="eastAsia"/>
                <w:highlight w:val="none"/>
              </w:rPr>
              <w:t>5分</w:t>
            </w:r>
          </w:p>
        </w:tc>
        <w:tc>
          <w:tcPr>
            <w:tcW w:w="8843" w:type="dxa"/>
            <w:vAlign w:val="center"/>
          </w:tcPr>
          <w:p>
            <w:pPr>
              <w:spacing w:before="0" w:after="0" w:afterAutospacing="0"/>
              <w:ind w:left="0" w:right="0" w:firstLine="0"/>
              <w:jc w:val="left"/>
              <w:rPr>
                <w:highlight w:val="none"/>
              </w:rPr>
            </w:pPr>
            <w:r>
              <w:rPr>
                <w:rFonts w:hint="eastAsia"/>
                <w:highlight w:val="none"/>
              </w:rPr>
              <w:t>自2021年1月1日起连续两年纳税信用等级为A级，得5分；自2021年1月1日起有一年纳税信用等级为A级，得3分，其余不得分。（满分5分）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842" w:type="dxa"/>
            <w:vAlign w:val="center"/>
          </w:tcPr>
          <w:p>
            <w:pPr>
              <w:spacing w:before="0" w:after="0" w:afterAutospacing="0"/>
              <w:ind w:left="0" w:right="0" w:firstLine="0"/>
              <w:jc w:val="center"/>
              <w:rPr>
                <w:highlight w:val="none"/>
              </w:rPr>
            </w:pPr>
            <w:r>
              <w:rPr>
                <w:rFonts w:hint="eastAsia"/>
                <w:highlight w:val="none"/>
              </w:rPr>
              <w:t>3</w:t>
            </w:r>
          </w:p>
        </w:tc>
        <w:tc>
          <w:tcPr>
            <w:tcW w:w="2134" w:type="dxa"/>
            <w:vAlign w:val="center"/>
          </w:tcPr>
          <w:p>
            <w:pPr>
              <w:spacing w:before="0" w:after="0" w:afterAutospacing="0"/>
              <w:ind w:left="0" w:right="0" w:firstLine="0"/>
              <w:jc w:val="left"/>
              <w:rPr>
                <w:highlight w:val="none"/>
              </w:rPr>
            </w:pPr>
            <w:r>
              <w:rPr>
                <w:rFonts w:hint="eastAsia"/>
                <w:highlight w:val="none"/>
              </w:rPr>
              <w:t>企业管理体系认证</w:t>
            </w:r>
          </w:p>
        </w:tc>
        <w:tc>
          <w:tcPr>
            <w:tcW w:w="1068" w:type="dxa"/>
            <w:vAlign w:val="center"/>
          </w:tcPr>
          <w:p>
            <w:pPr>
              <w:spacing w:before="0" w:after="0" w:afterAutospacing="0"/>
              <w:ind w:left="0" w:right="0" w:firstLine="0"/>
              <w:jc w:val="center"/>
              <w:rPr>
                <w:highlight w:val="none"/>
              </w:rPr>
            </w:pPr>
            <w:r>
              <w:rPr>
                <w:rFonts w:hint="eastAsia"/>
                <w:highlight w:val="none"/>
              </w:rPr>
              <w:t>1分</w:t>
            </w:r>
          </w:p>
        </w:tc>
        <w:tc>
          <w:tcPr>
            <w:tcW w:w="8843" w:type="dxa"/>
            <w:vAlign w:val="center"/>
          </w:tcPr>
          <w:p>
            <w:pPr>
              <w:spacing w:before="0" w:after="0" w:afterAutospacing="0"/>
              <w:ind w:left="0" w:right="0" w:firstLine="0"/>
              <w:rPr>
                <w:highlight w:val="none"/>
              </w:rPr>
            </w:pPr>
            <w:r>
              <w:rPr>
                <w:rFonts w:hint="eastAsia"/>
                <w:highlight w:val="none"/>
              </w:rPr>
              <w:t>投标人具有有效的</w:t>
            </w:r>
            <w:r>
              <w:rPr>
                <w:highlight w:val="none"/>
              </w:rPr>
              <w:t>ISO9001</w:t>
            </w:r>
            <w:r>
              <w:rPr>
                <w:rFonts w:hint="eastAsia"/>
                <w:highlight w:val="none"/>
              </w:rPr>
              <w:t>质量管理体系认证书的得1分，未提供的不得分。（满分1分）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842" w:type="dxa"/>
            <w:vAlign w:val="center"/>
          </w:tcPr>
          <w:p>
            <w:pPr>
              <w:spacing w:before="0" w:after="0" w:afterAutospacing="0"/>
              <w:ind w:left="0" w:right="0" w:firstLine="0"/>
              <w:jc w:val="center"/>
              <w:rPr>
                <w:rFonts w:ascii="宋体" w:hAnsi="宋体"/>
                <w:highlight w:val="none"/>
              </w:rPr>
            </w:pPr>
            <w:r>
              <w:rPr>
                <w:rFonts w:hint="eastAsia" w:ascii="宋体" w:hAnsi="宋体"/>
                <w:highlight w:val="none"/>
              </w:rPr>
              <w:t>4</w:t>
            </w:r>
          </w:p>
        </w:tc>
        <w:tc>
          <w:tcPr>
            <w:tcW w:w="2134" w:type="dxa"/>
            <w:vAlign w:val="center"/>
          </w:tcPr>
          <w:p>
            <w:pPr>
              <w:spacing w:before="0" w:after="0" w:afterAutospacing="0"/>
              <w:ind w:left="0" w:right="0" w:firstLine="0"/>
              <w:jc w:val="left"/>
              <w:rPr>
                <w:rFonts w:ascii="宋体" w:hAnsi="宋体"/>
                <w:highlight w:val="none"/>
              </w:rPr>
            </w:pPr>
            <w:r>
              <w:rPr>
                <w:rFonts w:hint="eastAsia" w:ascii="宋体" w:hAnsi="宋体"/>
                <w:highlight w:val="none"/>
              </w:rPr>
              <w:t>供货能力保障</w:t>
            </w:r>
          </w:p>
        </w:tc>
        <w:tc>
          <w:tcPr>
            <w:tcW w:w="1068" w:type="dxa"/>
            <w:vAlign w:val="center"/>
          </w:tcPr>
          <w:p>
            <w:pPr>
              <w:spacing w:before="0" w:after="0" w:afterAutospacing="0"/>
              <w:ind w:left="0" w:right="0" w:firstLine="0"/>
              <w:jc w:val="center"/>
              <w:rPr>
                <w:rFonts w:ascii="宋体" w:hAnsi="宋体"/>
                <w:highlight w:val="none"/>
              </w:rPr>
            </w:pPr>
            <w:r>
              <w:rPr>
                <w:rFonts w:hint="eastAsia"/>
                <w:highlight w:val="none"/>
              </w:rPr>
              <w:t>6分</w:t>
            </w:r>
          </w:p>
        </w:tc>
        <w:tc>
          <w:tcPr>
            <w:tcW w:w="8843" w:type="dxa"/>
            <w:vAlign w:val="center"/>
          </w:tcPr>
          <w:p>
            <w:pPr>
              <w:spacing w:before="0" w:after="0" w:afterAutospacing="0"/>
              <w:ind w:left="0" w:right="0" w:firstLine="0"/>
              <w:rPr>
                <w:highlight w:val="none"/>
              </w:rPr>
            </w:pPr>
            <w:r>
              <w:rPr>
                <w:rFonts w:hint="eastAsia"/>
                <w:highlight w:val="none"/>
              </w:rPr>
              <w:t>能提供所招标商品厂家或省级代理商供货证明的，提供一家得2分，最多得6分。（满分6分）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842" w:type="dxa"/>
            <w:vAlign w:val="center"/>
          </w:tcPr>
          <w:p>
            <w:pPr>
              <w:spacing w:before="0" w:after="0" w:afterAutospacing="0"/>
              <w:ind w:left="0" w:right="0" w:firstLine="0"/>
              <w:jc w:val="center"/>
              <w:rPr>
                <w:rFonts w:ascii="宋体" w:hAnsi="宋体"/>
                <w:highlight w:val="none"/>
              </w:rPr>
            </w:pPr>
            <w:r>
              <w:rPr>
                <w:rFonts w:hint="eastAsia" w:ascii="宋体" w:hAnsi="宋体"/>
                <w:highlight w:val="none"/>
              </w:rPr>
              <w:t>5</w:t>
            </w:r>
          </w:p>
        </w:tc>
        <w:tc>
          <w:tcPr>
            <w:tcW w:w="2134" w:type="dxa"/>
            <w:vAlign w:val="center"/>
          </w:tcPr>
          <w:p>
            <w:pPr>
              <w:spacing w:before="0" w:after="0" w:afterAutospacing="0"/>
              <w:ind w:left="0" w:right="0" w:firstLine="0"/>
              <w:jc w:val="left"/>
              <w:rPr>
                <w:rFonts w:ascii="宋体" w:hAnsi="宋体"/>
                <w:highlight w:val="none"/>
              </w:rPr>
            </w:pPr>
            <w:r>
              <w:rPr>
                <w:rFonts w:hint="eastAsia" w:ascii="宋体" w:hAnsi="宋体"/>
                <w:highlight w:val="none"/>
              </w:rPr>
              <w:t>信誉</w:t>
            </w:r>
          </w:p>
        </w:tc>
        <w:tc>
          <w:tcPr>
            <w:tcW w:w="1068" w:type="dxa"/>
            <w:vAlign w:val="center"/>
          </w:tcPr>
          <w:p>
            <w:pPr>
              <w:spacing w:before="0" w:after="0" w:afterAutospacing="0"/>
              <w:ind w:left="0" w:right="0" w:firstLine="0"/>
              <w:jc w:val="center"/>
              <w:rPr>
                <w:highlight w:val="none"/>
              </w:rPr>
            </w:pPr>
            <w:r>
              <w:rPr>
                <w:rFonts w:hint="eastAsia"/>
                <w:highlight w:val="none"/>
              </w:rPr>
              <w:t>1分</w:t>
            </w:r>
          </w:p>
        </w:tc>
        <w:tc>
          <w:tcPr>
            <w:tcW w:w="8843" w:type="dxa"/>
            <w:vAlign w:val="center"/>
          </w:tcPr>
          <w:p>
            <w:pPr>
              <w:spacing w:before="0" w:after="0" w:afterAutospacing="0"/>
              <w:ind w:left="0" w:right="0" w:firstLine="0"/>
              <w:rPr>
                <w:highlight w:val="none"/>
              </w:rPr>
            </w:pPr>
            <w:r>
              <w:rPr>
                <w:rFonts w:hint="eastAsia"/>
                <w:highlight w:val="none"/>
              </w:rPr>
              <w:t>投标人</w:t>
            </w:r>
            <w:r>
              <w:rPr>
                <w:rFonts w:hint="eastAsia"/>
                <w:highlight w:val="none"/>
                <w:u w:val="single"/>
              </w:rPr>
              <w:t xml:space="preserve">  2021   </w:t>
            </w:r>
            <w:r>
              <w:rPr>
                <w:rFonts w:hint="eastAsia"/>
                <w:highlight w:val="none"/>
              </w:rPr>
              <w:t>年1月1日以来（近3年）在合同履约中获得合同对方公司（含合同对方的分公司）级表扬的，每项得</w:t>
            </w:r>
            <w:r>
              <w:rPr>
                <w:rFonts w:hint="eastAsia"/>
                <w:highlight w:val="none"/>
                <w:u w:val="single"/>
              </w:rPr>
              <w:t xml:space="preserve">  1   </w:t>
            </w:r>
            <w:r>
              <w:rPr>
                <w:rFonts w:hint="eastAsia"/>
                <w:highlight w:val="none"/>
              </w:rPr>
              <w:t>分。须提供相应奖状、证书或发布的表扬文件复印件，否则不得分。（满分1分）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2976" w:type="dxa"/>
            <w:gridSpan w:val="2"/>
            <w:vAlign w:val="center"/>
          </w:tcPr>
          <w:p>
            <w:pPr>
              <w:spacing w:before="0" w:after="0" w:afterAutospacing="0"/>
              <w:ind w:left="0" w:right="0" w:firstLine="0"/>
              <w:jc w:val="center"/>
              <w:rPr>
                <w:rFonts w:ascii="宋体" w:hAnsi="宋体"/>
                <w:highlight w:val="none"/>
              </w:rPr>
            </w:pPr>
            <w:r>
              <w:rPr>
                <w:rFonts w:hint="eastAsia" w:ascii="宋体" w:hAnsi="宋体"/>
                <w:highlight w:val="none"/>
              </w:rPr>
              <w:t>合计</w:t>
            </w:r>
          </w:p>
        </w:tc>
        <w:tc>
          <w:tcPr>
            <w:tcW w:w="1068" w:type="dxa"/>
            <w:vAlign w:val="center"/>
          </w:tcPr>
          <w:p>
            <w:pPr>
              <w:spacing w:before="0" w:after="0" w:afterAutospacing="0"/>
              <w:ind w:left="0" w:right="0" w:firstLine="0"/>
              <w:jc w:val="center"/>
              <w:rPr>
                <w:highlight w:val="none"/>
              </w:rPr>
            </w:pPr>
            <w:r>
              <w:rPr>
                <w:rFonts w:hint="eastAsia"/>
                <w:highlight w:val="none"/>
              </w:rPr>
              <w:t>15分</w:t>
            </w:r>
          </w:p>
        </w:tc>
        <w:tc>
          <w:tcPr>
            <w:tcW w:w="8843" w:type="dxa"/>
            <w:vAlign w:val="center"/>
          </w:tcPr>
          <w:p>
            <w:pPr>
              <w:spacing w:before="0" w:after="0" w:afterAutospacing="0"/>
              <w:ind w:left="0" w:right="0" w:firstLine="0"/>
              <w:rPr>
                <w:highlight w:val="none"/>
              </w:rPr>
            </w:pPr>
          </w:p>
        </w:tc>
      </w:tr>
    </w:tbl>
    <w:p>
      <w:pPr>
        <w:spacing w:before="0" w:after="0" w:afterAutospacing="0"/>
        <w:ind w:right="-57" w:firstLine="0"/>
        <w:rPr>
          <w:highlight w:val="none"/>
        </w:rPr>
      </w:pPr>
    </w:p>
    <w:p>
      <w:pPr>
        <w:pageBreakBefore/>
        <w:spacing w:before="0" w:after="0" w:afterAutospacing="0"/>
        <w:ind w:left="0" w:right="0" w:firstLine="0"/>
        <w:outlineLvl w:val="1"/>
        <w:rPr>
          <w:b/>
          <w:sz w:val="24"/>
          <w:szCs w:val="24"/>
          <w:highlight w:val="none"/>
        </w:rPr>
      </w:pPr>
      <w:bookmarkStart w:id="1094" w:name="_Toc19958"/>
      <w:bookmarkStart w:id="1095" w:name="_Toc3486"/>
      <w:bookmarkStart w:id="1096" w:name="_Toc16127"/>
      <w:bookmarkStart w:id="1097" w:name="_Toc32294"/>
      <w:bookmarkStart w:id="1098" w:name="_Toc32079"/>
      <w:bookmarkStart w:id="1099" w:name="_Toc24275"/>
      <w:bookmarkStart w:id="1100" w:name="_Toc20425"/>
      <w:bookmarkStart w:id="1101" w:name="_Toc25101"/>
      <w:bookmarkStart w:id="1102" w:name="_Toc25544"/>
      <w:bookmarkStart w:id="1103" w:name="_Toc23298"/>
      <w:r>
        <w:rPr>
          <w:rFonts w:hint="eastAsia"/>
          <w:b/>
          <w:sz w:val="24"/>
          <w:szCs w:val="24"/>
          <w:highlight w:val="none"/>
        </w:rPr>
        <w:t xml:space="preserve">附表四 </w:t>
      </w:r>
      <w:r>
        <w:rPr>
          <w:b/>
          <w:sz w:val="24"/>
          <w:szCs w:val="24"/>
          <w:highlight w:val="none"/>
        </w:rPr>
        <w:t>技术部分</w:t>
      </w:r>
      <w:r>
        <w:rPr>
          <w:rFonts w:hint="eastAsia"/>
          <w:b/>
          <w:sz w:val="24"/>
          <w:szCs w:val="24"/>
          <w:highlight w:val="none"/>
        </w:rPr>
        <w:t>评分</w:t>
      </w:r>
      <w:r>
        <w:rPr>
          <w:b/>
          <w:sz w:val="24"/>
          <w:szCs w:val="24"/>
          <w:highlight w:val="none"/>
        </w:rPr>
        <w:t>表</w:t>
      </w:r>
      <w:bookmarkEnd w:id="1094"/>
      <w:bookmarkEnd w:id="1095"/>
      <w:bookmarkEnd w:id="1096"/>
      <w:bookmarkEnd w:id="1097"/>
      <w:bookmarkEnd w:id="1098"/>
      <w:bookmarkEnd w:id="1099"/>
      <w:bookmarkEnd w:id="1100"/>
      <w:bookmarkEnd w:id="1101"/>
      <w:bookmarkEnd w:id="1102"/>
      <w:bookmarkEnd w:id="1103"/>
    </w:p>
    <w:p>
      <w:pPr>
        <w:snapToGrid w:val="0"/>
        <w:spacing w:before="0" w:after="0" w:afterAutospacing="0"/>
        <w:ind w:right="0" w:firstLine="0"/>
        <w:jc w:val="center"/>
        <w:rPr>
          <w:rFonts w:hAnsi="宋体"/>
          <w:b/>
          <w:sz w:val="24"/>
          <w:szCs w:val="24"/>
          <w:highlight w:val="none"/>
        </w:rPr>
      </w:pPr>
      <w:r>
        <w:rPr>
          <w:rFonts w:hAnsi="宋体"/>
          <w:b/>
          <w:sz w:val="24"/>
          <w:szCs w:val="24"/>
          <w:highlight w:val="none"/>
        </w:rPr>
        <w:t>技术部分</w:t>
      </w:r>
      <w:r>
        <w:rPr>
          <w:rFonts w:hint="eastAsia" w:hAnsi="宋体"/>
          <w:b/>
          <w:sz w:val="24"/>
          <w:szCs w:val="24"/>
          <w:highlight w:val="none"/>
        </w:rPr>
        <w:t>评分</w:t>
      </w:r>
      <w:r>
        <w:rPr>
          <w:rFonts w:hAnsi="宋体"/>
          <w:b/>
          <w:sz w:val="24"/>
          <w:szCs w:val="24"/>
          <w:highlight w:val="none"/>
        </w:rPr>
        <w:t>表</w:t>
      </w:r>
    </w:p>
    <w:tbl>
      <w:tblPr>
        <w:tblStyle w:val="27"/>
        <w:tblW w:w="131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9"/>
        <w:gridCol w:w="1689"/>
        <w:gridCol w:w="1245"/>
        <w:gridCol w:w="9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blHeader/>
          <w:jc w:val="center"/>
        </w:trPr>
        <w:tc>
          <w:tcPr>
            <w:tcW w:w="619" w:type="dxa"/>
            <w:vAlign w:val="center"/>
          </w:tcPr>
          <w:p>
            <w:pPr>
              <w:ind w:left="0" w:firstLine="0"/>
              <w:jc w:val="center"/>
              <w:rPr>
                <w:highlight w:val="none"/>
              </w:rPr>
            </w:pPr>
            <w:r>
              <w:rPr>
                <w:rFonts w:hint="eastAsia"/>
                <w:highlight w:val="none"/>
              </w:rPr>
              <w:t>序号</w:t>
            </w:r>
          </w:p>
        </w:tc>
        <w:tc>
          <w:tcPr>
            <w:tcW w:w="1689" w:type="dxa"/>
            <w:vAlign w:val="center"/>
          </w:tcPr>
          <w:p>
            <w:pPr>
              <w:ind w:left="0" w:firstLine="0"/>
              <w:jc w:val="center"/>
              <w:rPr>
                <w:highlight w:val="none"/>
              </w:rPr>
            </w:pPr>
            <w:r>
              <w:rPr>
                <w:rFonts w:hint="eastAsia"/>
                <w:highlight w:val="none"/>
              </w:rPr>
              <w:t>评审因素</w:t>
            </w:r>
          </w:p>
        </w:tc>
        <w:tc>
          <w:tcPr>
            <w:tcW w:w="1245" w:type="dxa"/>
            <w:vAlign w:val="center"/>
          </w:tcPr>
          <w:p>
            <w:pPr>
              <w:ind w:left="0" w:firstLine="0"/>
              <w:jc w:val="center"/>
              <w:rPr>
                <w:highlight w:val="none"/>
              </w:rPr>
            </w:pPr>
            <w:r>
              <w:rPr>
                <w:rFonts w:hint="eastAsia"/>
                <w:highlight w:val="none"/>
              </w:rPr>
              <w:t>分值</w:t>
            </w:r>
          </w:p>
        </w:tc>
        <w:tc>
          <w:tcPr>
            <w:tcW w:w="9618" w:type="dxa"/>
            <w:vAlign w:val="center"/>
          </w:tcPr>
          <w:p>
            <w:pPr>
              <w:ind w:left="0" w:firstLine="0"/>
              <w:jc w:val="center"/>
              <w:rPr>
                <w:highlight w:val="none"/>
              </w:rPr>
            </w:pPr>
            <w:r>
              <w:rPr>
                <w:rFonts w:hint="eastAsia" w:ascii="宋体" w:hAnsi="宋体"/>
                <w:bCs/>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619" w:type="dxa"/>
            <w:vMerge w:val="restart"/>
            <w:vAlign w:val="center"/>
          </w:tcPr>
          <w:p>
            <w:pPr>
              <w:ind w:left="0" w:firstLine="0"/>
              <w:jc w:val="center"/>
              <w:rPr>
                <w:highlight w:val="none"/>
              </w:rPr>
            </w:pPr>
            <w:r>
              <w:rPr>
                <w:rFonts w:hint="eastAsia"/>
                <w:highlight w:val="none"/>
              </w:rPr>
              <w:t>1</w:t>
            </w:r>
          </w:p>
        </w:tc>
        <w:tc>
          <w:tcPr>
            <w:tcW w:w="1689" w:type="dxa"/>
            <w:vMerge w:val="restart"/>
            <w:tcBorders>
              <w:top w:val="single" w:color="auto" w:sz="4" w:space="0"/>
            </w:tcBorders>
            <w:vAlign w:val="center"/>
          </w:tcPr>
          <w:p>
            <w:pPr>
              <w:ind w:left="0" w:firstLine="0"/>
              <w:jc w:val="center"/>
              <w:rPr>
                <w:highlight w:val="none"/>
              </w:rPr>
            </w:pPr>
            <w:r>
              <w:rPr>
                <w:rFonts w:hint="eastAsia"/>
                <w:highlight w:val="none"/>
              </w:rPr>
              <w:t>项目实施方案（10分）</w:t>
            </w:r>
          </w:p>
        </w:tc>
        <w:tc>
          <w:tcPr>
            <w:tcW w:w="1245" w:type="dxa"/>
            <w:vAlign w:val="center"/>
          </w:tcPr>
          <w:p>
            <w:pPr>
              <w:snapToGrid w:val="0"/>
              <w:spacing w:line="288" w:lineRule="auto"/>
              <w:jc w:val="center"/>
              <w:rPr>
                <w:highlight w:val="none"/>
              </w:rPr>
            </w:pPr>
            <w:r>
              <w:rPr>
                <w:rFonts w:hint="eastAsia" w:ascii="宋体" w:hAnsi="宋体"/>
                <w:highlight w:val="none"/>
              </w:rPr>
              <w:t>8</w:t>
            </w:r>
            <w:r>
              <w:rPr>
                <w:rFonts w:hint="eastAsia" w:ascii="宋体" w:hAnsi="宋体" w:cs="宋体"/>
                <w:highlight w:val="none"/>
              </w:rPr>
              <w:t>﹤</w:t>
            </w:r>
            <w:r>
              <w:rPr>
                <w:rFonts w:ascii="宋体" w:hAnsi="宋体"/>
                <w:highlight w:val="none"/>
              </w:rPr>
              <w:t>m</w:t>
            </w:r>
            <w:r>
              <w:rPr>
                <w:rFonts w:hint="eastAsia" w:ascii="宋体" w:hAnsi="宋体" w:cs="宋体"/>
                <w:highlight w:val="none"/>
              </w:rPr>
              <w:t>≦</w:t>
            </w:r>
            <w:r>
              <w:rPr>
                <w:rFonts w:hint="eastAsia" w:ascii="宋体" w:hAnsi="宋体"/>
                <w:highlight w:val="none"/>
              </w:rPr>
              <w:t>10</w:t>
            </w:r>
          </w:p>
        </w:tc>
        <w:tc>
          <w:tcPr>
            <w:tcW w:w="9618" w:type="dxa"/>
            <w:vAlign w:val="center"/>
          </w:tcPr>
          <w:p>
            <w:pPr>
              <w:ind w:left="0" w:firstLine="0"/>
              <w:rPr>
                <w:highlight w:val="none"/>
              </w:rPr>
            </w:pPr>
            <w:r>
              <w:rPr>
                <w:rFonts w:hint="eastAsia"/>
                <w:highlight w:val="none"/>
              </w:rPr>
              <w:t>实施方案科学合理，有很好的人员、运输安全、货物包装等保障措施，优于大部分投标人。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619" w:type="dxa"/>
            <w:vMerge w:val="continue"/>
            <w:vAlign w:val="center"/>
          </w:tcPr>
          <w:p>
            <w:pPr>
              <w:ind w:left="0" w:firstLine="0"/>
              <w:jc w:val="center"/>
              <w:rPr>
                <w:highlight w:val="none"/>
              </w:rPr>
            </w:pPr>
          </w:p>
        </w:tc>
        <w:tc>
          <w:tcPr>
            <w:tcW w:w="1689" w:type="dxa"/>
            <w:vMerge w:val="continue"/>
            <w:vAlign w:val="center"/>
          </w:tcPr>
          <w:p>
            <w:pPr>
              <w:ind w:left="0" w:firstLine="0"/>
              <w:jc w:val="center"/>
              <w:rPr>
                <w:highlight w:val="none"/>
              </w:rPr>
            </w:pPr>
          </w:p>
        </w:tc>
        <w:tc>
          <w:tcPr>
            <w:tcW w:w="1245" w:type="dxa"/>
            <w:vAlign w:val="center"/>
          </w:tcPr>
          <w:p>
            <w:pPr>
              <w:snapToGrid w:val="0"/>
              <w:spacing w:line="288" w:lineRule="auto"/>
              <w:jc w:val="center"/>
              <w:rPr>
                <w:highlight w:val="none"/>
              </w:rPr>
            </w:pPr>
            <w:r>
              <w:rPr>
                <w:rFonts w:hint="eastAsia" w:ascii="宋体" w:hAnsi="宋体"/>
                <w:highlight w:val="none"/>
              </w:rPr>
              <w:t>6</w:t>
            </w:r>
            <w:r>
              <w:rPr>
                <w:rFonts w:hint="eastAsia" w:ascii="宋体" w:hAnsi="宋体" w:cs="宋体"/>
                <w:highlight w:val="none"/>
              </w:rPr>
              <w:t>﹤</w:t>
            </w:r>
            <w:r>
              <w:rPr>
                <w:rFonts w:hint="eastAsia" w:ascii="宋体" w:hAnsi="宋体"/>
                <w:highlight w:val="none"/>
              </w:rPr>
              <w:t>m</w:t>
            </w:r>
            <w:r>
              <w:rPr>
                <w:rFonts w:hint="eastAsia" w:ascii="宋体" w:hAnsi="宋体" w:cs="宋体"/>
                <w:highlight w:val="none"/>
              </w:rPr>
              <w:t>≦</w:t>
            </w:r>
            <w:r>
              <w:rPr>
                <w:rFonts w:hint="eastAsia" w:ascii="宋体" w:hAnsi="宋体"/>
                <w:highlight w:val="none"/>
              </w:rPr>
              <w:t>8</w:t>
            </w:r>
          </w:p>
        </w:tc>
        <w:tc>
          <w:tcPr>
            <w:tcW w:w="9618" w:type="dxa"/>
            <w:vAlign w:val="center"/>
          </w:tcPr>
          <w:p>
            <w:pPr>
              <w:ind w:left="0" w:firstLine="0"/>
              <w:rPr>
                <w:highlight w:val="none"/>
              </w:rPr>
            </w:pPr>
            <w:r>
              <w:rPr>
                <w:rFonts w:hint="eastAsia"/>
                <w:highlight w:val="none"/>
              </w:rPr>
              <w:t>实施方案切实可行，有明确的人员、运输安全、货物包装等保障措施，跟其它投标人相当。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619" w:type="dxa"/>
            <w:vMerge w:val="continue"/>
            <w:vAlign w:val="center"/>
          </w:tcPr>
          <w:p>
            <w:pPr>
              <w:ind w:left="0" w:firstLine="0"/>
              <w:jc w:val="center"/>
              <w:rPr>
                <w:highlight w:val="none"/>
              </w:rPr>
            </w:pPr>
          </w:p>
        </w:tc>
        <w:tc>
          <w:tcPr>
            <w:tcW w:w="1689" w:type="dxa"/>
            <w:vMerge w:val="continue"/>
            <w:vAlign w:val="center"/>
          </w:tcPr>
          <w:p>
            <w:pPr>
              <w:ind w:left="0" w:firstLine="0"/>
              <w:jc w:val="center"/>
              <w:rPr>
                <w:highlight w:val="none"/>
              </w:rPr>
            </w:pPr>
          </w:p>
        </w:tc>
        <w:tc>
          <w:tcPr>
            <w:tcW w:w="1245" w:type="dxa"/>
            <w:vAlign w:val="center"/>
          </w:tcPr>
          <w:p>
            <w:pPr>
              <w:snapToGrid w:val="0"/>
              <w:spacing w:line="288" w:lineRule="auto"/>
              <w:jc w:val="center"/>
              <w:rPr>
                <w:highlight w:val="none"/>
              </w:rPr>
            </w:pPr>
            <w:r>
              <w:rPr>
                <w:rFonts w:hint="eastAsia" w:ascii="宋体" w:hAnsi="宋体"/>
                <w:highlight w:val="none"/>
              </w:rPr>
              <w:t>0</w:t>
            </w:r>
            <w:r>
              <w:rPr>
                <w:rFonts w:hint="eastAsia" w:ascii="宋体" w:hAnsi="宋体" w:cs="宋体"/>
                <w:highlight w:val="none"/>
              </w:rPr>
              <w:t>﹤</w:t>
            </w:r>
            <w:r>
              <w:rPr>
                <w:rFonts w:ascii="宋体" w:hAnsi="宋体"/>
                <w:highlight w:val="none"/>
              </w:rPr>
              <w:t>m</w:t>
            </w:r>
            <w:r>
              <w:rPr>
                <w:rFonts w:hint="eastAsia" w:ascii="宋体" w:hAnsi="宋体" w:cs="宋体"/>
                <w:highlight w:val="none"/>
              </w:rPr>
              <w:t>≦</w:t>
            </w:r>
            <w:r>
              <w:rPr>
                <w:rFonts w:hint="eastAsia" w:ascii="宋体" w:hAnsi="宋体"/>
                <w:highlight w:val="none"/>
              </w:rPr>
              <w:t>6</w:t>
            </w:r>
          </w:p>
        </w:tc>
        <w:tc>
          <w:tcPr>
            <w:tcW w:w="9618" w:type="dxa"/>
            <w:vAlign w:val="center"/>
          </w:tcPr>
          <w:p>
            <w:pPr>
              <w:ind w:left="0" w:firstLine="0"/>
              <w:rPr>
                <w:highlight w:val="none"/>
              </w:rPr>
            </w:pPr>
            <w:r>
              <w:rPr>
                <w:rFonts w:hint="eastAsia"/>
                <w:highlight w:val="none"/>
              </w:rPr>
              <w:t>实施方案基本满足要求。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619" w:type="dxa"/>
            <w:vMerge w:val="restart"/>
            <w:vAlign w:val="center"/>
          </w:tcPr>
          <w:p>
            <w:pPr>
              <w:ind w:left="0" w:firstLine="0"/>
              <w:jc w:val="center"/>
              <w:rPr>
                <w:highlight w:val="none"/>
              </w:rPr>
            </w:pPr>
            <w:r>
              <w:rPr>
                <w:rFonts w:hint="eastAsia"/>
                <w:highlight w:val="none"/>
              </w:rPr>
              <w:t>2</w:t>
            </w:r>
          </w:p>
        </w:tc>
        <w:tc>
          <w:tcPr>
            <w:tcW w:w="1689" w:type="dxa"/>
            <w:vMerge w:val="restart"/>
            <w:vAlign w:val="center"/>
          </w:tcPr>
          <w:p>
            <w:pPr>
              <w:ind w:left="0" w:firstLine="0"/>
              <w:jc w:val="center"/>
              <w:rPr>
                <w:highlight w:val="none"/>
              </w:rPr>
            </w:pPr>
            <w:r>
              <w:rPr>
                <w:rFonts w:hint="eastAsia"/>
                <w:highlight w:val="none"/>
              </w:rPr>
              <w:t>供货方案（15分）</w:t>
            </w:r>
          </w:p>
        </w:tc>
        <w:tc>
          <w:tcPr>
            <w:tcW w:w="1245" w:type="dxa"/>
            <w:vAlign w:val="center"/>
          </w:tcPr>
          <w:p>
            <w:pPr>
              <w:snapToGrid w:val="0"/>
              <w:spacing w:line="288" w:lineRule="auto"/>
              <w:jc w:val="center"/>
              <w:rPr>
                <w:highlight w:val="none"/>
              </w:rPr>
            </w:pPr>
            <w:r>
              <w:rPr>
                <w:rFonts w:hint="eastAsia" w:ascii="宋体" w:hAnsi="宋体"/>
                <w:highlight w:val="none"/>
              </w:rPr>
              <w:t>12</w:t>
            </w:r>
            <w:r>
              <w:rPr>
                <w:rFonts w:hint="eastAsia" w:ascii="宋体" w:hAnsi="宋体" w:cs="宋体"/>
                <w:highlight w:val="none"/>
              </w:rPr>
              <w:t>﹤</w:t>
            </w:r>
            <w:r>
              <w:rPr>
                <w:rFonts w:ascii="宋体" w:hAnsi="宋体"/>
                <w:highlight w:val="none"/>
              </w:rPr>
              <w:t>m</w:t>
            </w:r>
            <w:r>
              <w:rPr>
                <w:rFonts w:hint="eastAsia" w:ascii="宋体" w:hAnsi="宋体" w:cs="宋体"/>
                <w:highlight w:val="none"/>
              </w:rPr>
              <w:t>≦</w:t>
            </w:r>
            <w:r>
              <w:rPr>
                <w:rFonts w:hint="eastAsia" w:ascii="宋体" w:hAnsi="宋体"/>
                <w:highlight w:val="none"/>
              </w:rPr>
              <w:t>15</w:t>
            </w:r>
          </w:p>
        </w:tc>
        <w:tc>
          <w:tcPr>
            <w:tcW w:w="9618" w:type="dxa"/>
            <w:vAlign w:val="center"/>
          </w:tcPr>
          <w:p>
            <w:pPr>
              <w:ind w:left="0" w:firstLine="0"/>
              <w:rPr>
                <w:highlight w:val="none"/>
              </w:rPr>
            </w:pPr>
            <w:r>
              <w:rPr>
                <w:rFonts w:hint="eastAsia"/>
                <w:highlight w:val="none"/>
              </w:rPr>
              <w:t>供货方案科学合理，有很好的供货保障措施，优于大部分投标人。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619" w:type="dxa"/>
            <w:vMerge w:val="continue"/>
            <w:vAlign w:val="center"/>
          </w:tcPr>
          <w:p>
            <w:pPr>
              <w:ind w:left="0" w:firstLine="0"/>
              <w:jc w:val="center"/>
              <w:rPr>
                <w:highlight w:val="none"/>
              </w:rPr>
            </w:pPr>
          </w:p>
        </w:tc>
        <w:tc>
          <w:tcPr>
            <w:tcW w:w="1689" w:type="dxa"/>
            <w:vMerge w:val="continue"/>
            <w:vAlign w:val="center"/>
          </w:tcPr>
          <w:p>
            <w:pPr>
              <w:ind w:left="0" w:firstLine="0"/>
              <w:jc w:val="center"/>
              <w:rPr>
                <w:highlight w:val="none"/>
              </w:rPr>
            </w:pPr>
          </w:p>
        </w:tc>
        <w:tc>
          <w:tcPr>
            <w:tcW w:w="1245" w:type="dxa"/>
            <w:vAlign w:val="center"/>
          </w:tcPr>
          <w:p>
            <w:pPr>
              <w:snapToGrid w:val="0"/>
              <w:spacing w:line="288" w:lineRule="auto"/>
              <w:jc w:val="center"/>
              <w:rPr>
                <w:highlight w:val="none"/>
              </w:rPr>
            </w:pPr>
            <w:r>
              <w:rPr>
                <w:rFonts w:hint="eastAsia" w:ascii="宋体" w:hAnsi="宋体"/>
                <w:highlight w:val="none"/>
              </w:rPr>
              <w:t>9</w:t>
            </w:r>
            <w:r>
              <w:rPr>
                <w:rFonts w:hint="eastAsia" w:ascii="宋体" w:hAnsi="宋体" w:cs="宋体"/>
                <w:highlight w:val="none"/>
              </w:rPr>
              <w:t>﹤</w:t>
            </w:r>
            <w:r>
              <w:rPr>
                <w:rFonts w:hint="eastAsia" w:ascii="宋体" w:hAnsi="宋体"/>
                <w:highlight w:val="none"/>
              </w:rPr>
              <w:t>m</w:t>
            </w:r>
            <w:r>
              <w:rPr>
                <w:rFonts w:hint="eastAsia" w:ascii="宋体" w:hAnsi="宋体" w:cs="宋体"/>
                <w:highlight w:val="none"/>
              </w:rPr>
              <w:t>≦</w:t>
            </w:r>
            <w:r>
              <w:rPr>
                <w:rFonts w:hint="eastAsia" w:ascii="宋体" w:hAnsi="宋体"/>
                <w:highlight w:val="none"/>
              </w:rPr>
              <w:t>12</w:t>
            </w:r>
          </w:p>
        </w:tc>
        <w:tc>
          <w:tcPr>
            <w:tcW w:w="9618" w:type="dxa"/>
            <w:vAlign w:val="center"/>
          </w:tcPr>
          <w:p>
            <w:pPr>
              <w:ind w:left="0" w:firstLine="0"/>
              <w:rPr>
                <w:highlight w:val="none"/>
              </w:rPr>
            </w:pPr>
            <w:r>
              <w:rPr>
                <w:rFonts w:hint="eastAsia"/>
                <w:highlight w:val="none"/>
              </w:rPr>
              <w:t>供货方案切实可行，有明确的供货保障措施，跟其它投标人相当。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619" w:type="dxa"/>
            <w:vMerge w:val="continue"/>
            <w:vAlign w:val="center"/>
          </w:tcPr>
          <w:p>
            <w:pPr>
              <w:ind w:left="0" w:firstLine="0"/>
              <w:jc w:val="center"/>
              <w:rPr>
                <w:highlight w:val="none"/>
              </w:rPr>
            </w:pPr>
          </w:p>
        </w:tc>
        <w:tc>
          <w:tcPr>
            <w:tcW w:w="1689" w:type="dxa"/>
            <w:vMerge w:val="continue"/>
            <w:vAlign w:val="center"/>
          </w:tcPr>
          <w:p>
            <w:pPr>
              <w:ind w:left="0" w:firstLine="0"/>
              <w:jc w:val="center"/>
              <w:rPr>
                <w:highlight w:val="none"/>
              </w:rPr>
            </w:pPr>
          </w:p>
        </w:tc>
        <w:tc>
          <w:tcPr>
            <w:tcW w:w="1245" w:type="dxa"/>
            <w:vAlign w:val="center"/>
          </w:tcPr>
          <w:p>
            <w:pPr>
              <w:snapToGrid w:val="0"/>
              <w:spacing w:line="288" w:lineRule="auto"/>
              <w:jc w:val="center"/>
              <w:rPr>
                <w:highlight w:val="none"/>
              </w:rPr>
            </w:pPr>
            <w:r>
              <w:rPr>
                <w:rFonts w:hint="eastAsia" w:ascii="宋体" w:hAnsi="宋体"/>
                <w:highlight w:val="none"/>
              </w:rPr>
              <w:t>0</w:t>
            </w:r>
            <w:r>
              <w:rPr>
                <w:rFonts w:hint="eastAsia" w:ascii="宋体" w:hAnsi="宋体" w:cs="宋体"/>
                <w:highlight w:val="none"/>
              </w:rPr>
              <w:t>﹤</w:t>
            </w:r>
            <w:r>
              <w:rPr>
                <w:rFonts w:ascii="宋体" w:hAnsi="宋体"/>
                <w:highlight w:val="none"/>
              </w:rPr>
              <w:t>m</w:t>
            </w:r>
            <w:r>
              <w:rPr>
                <w:rFonts w:hint="eastAsia" w:ascii="宋体" w:hAnsi="宋体" w:cs="宋体"/>
                <w:highlight w:val="none"/>
              </w:rPr>
              <w:t>≦</w:t>
            </w:r>
            <w:r>
              <w:rPr>
                <w:rFonts w:hint="eastAsia" w:ascii="宋体" w:hAnsi="宋体"/>
                <w:highlight w:val="none"/>
              </w:rPr>
              <w:t>9</w:t>
            </w:r>
          </w:p>
        </w:tc>
        <w:tc>
          <w:tcPr>
            <w:tcW w:w="9618" w:type="dxa"/>
            <w:vAlign w:val="center"/>
          </w:tcPr>
          <w:p>
            <w:pPr>
              <w:ind w:left="0" w:firstLine="0"/>
              <w:rPr>
                <w:highlight w:val="none"/>
              </w:rPr>
            </w:pPr>
            <w:r>
              <w:rPr>
                <w:rFonts w:hint="eastAsia"/>
                <w:highlight w:val="none"/>
              </w:rPr>
              <w:t>供货方案基本满足要求。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jc w:val="center"/>
        </w:trPr>
        <w:tc>
          <w:tcPr>
            <w:tcW w:w="619" w:type="dxa"/>
            <w:vMerge w:val="restart"/>
            <w:vAlign w:val="center"/>
          </w:tcPr>
          <w:p>
            <w:pPr>
              <w:ind w:left="0" w:firstLine="0"/>
              <w:jc w:val="center"/>
              <w:rPr>
                <w:highlight w:val="none"/>
              </w:rPr>
            </w:pPr>
            <w:r>
              <w:rPr>
                <w:rFonts w:hint="eastAsia"/>
                <w:highlight w:val="none"/>
              </w:rPr>
              <w:t>3</w:t>
            </w:r>
          </w:p>
        </w:tc>
        <w:tc>
          <w:tcPr>
            <w:tcW w:w="1689" w:type="dxa"/>
            <w:vMerge w:val="restart"/>
            <w:vAlign w:val="center"/>
          </w:tcPr>
          <w:p>
            <w:pPr>
              <w:ind w:left="0" w:firstLine="0"/>
              <w:jc w:val="center"/>
              <w:rPr>
                <w:highlight w:val="none"/>
              </w:rPr>
            </w:pPr>
            <w:r>
              <w:rPr>
                <w:rFonts w:hint="eastAsia"/>
                <w:highlight w:val="none"/>
              </w:rPr>
              <w:t>质量保障方案（15分）</w:t>
            </w:r>
          </w:p>
        </w:tc>
        <w:tc>
          <w:tcPr>
            <w:tcW w:w="1245" w:type="dxa"/>
            <w:vAlign w:val="center"/>
          </w:tcPr>
          <w:p>
            <w:pPr>
              <w:snapToGrid w:val="0"/>
              <w:spacing w:line="288" w:lineRule="auto"/>
              <w:jc w:val="center"/>
              <w:rPr>
                <w:highlight w:val="none"/>
              </w:rPr>
            </w:pPr>
            <w:r>
              <w:rPr>
                <w:rFonts w:hint="eastAsia" w:ascii="宋体" w:hAnsi="宋体"/>
                <w:highlight w:val="none"/>
              </w:rPr>
              <w:t>12</w:t>
            </w:r>
            <w:r>
              <w:rPr>
                <w:rFonts w:hint="eastAsia" w:ascii="宋体" w:hAnsi="宋体" w:cs="宋体"/>
                <w:highlight w:val="none"/>
              </w:rPr>
              <w:t>﹤</w:t>
            </w:r>
            <w:r>
              <w:rPr>
                <w:rFonts w:ascii="宋体" w:hAnsi="宋体"/>
                <w:highlight w:val="none"/>
              </w:rPr>
              <w:t>m</w:t>
            </w:r>
            <w:r>
              <w:rPr>
                <w:rFonts w:hint="eastAsia" w:ascii="宋体" w:hAnsi="宋体" w:cs="宋体"/>
                <w:highlight w:val="none"/>
              </w:rPr>
              <w:t>≦</w:t>
            </w:r>
            <w:r>
              <w:rPr>
                <w:rFonts w:hint="eastAsia" w:ascii="宋体" w:hAnsi="宋体"/>
                <w:highlight w:val="none"/>
              </w:rPr>
              <w:t>15</w:t>
            </w:r>
          </w:p>
        </w:tc>
        <w:tc>
          <w:tcPr>
            <w:tcW w:w="9618" w:type="dxa"/>
            <w:vAlign w:val="center"/>
          </w:tcPr>
          <w:p>
            <w:pPr>
              <w:ind w:left="0" w:firstLine="0"/>
              <w:rPr>
                <w:highlight w:val="none"/>
              </w:rPr>
            </w:pPr>
            <w:r>
              <w:rPr>
                <w:rFonts w:hint="eastAsia"/>
                <w:highlight w:val="none"/>
              </w:rPr>
              <w:t>质量保障方案科学合理，有很好的质量保障措施，油、米、牛奶有效质保期不少于原质保期的3/4，优于大部分投标人。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619" w:type="dxa"/>
            <w:vMerge w:val="continue"/>
            <w:vAlign w:val="center"/>
          </w:tcPr>
          <w:p>
            <w:pPr>
              <w:ind w:left="0" w:firstLine="0"/>
              <w:jc w:val="center"/>
              <w:rPr>
                <w:highlight w:val="none"/>
              </w:rPr>
            </w:pPr>
          </w:p>
        </w:tc>
        <w:tc>
          <w:tcPr>
            <w:tcW w:w="1689" w:type="dxa"/>
            <w:vMerge w:val="continue"/>
            <w:vAlign w:val="center"/>
          </w:tcPr>
          <w:p>
            <w:pPr>
              <w:ind w:left="0" w:firstLine="0"/>
              <w:jc w:val="center"/>
              <w:rPr>
                <w:highlight w:val="none"/>
              </w:rPr>
            </w:pPr>
          </w:p>
        </w:tc>
        <w:tc>
          <w:tcPr>
            <w:tcW w:w="1245" w:type="dxa"/>
            <w:vAlign w:val="center"/>
          </w:tcPr>
          <w:p>
            <w:pPr>
              <w:snapToGrid w:val="0"/>
              <w:spacing w:line="288" w:lineRule="auto"/>
              <w:jc w:val="center"/>
              <w:rPr>
                <w:highlight w:val="none"/>
              </w:rPr>
            </w:pPr>
            <w:r>
              <w:rPr>
                <w:rFonts w:hint="eastAsia" w:ascii="宋体" w:hAnsi="宋体"/>
                <w:highlight w:val="none"/>
              </w:rPr>
              <w:t>9</w:t>
            </w:r>
            <w:r>
              <w:rPr>
                <w:rFonts w:hint="eastAsia" w:ascii="宋体" w:hAnsi="宋体" w:cs="宋体"/>
                <w:highlight w:val="none"/>
              </w:rPr>
              <w:t>﹤</w:t>
            </w:r>
            <w:r>
              <w:rPr>
                <w:rFonts w:hint="eastAsia" w:ascii="宋体" w:hAnsi="宋体"/>
                <w:highlight w:val="none"/>
              </w:rPr>
              <w:t>m</w:t>
            </w:r>
            <w:r>
              <w:rPr>
                <w:rFonts w:hint="eastAsia" w:ascii="宋体" w:hAnsi="宋体" w:cs="宋体"/>
                <w:highlight w:val="none"/>
              </w:rPr>
              <w:t>≦</w:t>
            </w:r>
            <w:r>
              <w:rPr>
                <w:rFonts w:hint="eastAsia" w:ascii="宋体" w:hAnsi="宋体"/>
                <w:highlight w:val="none"/>
              </w:rPr>
              <w:t>12</w:t>
            </w:r>
          </w:p>
        </w:tc>
        <w:tc>
          <w:tcPr>
            <w:tcW w:w="9618" w:type="dxa"/>
            <w:vAlign w:val="center"/>
          </w:tcPr>
          <w:p>
            <w:pPr>
              <w:ind w:left="0" w:firstLine="0"/>
              <w:rPr>
                <w:highlight w:val="none"/>
              </w:rPr>
            </w:pPr>
            <w:r>
              <w:rPr>
                <w:rFonts w:hint="eastAsia"/>
                <w:highlight w:val="none"/>
              </w:rPr>
              <w:t>质量保障方案切实可行，有明确的质量保障措施，供货商品质保期跟其它投标人相当。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619" w:type="dxa"/>
            <w:vMerge w:val="continue"/>
            <w:vAlign w:val="center"/>
          </w:tcPr>
          <w:p>
            <w:pPr>
              <w:ind w:left="0" w:firstLine="0"/>
              <w:jc w:val="center"/>
              <w:rPr>
                <w:highlight w:val="none"/>
              </w:rPr>
            </w:pPr>
          </w:p>
        </w:tc>
        <w:tc>
          <w:tcPr>
            <w:tcW w:w="1689" w:type="dxa"/>
            <w:vMerge w:val="continue"/>
            <w:vAlign w:val="center"/>
          </w:tcPr>
          <w:p>
            <w:pPr>
              <w:ind w:left="0" w:firstLine="0"/>
              <w:jc w:val="center"/>
              <w:rPr>
                <w:highlight w:val="none"/>
              </w:rPr>
            </w:pPr>
          </w:p>
        </w:tc>
        <w:tc>
          <w:tcPr>
            <w:tcW w:w="1245" w:type="dxa"/>
            <w:vAlign w:val="center"/>
          </w:tcPr>
          <w:p>
            <w:pPr>
              <w:snapToGrid w:val="0"/>
              <w:spacing w:line="288" w:lineRule="auto"/>
              <w:jc w:val="center"/>
              <w:rPr>
                <w:highlight w:val="none"/>
              </w:rPr>
            </w:pPr>
            <w:r>
              <w:rPr>
                <w:rFonts w:hint="eastAsia" w:ascii="宋体" w:hAnsi="宋体"/>
                <w:highlight w:val="none"/>
              </w:rPr>
              <w:t>0</w:t>
            </w:r>
            <w:r>
              <w:rPr>
                <w:rFonts w:hint="eastAsia" w:ascii="宋体" w:hAnsi="宋体" w:cs="宋体"/>
                <w:highlight w:val="none"/>
              </w:rPr>
              <w:t>﹤</w:t>
            </w:r>
            <w:r>
              <w:rPr>
                <w:rFonts w:ascii="宋体" w:hAnsi="宋体"/>
                <w:highlight w:val="none"/>
              </w:rPr>
              <w:t>m</w:t>
            </w:r>
            <w:r>
              <w:rPr>
                <w:rFonts w:hint="eastAsia" w:ascii="宋体" w:hAnsi="宋体" w:cs="宋体"/>
                <w:highlight w:val="none"/>
              </w:rPr>
              <w:t>≦</w:t>
            </w:r>
            <w:r>
              <w:rPr>
                <w:rFonts w:hint="eastAsia" w:ascii="宋体" w:hAnsi="宋体"/>
                <w:highlight w:val="none"/>
              </w:rPr>
              <w:t>9</w:t>
            </w:r>
          </w:p>
        </w:tc>
        <w:tc>
          <w:tcPr>
            <w:tcW w:w="9618" w:type="dxa"/>
            <w:vAlign w:val="center"/>
          </w:tcPr>
          <w:p>
            <w:pPr>
              <w:ind w:left="0" w:firstLine="0"/>
              <w:rPr>
                <w:highlight w:val="none"/>
              </w:rPr>
            </w:pPr>
            <w:r>
              <w:rPr>
                <w:rFonts w:hint="eastAsia"/>
                <w:highlight w:val="none"/>
              </w:rPr>
              <w:t>质量保障方案基本满足要求。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1" w:hRule="atLeast"/>
          <w:jc w:val="center"/>
        </w:trPr>
        <w:tc>
          <w:tcPr>
            <w:tcW w:w="619" w:type="dxa"/>
            <w:vMerge w:val="restart"/>
            <w:vAlign w:val="center"/>
          </w:tcPr>
          <w:p>
            <w:pPr>
              <w:ind w:left="0" w:firstLine="0"/>
              <w:jc w:val="center"/>
              <w:rPr>
                <w:highlight w:val="none"/>
              </w:rPr>
            </w:pPr>
            <w:r>
              <w:rPr>
                <w:rFonts w:hint="eastAsia"/>
                <w:highlight w:val="none"/>
              </w:rPr>
              <w:t>4</w:t>
            </w:r>
          </w:p>
        </w:tc>
        <w:tc>
          <w:tcPr>
            <w:tcW w:w="1689" w:type="dxa"/>
            <w:vMerge w:val="restart"/>
            <w:vAlign w:val="center"/>
          </w:tcPr>
          <w:p>
            <w:pPr>
              <w:ind w:left="0" w:firstLine="0"/>
              <w:jc w:val="center"/>
              <w:rPr>
                <w:highlight w:val="none"/>
              </w:rPr>
            </w:pPr>
            <w:r>
              <w:rPr>
                <w:rFonts w:hint="eastAsia"/>
                <w:highlight w:val="none"/>
              </w:rPr>
              <w:t>售后服务方案（15分）</w:t>
            </w:r>
          </w:p>
        </w:tc>
        <w:tc>
          <w:tcPr>
            <w:tcW w:w="1245" w:type="dxa"/>
            <w:vAlign w:val="center"/>
          </w:tcPr>
          <w:p>
            <w:pPr>
              <w:snapToGrid w:val="0"/>
              <w:spacing w:line="288" w:lineRule="auto"/>
              <w:jc w:val="center"/>
              <w:rPr>
                <w:highlight w:val="none"/>
              </w:rPr>
            </w:pPr>
            <w:r>
              <w:rPr>
                <w:rFonts w:hint="eastAsia" w:ascii="宋体" w:hAnsi="宋体"/>
                <w:highlight w:val="none"/>
              </w:rPr>
              <w:t>12</w:t>
            </w:r>
            <w:r>
              <w:rPr>
                <w:rFonts w:hint="eastAsia" w:ascii="宋体" w:hAnsi="宋体" w:cs="宋体"/>
                <w:highlight w:val="none"/>
              </w:rPr>
              <w:t>﹤</w:t>
            </w:r>
            <w:r>
              <w:rPr>
                <w:rFonts w:ascii="宋体" w:hAnsi="宋体"/>
                <w:highlight w:val="none"/>
              </w:rPr>
              <w:t>m</w:t>
            </w:r>
            <w:r>
              <w:rPr>
                <w:rFonts w:hint="eastAsia" w:ascii="宋体" w:hAnsi="宋体" w:cs="宋体"/>
                <w:highlight w:val="none"/>
              </w:rPr>
              <w:t>≦</w:t>
            </w:r>
            <w:r>
              <w:rPr>
                <w:rFonts w:hint="eastAsia" w:ascii="宋体" w:hAnsi="宋体"/>
                <w:highlight w:val="none"/>
              </w:rPr>
              <w:t>15</w:t>
            </w:r>
          </w:p>
        </w:tc>
        <w:tc>
          <w:tcPr>
            <w:tcW w:w="9618" w:type="dxa"/>
            <w:vAlign w:val="center"/>
          </w:tcPr>
          <w:p>
            <w:pPr>
              <w:ind w:left="0" w:firstLine="0"/>
              <w:rPr>
                <w:highlight w:val="none"/>
              </w:rPr>
            </w:pPr>
            <w:r>
              <w:rPr>
                <w:rFonts w:hint="eastAsia"/>
                <w:highlight w:val="none"/>
              </w:rPr>
              <w:t>售后服务方案非常有针对性、服务响应时间及解决方案大部分优于大部分投标人，售后服务具体措施得力。在项目所在地有售后服务点，响应时间快速，提供每周7天×24 小时的故障/缺陷接受渠道，在质保期出现问题可及时安排现场人员现场解决问题。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19" w:type="dxa"/>
            <w:vMerge w:val="continue"/>
            <w:vAlign w:val="center"/>
          </w:tcPr>
          <w:p>
            <w:pPr>
              <w:ind w:left="0" w:firstLine="0"/>
              <w:jc w:val="center"/>
              <w:rPr>
                <w:highlight w:val="none"/>
              </w:rPr>
            </w:pPr>
          </w:p>
        </w:tc>
        <w:tc>
          <w:tcPr>
            <w:tcW w:w="1689" w:type="dxa"/>
            <w:vMerge w:val="continue"/>
            <w:vAlign w:val="center"/>
          </w:tcPr>
          <w:p>
            <w:pPr>
              <w:ind w:left="0" w:firstLine="0"/>
              <w:jc w:val="center"/>
              <w:rPr>
                <w:highlight w:val="none"/>
              </w:rPr>
            </w:pPr>
          </w:p>
        </w:tc>
        <w:tc>
          <w:tcPr>
            <w:tcW w:w="1245" w:type="dxa"/>
            <w:vAlign w:val="center"/>
          </w:tcPr>
          <w:p>
            <w:pPr>
              <w:snapToGrid w:val="0"/>
              <w:spacing w:line="288" w:lineRule="auto"/>
              <w:jc w:val="center"/>
              <w:rPr>
                <w:highlight w:val="none"/>
              </w:rPr>
            </w:pPr>
            <w:r>
              <w:rPr>
                <w:rFonts w:hint="eastAsia" w:ascii="宋体" w:hAnsi="宋体"/>
                <w:highlight w:val="none"/>
              </w:rPr>
              <w:t>9</w:t>
            </w:r>
            <w:r>
              <w:rPr>
                <w:rFonts w:hint="eastAsia" w:ascii="宋体" w:hAnsi="宋体" w:cs="宋体"/>
                <w:highlight w:val="none"/>
              </w:rPr>
              <w:t>﹤</w:t>
            </w:r>
            <w:r>
              <w:rPr>
                <w:rFonts w:hint="eastAsia" w:ascii="宋体" w:hAnsi="宋体"/>
                <w:highlight w:val="none"/>
              </w:rPr>
              <w:t>m</w:t>
            </w:r>
            <w:r>
              <w:rPr>
                <w:rFonts w:hint="eastAsia" w:ascii="宋体" w:hAnsi="宋体" w:cs="宋体"/>
                <w:highlight w:val="none"/>
              </w:rPr>
              <w:t>≦</w:t>
            </w:r>
            <w:r>
              <w:rPr>
                <w:rFonts w:hint="eastAsia" w:ascii="宋体" w:hAnsi="宋体"/>
                <w:highlight w:val="none"/>
              </w:rPr>
              <w:t>12</w:t>
            </w:r>
          </w:p>
        </w:tc>
        <w:tc>
          <w:tcPr>
            <w:tcW w:w="9618" w:type="dxa"/>
            <w:vAlign w:val="center"/>
          </w:tcPr>
          <w:p>
            <w:pPr>
              <w:ind w:left="0" w:firstLine="0"/>
              <w:rPr>
                <w:highlight w:val="none"/>
              </w:rPr>
            </w:pPr>
            <w:r>
              <w:rPr>
                <w:rFonts w:hint="eastAsia"/>
                <w:highlight w:val="none"/>
              </w:rPr>
              <w:t>售后服务方案有一定的针对性、服务响应时间及解决方案部分跟其它投标人相当，售后服务具体措施较好。</w:t>
            </w:r>
            <w:r>
              <w:rPr>
                <w:rFonts w:hint="eastAsia" w:ascii="宋体" w:hAnsi="宋体" w:cs="Arial"/>
                <w:highlight w:val="none"/>
              </w:rPr>
              <w:t>项目所在地无</w:t>
            </w:r>
            <w:r>
              <w:rPr>
                <w:rFonts w:hint="eastAsia"/>
                <w:highlight w:val="none"/>
              </w:rPr>
              <w:t>售后服务点</w:t>
            </w:r>
            <w:r>
              <w:rPr>
                <w:rFonts w:hint="eastAsia" w:ascii="宋体" w:hAnsi="宋体" w:cs="Arial"/>
                <w:highlight w:val="none"/>
              </w:rPr>
              <w:t>，</w:t>
            </w:r>
            <w:r>
              <w:rPr>
                <w:rFonts w:hint="eastAsia" w:ascii="宋体" w:hAnsi="宋体" w:cs="宋体"/>
                <w:szCs w:val="24"/>
                <w:highlight w:val="none"/>
              </w:rPr>
              <w:t>响应时间一般，提供每周5天</w:t>
            </w:r>
            <w:r>
              <w:rPr>
                <w:rFonts w:hint="eastAsia"/>
                <w:highlight w:val="none"/>
              </w:rPr>
              <w:t>×</w:t>
            </w:r>
            <w:r>
              <w:rPr>
                <w:rFonts w:hint="eastAsia" w:ascii="宋体" w:hAnsi="宋体" w:cs="宋体"/>
                <w:szCs w:val="24"/>
                <w:highlight w:val="none"/>
              </w:rPr>
              <w:t>24 小时的故障/缺陷接受渠道，在质保期出现问题能及时安排现场人员解决问题</w:t>
            </w:r>
            <w:r>
              <w:rPr>
                <w:rFonts w:hint="eastAsia"/>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619" w:type="dxa"/>
            <w:vMerge w:val="continue"/>
            <w:vAlign w:val="center"/>
          </w:tcPr>
          <w:p>
            <w:pPr>
              <w:ind w:left="0" w:firstLine="0"/>
              <w:jc w:val="center"/>
              <w:rPr>
                <w:highlight w:val="none"/>
              </w:rPr>
            </w:pPr>
          </w:p>
        </w:tc>
        <w:tc>
          <w:tcPr>
            <w:tcW w:w="1689" w:type="dxa"/>
            <w:vMerge w:val="continue"/>
            <w:vAlign w:val="center"/>
          </w:tcPr>
          <w:p>
            <w:pPr>
              <w:ind w:left="0" w:firstLine="0"/>
              <w:jc w:val="center"/>
              <w:rPr>
                <w:highlight w:val="none"/>
              </w:rPr>
            </w:pPr>
          </w:p>
        </w:tc>
        <w:tc>
          <w:tcPr>
            <w:tcW w:w="1245" w:type="dxa"/>
            <w:vAlign w:val="center"/>
          </w:tcPr>
          <w:p>
            <w:pPr>
              <w:snapToGrid w:val="0"/>
              <w:spacing w:line="288" w:lineRule="auto"/>
              <w:jc w:val="center"/>
              <w:rPr>
                <w:highlight w:val="none"/>
              </w:rPr>
            </w:pPr>
            <w:r>
              <w:rPr>
                <w:rFonts w:hint="eastAsia" w:ascii="宋体" w:hAnsi="宋体"/>
                <w:highlight w:val="none"/>
              </w:rPr>
              <w:t>0</w:t>
            </w:r>
            <w:r>
              <w:rPr>
                <w:rFonts w:hint="eastAsia" w:ascii="宋体" w:hAnsi="宋体" w:cs="宋体"/>
                <w:highlight w:val="none"/>
              </w:rPr>
              <w:t>﹤</w:t>
            </w:r>
            <w:r>
              <w:rPr>
                <w:rFonts w:ascii="宋体" w:hAnsi="宋体"/>
                <w:highlight w:val="none"/>
              </w:rPr>
              <w:t>m</w:t>
            </w:r>
            <w:r>
              <w:rPr>
                <w:rFonts w:hint="eastAsia" w:ascii="宋体" w:hAnsi="宋体" w:cs="宋体"/>
                <w:highlight w:val="none"/>
              </w:rPr>
              <w:t>≦</w:t>
            </w:r>
            <w:r>
              <w:rPr>
                <w:rFonts w:hint="eastAsia" w:ascii="宋体" w:hAnsi="宋体"/>
                <w:highlight w:val="none"/>
              </w:rPr>
              <w:t>9</w:t>
            </w:r>
          </w:p>
        </w:tc>
        <w:tc>
          <w:tcPr>
            <w:tcW w:w="9618" w:type="dxa"/>
            <w:vAlign w:val="center"/>
          </w:tcPr>
          <w:p>
            <w:pPr>
              <w:ind w:left="0" w:firstLine="0"/>
              <w:rPr>
                <w:highlight w:val="none"/>
              </w:rPr>
            </w:pPr>
            <w:r>
              <w:rPr>
                <w:rFonts w:hint="eastAsia"/>
                <w:highlight w:val="none"/>
              </w:rPr>
              <w:t>售后服务方案一般。</w:t>
            </w:r>
            <w:r>
              <w:rPr>
                <w:rFonts w:hint="eastAsia" w:ascii="宋体" w:hAnsi="宋体" w:cs="Arial"/>
                <w:highlight w:val="none"/>
              </w:rPr>
              <w:t>项目所在地无</w:t>
            </w:r>
            <w:r>
              <w:rPr>
                <w:rFonts w:hint="eastAsia"/>
                <w:highlight w:val="none"/>
              </w:rPr>
              <w:t>售后服务点</w:t>
            </w:r>
            <w:r>
              <w:rPr>
                <w:rFonts w:hint="eastAsia" w:ascii="宋体" w:hAnsi="宋体" w:cs="Arial"/>
                <w:highlight w:val="none"/>
              </w:rPr>
              <w:t>，</w:t>
            </w:r>
            <w:r>
              <w:rPr>
                <w:rFonts w:hint="eastAsia" w:ascii="宋体" w:hAnsi="宋体" w:cs="宋体"/>
                <w:szCs w:val="24"/>
                <w:highlight w:val="none"/>
              </w:rPr>
              <w:t>响应时间慢或者不明确，不能提供故障/缺陷接受渠道或者不明确，在质保期出现问题不能及时安排现场人员解决问题</w:t>
            </w:r>
            <w:r>
              <w:rPr>
                <w:rFonts w:hint="eastAsia"/>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308" w:type="dxa"/>
            <w:gridSpan w:val="2"/>
          </w:tcPr>
          <w:p>
            <w:pPr>
              <w:ind w:left="0" w:firstLine="0"/>
              <w:jc w:val="center"/>
              <w:rPr>
                <w:highlight w:val="none"/>
              </w:rPr>
            </w:pPr>
            <w:r>
              <w:rPr>
                <w:rFonts w:hint="eastAsia"/>
                <w:highlight w:val="none"/>
              </w:rPr>
              <w:t>合计</w:t>
            </w:r>
          </w:p>
        </w:tc>
        <w:tc>
          <w:tcPr>
            <w:tcW w:w="1245" w:type="dxa"/>
          </w:tcPr>
          <w:p>
            <w:pPr>
              <w:ind w:left="0" w:firstLine="0"/>
              <w:jc w:val="center"/>
              <w:rPr>
                <w:highlight w:val="none"/>
              </w:rPr>
            </w:pPr>
            <w:r>
              <w:rPr>
                <w:rFonts w:hint="eastAsia"/>
                <w:highlight w:val="none"/>
              </w:rPr>
              <w:t>55分</w:t>
            </w:r>
          </w:p>
        </w:tc>
        <w:tc>
          <w:tcPr>
            <w:tcW w:w="9618" w:type="dxa"/>
          </w:tcPr>
          <w:p>
            <w:pPr>
              <w:ind w:left="0" w:firstLine="0"/>
              <w:rPr>
                <w:highlight w:val="none"/>
              </w:rPr>
            </w:pPr>
          </w:p>
        </w:tc>
      </w:tr>
    </w:tbl>
    <w:p>
      <w:pPr>
        <w:spacing w:before="0"/>
        <w:ind w:right="0" w:firstLine="0"/>
        <w:rPr>
          <w:color w:val="FF0000"/>
          <w:highlight w:val="none"/>
        </w:rPr>
      </w:pPr>
    </w:p>
    <w:p>
      <w:pPr>
        <w:spacing w:before="0"/>
        <w:ind w:right="0" w:firstLine="0"/>
        <w:rPr>
          <w:b/>
          <w:highlight w:val="none"/>
        </w:rPr>
        <w:sectPr>
          <w:headerReference r:id="rId14" w:type="default"/>
          <w:pgSz w:w="16838" w:h="11905" w:orient="landscape"/>
          <w:pgMar w:top="1417" w:right="1417" w:bottom="1417" w:left="1417" w:header="454" w:footer="567" w:gutter="0"/>
          <w:pgNumType w:fmt="decimal"/>
          <w:cols w:space="720" w:num="1"/>
          <w:docGrid w:linePitch="286" w:charSpace="0"/>
        </w:sectPr>
      </w:pPr>
    </w:p>
    <w:p>
      <w:pPr>
        <w:keepNext/>
        <w:keepLines/>
        <w:pageBreakBefore/>
        <w:ind w:left="482" w:hanging="482" w:hangingChars="200"/>
        <w:outlineLvl w:val="1"/>
        <w:rPr>
          <w:rFonts w:ascii="宋体" w:hAnsi="宋体" w:cs="宋体"/>
          <w:color w:val="FF0000"/>
          <w:highlight w:val="none"/>
        </w:rPr>
      </w:pPr>
      <w:bookmarkStart w:id="1104" w:name="_Toc16135"/>
      <w:bookmarkStart w:id="1105" w:name="_Toc32509"/>
      <w:bookmarkStart w:id="1106" w:name="_Toc5607"/>
      <w:bookmarkStart w:id="1107" w:name="_Toc24440"/>
      <w:bookmarkStart w:id="1108" w:name="_Toc12155"/>
      <w:bookmarkStart w:id="1109" w:name="_Toc30465"/>
      <w:bookmarkStart w:id="1110" w:name="_Toc21704"/>
      <w:bookmarkStart w:id="1111" w:name="_Toc26009"/>
      <w:bookmarkStart w:id="1112" w:name="_Toc22721"/>
      <w:bookmarkStart w:id="1113" w:name="_Toc5367"/>
      <w:r>
        <w:rPr>
          <w:rFonts w:hint="eastAsia"/>
          <w:b/>
          <w:sz w:val="24"/>
          <w:szCs w:val="24"/>
          <w:highlight w:val="none"/>
        </w:rPr>
        <w:t>附表五 投标报价评分表</w:t>
      </w:r>
      <w:bookmarkEnd w:id="1104"/>
      <w:bookmarkEnd w:id="1105"/>
      <w:bookmarkEnd w:id="1106"/>
      <w:bookmarkEnd w:id="1107"/>
      <w:bookmarkEnd w:id="1108"/>
      <w:bookmarkEnd w:id="1109"/>
      <w:bookmarkEnd w:id="1110"/>
      <w:bookmarkEnd w:id="1111"/>
      <w:bookmarkEnd w:id="1112"/>
      <w:bookmarkEnd w:id="1113"/>
    </w:p>
    <w:p>
      <w:pPr>
        <w:spacing w:before="159"/>
        <w:ind w:right="-57" w:firstLine="0"/>
        <w:jc w:val="center"/>
        <w:rPr>
          <w:rFonts w:ascii="宋体" w:hAnsi="宋体"/>
          <w:b/>
          <w:sz w:val="24"/>
          <w:szCs w:val="24"/>
          <w:highlight w:val="none"/>
        </w:rPr>
      </w:pP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080"/>
        <w:gridCol w:w="4275"/>
        <w:gridCol w:w="2220"/>
        <w:gridCol w:w="9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5" w:hRule="atLeast"/>
          <w:tblHeader/>
          <w:jc w:val="center"/>
        </w:trPr>
        <w:tc>
          <w:tcPr>
            <w:tcW w:w="766" w:type="dxa"/>
            <w:vAlign w:val="center"/>
          </w:tcPr>
          <w:p>
            <w:pPr>
              <w:jc w:val="center"/>
              <w:rPr>
                <w:highlight w:val="none"/>
              </w:rPr>
            </w:pPr>
            <w:bookmarkStart w:id="1114" w:name="_Hlk68786469"/>
            <w:r>
              <w:rPr>
                <w:highlight w:val="none"/>
              </w:rPr>
              <w:t>序号</w:t>
            </w:r>
          </w:p>
        </w:tc>
        <w:tc>
          <w:tcPr>
            <w:tcW w:w="1080" w:type="dxa"/>
            <w:vAlign w:val="center"/>
          </w:tcPr>
          <w:p>
            <w:pPr>
              <w:jc w:val="center"/>
              <w:rPr>
                <w:highlight w:val="none"/>
              </w:rPr>
            </w:pPr>
            <w:r>
              <w:rPr>
                <w:rFonts w:hint="eastAsia"/>
                <w:highlight w:val="none"/>
              </w:rPr>
              <w:t>项目</w:t>
            </w:r>
          </w:p>
        </w:tc>
        <w:tc>
          <w:tcPr>
            <w:tcW w:w="4275" w:type="dxa"/>
            <w:vAlign w:val="center"/>
          </w:tcPr>
          <w:p>
            <w:pPr>
              <w:jc w:val="center"/>
              <w:rPr>
                <w:highlight w:val="none"/>
              </w:rPr>
            </w:pPr>
            <w:r>
              <w:rPr>
                <w:rFonts w:hint="eastAsia"/>
                <w:highlight w:val="none"/>
              </w:rPr>
              <w:t>基准价</w:t>
            </w:r>
          </w:p>
        </w:tc>
        <w:tc>
          <w:tcPr>
            <w:tcW w:w="2220" w:type="dxa"/>
            <w:vAlign w:val="center"/>
          </w:tcPr>
          <w:p>
            <w:pPr>
              <w:jc w:val="center"/>
              <w:rPr>
                <w:highlight w:val="none"/>
              </w:rPr>
            </w:pPr>
            <w:r>
              <w:rPr>
                <w:rFonts w:hint="eastAsia"/>
                <w:highlight w:val="none"/>
              </w:rPr>
              <w:t>得分计算公式</w:t>
            </w:r>
          </w:p>
        </w:tc>
        <w:tc>
          <w:tcPr>
            <w:tcW w:w="946" w:type="dxa"/>
            <w:vAlign w:val="center"/>
          </w:tcPr>
          <w:p>
            <w:pPr>
              <w:jc w:val="center"/>
              <w:rPr>
                <w:highlight w:val="none"/>
              </w:rPr>
            </w:pPr>
            <w:r>
              <w:rPr>
                <w:rFonts w:hint="eastAsia"/>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85" w:hRule="exact"/>
          <w:jc w:val="center"/>
        </w:trPr>
        <w:tc>
          <w:tcPr>
            <w:tcW w:w="766" w:type="dxa"/>
            <w:vAlign w:val="center"/>
          </w:tcPr>
          <w:p>
            <w:pPr>
              <w:jc w:val="center"/>
              <w:rPr>
                <w:highlight w:val="none"/>
              </w:rPr>
            </w:pPr>
            <w:r>
              <w:rPr>
                <w:highlight w:val="none"/>
              </w:rPr>
              <w:t>1</w:t>
            </w:r>
          </w:p>
        </w:tc>
        <w:tc>
          <w:tcPr>
            <w:tcW w:w="1080" w:type="dxa"/>
            <w:vAlign w:val="center"/>
          </w:tcPr>
          <w:p>
            <w:pPr>
              <w:jc w:val="center"/>
              <w:rPr>
                <w:highlight w:val="none"/>
              </w:rPr>
            </w:pPr>
            <w:r>
              <w:rPr>
                <w:highlight w:val="none"/>
              </w:rPr>
              <w:t>投标报价</w:t>
            </w:r>
          </w:p>
        </w:tc>
        <w:tc>
          <w:tcPr>
            <w:tcW w:w="4275" w:type="dxa"/>
            <w:vAlign w:val="center"/>
          </w:tcPr>
          <w:p>
            <w:pPr>
              <w:numPr>
                <w:ilvl w:val="0"/>
                <w:numId w:val="5"/>
              </w:numPr>
              <w:spacing w:before="0" w:after="0" w:afterAutospacing="0"/>
              <w:ind w:left="0" w:right="0" w:firstLine="0"/>
              <w:jc w:val="left"/>
              <w:rPr>
                <w:highlight w:val="none"/>
              </w:rPr>
            </w:pPr>
            <w:r>
              <w:rPr>
                <w:highlight w:val="none"/>
              </w:rPr>
              <w:t>有效报价范围：为投标总价低于或等于招标控制价，通过</w:t>
            </w:r>
            <w:r>
              <w:rPr>
                <w:rFonts w:hint="eastAsia"/>
                <w:highlight w:val="none"/>
              </w:rPr>
              <w:t>资格审查</w:t>
            </w:r>
            <w:r>
              <w:rPr>
                <w:highlight w:val="none"/>
              </w:rPr>
              <w:t>、初步评审的，经评标委员会审定不存在严重不平衡、不合理、不低于其企业成本的投标人的投标总价。</w:t>
            </w:r>
          </w:p>
          <w:p>
            <w:pPr>
              <w:numPr>
                <w:ilvl w:val="0"/>
                <w:numId w:val="5"/>
              </w:numPr>
              <w:spacing w:before="0" w:after="0" w:afterAutospacing="0"/>
              <w:ind w:left="0" w:right="0" w:firstLine="0"/>
              <w:jc w:val="left"/>
              <w:rPr>
                <w:highlight w:val="none"/>
              </w:rPr>
            </w:pPr>
            <w:r>
              <w:rPr>
                <w:highlight w:val="none"/>
              </w:rPr>
              <w:t>在有效报价范围内的投标人在</w:t>
            </w:r>
            <w:r>
              <w:rPr>
                <w:rFonts w:hint="eastAsia"/>
                <w:highlight w:val="none"/>
              </w:rPr>
              <w:t>7</w:t>
            </w:r>
            <w:r>
              <w:rPr>
                <w:highlight w:val="none"/>
              </w:rPr>
              <w:t>家以上的，从最高的投标报价开始去掉</w:t>
            </w:r>
            <w:r>
              <w:rPr>
                <w:rFonts w:hint="eastAsia"/>
                <w:highlight w:val="none"/>
              </w:rPr>
              <w:t>n</w:t>
            </w:r>
            <w:r>
              <w:rPr>
                <w:highlight w:val="none"/>
              </w:rPr>
              <w:t>家投标报价和从最低的投标报价开始去掉</w:t>
            </w:r>
            <w:r>
              <w:rPr>
                <w:rFonts w:hint="eastAsia"/>
                <w:highlight w:val="none"/>
              </w:rPr>
              <w:t>n</w:t>
            </w:r>
            <w:r>
              <w:rPr>
                <w:highlight w:val="none"/>
              </w:rPr>
              <w:t>家或</w:t>
            </w:r>
            <w:r>
              <w:rPr>
                <w:rFonts w:hint="eastAsia"/>
                <w:highlight w:val="none"/>
              </w:rPr>
              <w:t>n-1</w:t>
            </w:r>
            <w:r>
              <w:rPr>
                <w:highlight w:val="none"/>
              </w:rPr>
              <w:t>家（有效报价范围内投标人家数为偶数时取</w:t>
            </w:r>
            <w:r>
              <w:rPr>
                <w:rFonts w:hint="eastAsia"/>
                <w:highlight w:val="none"/>
              </w:rPr>
              <w:t>n-1</w:t>
            </w:r>
            <w:r>
              <w:rPr>
                <w:highlight w:val="none"/>
              </w:rPr>
              <w:t>家）投标报价后（当出现两个或两个以上相同投标报价时，一并去掉），取</w:t>
            </w:r>
            <w:r>
              <w:rPr>
                <w:rFonts w:hint="eastAsia"/>
                <w:highlight w:val="none"/>
              </w:rPr>
              <w:t>7</w:t>
            </w:r>
            <w:r>
              <w:rPr>
                <w:highlight w:val="none"/>
              </w:rPr>
              <w:t>家（如不足</w:t>
            </w:r>
            <w:r>
              <w:rPr>
                <w:rFonts w:hint="eastAsia"/>
                <w:highlight w:val="none"/>
              </w:rPr>
              <w:t>7</w:t>
            </w:r>
            <w:r>
              <w:rPr>
                <w:highlight w:val="none"/>
              </w:rPr>
              <w:t>家，按实际家数计取）投标人报价进入评标基准价计算范围，再取其有效报价的算术平均值作为评标基准价；在有效报价范围内的投标人在</w:t>
            </w:r>
            <w:r>
              <w:rPr>
                <w:rFonts w:hint="eastAsia"/>
                <w:highlight w:val="none"/>
              </w:rPr>
              <w:t>7</w:t>
            </w:r>
            <w:r>
              <w:rPr>
                <w:highlight w:val="none"/>
              </w:rPr>
              <w:t>家（含</w:t>
            </w:r>
            <w:r>
              <w:rPr>
                <w:rFonts w:hint="eastAsia"/>
                <w:highlight w:val="none"/>
              </w:rPr>
              <w:t>7</w:t>
            </w:r>
            <w:r>
              <w:rPr>
                <w:highlight w:val="none"/>
              </w:rPr>
              <w:t>家）以下的，将全部有效报价的算术平均值作为评标基准价。</w:t>
            </w:r>
            <w:r>
              <w:rPr>
                <w:rFonts w:hint="eastAsia"/>
                <w:highlight w:val="none"/>
              </w:rPr>
              <w:t>n=</w:t>
            </w:r>
            <w:r>
              <w:rPr>
                <w:highlight w:val="none"/>
              </w:rPr>
              <w:t>（有效报价范围内的投标人家数－</w:t>
            </w:r>
            <w:r>
              <w:rPr>
                <w:rFonts w:hint="eastAsia"/>
                <w:highlight w:val="none"/>
              </w:rPr>
              <w:t>7</w:t>
            </w:r>
            <w:r>
              <w:rPr>
                <w:highlight w:val="none"/>
              </w:rPr>
              <w:t>）</w:t>
            </w:r>
            <w:r>
              <w:rPr>
                <w:rFonts w:hint="eastAsia"/>
                <w:highlight w:val="none"/>
              </w:rPr>
              <w:t>/2</w:t>
            </w:r>
            <w:r>
              <w:rPr>
                <w:highlight w:val="none"/>
              </w:rPr>
              <w:t>，</w:t>
            </w:r>
            <w:r>
              <w:rPr>
                <w:rFonts w:hint="eastAsia"/>
                <w:highlight w:val="none"/>
              </w:rPr>
              <w:t>n</w:t>
            </w:r>
            <w:r>
              <w:rPr>
                <w:highlight w:val="none"/>
              </w:rPr>
              <w:t>为四舍五入取整数。</w:t>
            </w:r>
          </w:p>
          <w:p>
            <w:pPr>
              <w:numPr>
                <w:ilvl w:val="0"/>
                <w:numId w:val="5"/>
              </w:numPr>
              <w:spacing w:before="0" w:after="0" w:afterAutospacing="0"/>
              <w:ind w:left="0" w:right="0" w:firstLine="0"/>
              <w:jc w:val="left"/>
              <w:rPr>
                <w:highlight w:val="none"/>
              </w:rPr>
            </w:pPr>
            <w:r>
              <w:rPr>
                <w:rFonts w:hint="eastAsia"/>
                <w:highlight w:val="none"/>
              </w:rPr>
              <w:t>评标基准价计算过程中小数位数保留到分。</w:t>
            </w:r>
          </w:p>
          <w:p>
            <w:pPr>
              <w:pStyle w:val="2"/>
              <w:ind w:left="0" w:leftChars="0" w:firstLine="0" w:firstLineChars="0"/>
              <w:rPr>
                <w:rFonts w:eastAsia="宋体"/>
                <w:highlight w:val="none"/>
              </w:rPr>
            </w:pPr>
          </w:p>
          <w:p>
            <w:pPr>
              <w:pStyle w:val="2"/>
              <w:ind w:firstLine="480"/>
              <w:rPr>
                <w:highlight w:val="none"/>
              </w:rPr>
            </w:pPr>
          </w:p>
          <w:p>
            <w:pPr>
              <w:numPr>
                <w:ilvl w:val="0"/>
                <w:numId w:val="5"/>
              </w:numPr>
              <w:spacing w:before="0" w:after="0" w:afterAutospacing="0"/>
              <w:ind w:left="0" w:right="0" w:firstLine="0"/>
              <w:jc w:val="left"/>
              <w:rPr>
                <w:highlight w:val="none"/>
              </w:rPr>
            </w:pPr>
            <w:r>
              <w:rPr>
                <w:rFonts w:hint="eastAsia"/>
                <w:highlight w:val="none"/>
              </w:rPr>
              <w:t>评标基准价计算过程中小数位数保留到分。</w:t>
            </w:r>
          </w:p>
          <w:p>
            <w:pPr>
              <w:spacing w:before="0"/>
              <w:ind w:left="0" w:right="0" w:firstLine="0"/>
              <w:jc w:val="center"/>
              <w:rPr>
                <w:highlight w:val="none"/>
              </w:rPr>
            </w:pPr>
          </w:p>
        </w:tc>
        <w:tc>
          <w:tcPr>
            <w:tcW w:w="2220" w:type="dxa"/>
            <w:vAlign w:val="center"/>
          </w:tcPr>
          <w:p>
            <w:pPr>
              <w:spacing w:before="0" w:after="0" w:afterAutospacing="0"/>
              <w:ind w:left="0" w:right="0" w:firstLine="0"/>
              <w:jc w:val="left"/>
              <w:rPr>
                <w:highlight w:val="none"/>
              </w:rPr>
            </w:pPr>
            <w:r>
              <w:rPr>
                <w:rFonts w:hint="eastAsia"/>
                <w:highlight w:val="none"/>
              </w:rPr>
              <w:t>得分计算公式：</w:t>
            </w:r>
            <w:r>
              <w:rPr>
                <w:highlight w:val="none"/>
              </w:rPr>
              <w:t>投标人有效报价每高于基准价1％，扣</w:t>
            </w:r>
            <w:r>
              <w:rPr>
                <w:rFonts w:hint="eastAsia"/>
                <w:highlight w:val="none"/>
              </w:rPr>
              <w:t>0.5</w:t>
            </w:r>
            <w:r>
              <w:rPr>
                <w:highlight w:val="none"/>
              </w:rPr>
              <w:t>分，计算公式：报价得分=</w:t>
            </w:r>
            <w:r>
              <w:rPr>
                <w:rFonts w:hint="eastAsia"/>
                <w:highlight w:val="none"/>
              </w:rPr>
              <w:t>3</w:t>
            </w:r>
            <w:r>
              <w:rPr>
                <w:highlight w:val="none"/>
              </w:rPr>
              <w:t>0—（投标人的报价—基准价）/基准价×</w:t>
            </w:r>
            <w:r>
              <w:rPr>
                <w:rFonts w:hint="eastAsia"/>
                <w:color w:val="auto"/>
                <w:highlight w:val="none"/>
                <w:lang w:val="en-US" w:eastAsia="zh-CN"/>
              </w:rPr>
              <w:t>0.5</w:t>
            </w:r>
            <w:r>
              <w:rPr>
                <w:highlight w:val="none"/>
              </w:rPr>
              <w:t>×100；有效报价每低于基准价1％，扣0.</w:t>
            </w:r>
            <w:r>
              <w:rPr>
                <w:rFonts w:hint="eastAsia"/>
                <w:highlight w:val="none"/>
              </w:rPr>
              <w:t>2</w:t>
            </w:r>
            <w:r>
              <w:rPr>
                <w:highlight w:val="none"/>
              </w:rPr>
              <w:t>分，计算公式：报价得分=</w:t>
            </w:r>
            <w:r>
              <w:rPr>
                <w:rFonts w:hint="eastAsia"/>
                <w:highlight w:val="none"/>
              </w:rPr>
              <w:t>3</w:t>
            </w:r>
            <w:r>
              <w:rPr>
                <w:highlight w:val="none"/>
              </w:rPr>
              <w:t>0—（基准价—投标人的报价）/基准价×</w:t>
            </w:r>
            <w:r>
              <w:rPr>
                <w:color w:val="auto"/>
                <w:highlight w:val="none"/>
              </w:rPr>
              <w:t>0.</w:t>
            </w:r>
            <w:r>
              <w:rPr>
                <w:rFonts w:hint="eastAsia"/>
                <w:color w:val="auto"/>
                <w:highlight w:val="none"/>
                <w:lang w:val="en-US" w:eastAsia="zh-CN"/>
              </w:rPr>
              <w:t>2</w:t>
            </w:r>
            <w:r>
              <w:rPr>
                <w:highlight w:val="none"/>
              </w:rPr>
              <w:t>×100。本项最低分0分。计算结果保留2位小数。</w:t>
            </w:r>
          </w:p>
          <w:p>
            <w:pPr>
              <w:pStyle w:val="13"/>
              <w:jc w:val="left"/>
              <w:rPr>
                <w:highlight w:val="none"/>
              </w:rPr>
            </w:pPr>
          </w:p>
        </w:tc>
        <w:tc>
          <w:tcPr>
            <w:tcW w:w="946" w:type="dxa"/>
            <w:vAlign w:val="center"/>
          </w:tcPr>
          <w:p>
            <w:pPr>
              <w:pStyle w:val="13"/>
              <w:jc w:val="left"/>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60" w:hRule="exact"/>
          <w:jc w:val="center"/>
        </w:trPr>
        <w:tc>
          <w:tcPr>
            <w:tcW w:w="6121" w:type="dxa"/>
            <w:gridSpan w:val="3"/>
            <w:vAlign w:val="center"/>
          </w:tcPr>
          <w:p>
            <w:pPr>
              <w:spacing w:before="0"/>
              <w:ind w:left="0" w:right="0" w:firstLine="0"/>
              <w:jc w:val="center"/>
              <w:rPr>
                <w:highlight w:val="none"/>
              </w:rPr>
            </w:pPr>
            <w:r>
              <w:rPr>
                <w:rFonts w:hint="eastAsia"/>
                <w:highlight w:val="none"/>
              </w:rPr>
              <w:t>报价文件满分</w:t>
            </w:r>
          </w:p>
        </w:tc>
        <w:tc>
          <w:tcPr>
            <w:tcW w:w="2220" w:type="dxa"/>
            <w:vAlign w:val="center"/>
          </w:tcPr>
          <w:p>
            <w:pPr>
              <w:pStyle w:val="13"/>
              <w:jc w:val="center"/>
              <w:rPr>
                <w:highlight w:val="none"/>
              </w:rPr>
            </w:pPr>
            <w:r>
              <w:rPr>
                <w:rFonts w:hint="eastAsia"/>
                <w:highlight w:val="none"/>
              </w:rPr>
              <w:t>30</w:t>
            </w:r>
          </w:p>
        </w:tc>
        <w:tc>
          <w:tcPr>
            <w:tcW w:w="946" w:type="dxa"/>
            <w:vAlign w:val="center"/>
          </w:tcPr>
          <w:p>
            <w:pPr>
              <w:pStyle w:val="13"/>
              <w:jc w:val="left"/>
              <w:rPr>
                <w:highlight w:val="none"/>
              </w:rPr>
            </w:pPr>
          </w:p>
        </w:tc>
      </w:tr>
      <w:bookmarkEnd w:id="1114"/>
    </w:tbl>
    <w:p>
      <w:pPr>
        <w:spacing w:before="0" w:after="0" w:afterAutospacing="0"/>
        <w:ind w:left="0" w:right="0" w:firstLine="0"/>
        <w:jc w:val="left"/>
        <w:rPr>
          <w:rFonts w:ascii="宋体" w:hAnsi="宋体"/>
          <w:highlight w:val="none"/>
        </w:rPr>
      </w:pPr>
    </w:p>
    <w:p>
      <w:pPr>
        <w:spacing w:before="0" w:after="0"/>
        <w:ind w:left="420" w:right="0" w:firstLine="0"/>
        <w:jc w:val="left"/>
        <w:rPr>
          <w:rFonts w:ascii="宋体" w:hAnsi="宋体"/>
          <w:highlight w:val="none"/>
        </w:rPr>
      </w:pPr>
      <w:r>
        <w:rPr>
          <w:rFonts w:hint="eastAsia" w:ascii="宋体" w:hAnsi="宋体"/>
          <w:highlight w:val="none"/>
        </w:rPr>
        <w:t>注：投标报价如有修正，经济评审组需填写附表《投标报价修正表》并由投标人代表签字确认。</w:t>
      </w:r>
    </w:p>
    <w:p>
      <w:pPr>
        <w:pStyle w:val="2"/>
        <w:ind w:firstLine="480"/>
        <w:rPr>
          <w:highlight w:val="none"/>
        </w:rPr>
      </w:pPr>
    </w:p>
    <w:p>
      <w:pPr>
        <w:pageBreakBefore/>
        <w:spacing w:before="0" w:after="0" w:afterAutospacing="0"/>
        <w:ind w:left="0" w:right="0" w:firstLine="0"/>
        <w:outlineLvl w:val="1"/>
        <w:rPr>
          <w:sz w:val="24"/>
          <w:szCs w:val="24"/>
          <w:highlight w:val="none"/>
        </w:rPr>
      </w:pPr>
      <w:bookmarkStart w:id="1115" w:name="_Toc29655"/>
      <w:bookmarkStart w:id="1116" w:name="_Toc8375"/>
      <w:bookmarkStart w:id="1117" w:name="_Toc28318"/>
      <w:bookmarkStart w:id="1118" w:name="_Toc27666"/>
      <w:bookmarkStart w:id="1119" w:name="_Toc22810"/>
      <w:bookmarkStart w:id="1120" w:name="_Toc14870"/>
      <w:bookmarkStart w:id="1121" w:name="_Toc12136"/>
      <w:bookmarkStart w:id="1122" w:name="_Toc30402"/>
      <w:bookmarkStart w:id="1123" w:name="_Toc28185"/>
      <w:bookmarkStart w:id="1124" w:name="_Toc8245"/>
      <w:r>
        <w:rPr>
          <w:rFonts w:hint="eastAsia"/>
          <w:b/>
          <w:sz w:val="24"/>
          <w:szCs w:val="24"/>
          <w:highlight w:val="none"/>
        </w:rPr>
        <w:t>附表六 投标报价修正表</w:t>
      </w:r>
      <w:bookmarkEnd w:id="1115"/>
      <w:bookmarkEnd w:id="1116"/>
      <w:bookmarkEnd w:id="1117"/>
      <w:bookmarkEnd w:id="1118"/>
      <w:bookmarkEnd w:id="1119"/>
      <w:bookmarkEnd w:id="1120"/>
      <w:bookmarkEnd w:id="1121"/>
      <w:bookmarkEnd w:id="1122"/>
      <w:bookmarkEnd w:id="1123"/>
      <w:bookmarkEnd w:id="1124"/>
    </w:p>
    <w:p>
      <w:pPr>
        <w:spacing w:before="159"/>
        <w:ind w:left="0" w:right="-57" w:firstLine="0"/>
        <w:jc w:val="center"/>
        <w:rPr>
          <w:rFonts w:ascii="宋体" w:hAnsi="宋体"/>
          <w:b/>
          <w:sz w:val="24"/>
          <w:szCs w:val="24"/>
          <w:highlight w:val="none"/>
        </w:rPr>
      </w:pPr>
      <w:r>
        <w:rPr>
          <w:rFonts w:hint="eastAsia" w:ascii="宋体" w:hAnsi="宋体"/>
          <w:b/>
          <w:sz w:val="24"/>
          <w:szCs w:val="24"/>
          <w:highlight w:val="none"/>
        </w:rPr>
        <w:t>投标报价修正表</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8"/>
        <w:gridCol w:w="1593"/>
        <w:gridCol w:w="2737"/>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92" w:type="pct"/>
            <w:tcBorders>
              <w:left w:val="single" w:color="auto" w:sz="4" w:space="0"/>
              <w:bottom w:val="single" w:color="auto" w:sz="4" w:space="0"/>
              <w:right w:val="single" w:color="auto" w:sz="4" w:space="0"/>
            </w:tcBorders>
            <w:vAlign w:val="center"/>
          </w:tcPr>
          <w:p>
            <w:pPr>
              <w:jc w:val="center"/>
              <w:rPr>
                <w:highlight w:val="none"/>
              </w:rPr>
            </w:pPr>
            <w:r>
              <w:rPr>
                <w:highlight w:val="none"/>
              </w:rPr>
              <w:t>编号</w:t>
            </w:r>
          </w:p>
        </w:tc>
        <w:tc>
          <w:tcPr>
            <w:tcW w:w="858" w:type="pct"/>
            <w:tcBorders>
              <w:left w:val="single" w:color="auto" w:sz="4" w:space="0"/>
              <w:bottom w:val="single" w:color="auto" w:sz="4" w:space="0"/>
              <w:right w:val="single" w:color="auto" w:sz="4" w:space="0"/>
            </w:tcBorders>
            <w:vAlign w:val="center"/>
          </w:tcPr>
          <w:p>
            <w:pPr>
              <w:jc w:val="center"/>
              <w:rPr>
                <w:highlight w:val="none"/>
              </w:rPr>
            </w:pPr>
            <w:r>
              <w:rPr>
                <w:highlight w:val="none"/>
              </w:rPr>
              <w:t>修正项目</w:t>
            </w:r>
          </w:p>
        </w:tc>
        <w:tc>
          <w:tcPr>
            <w:tcW w:w="1474" w:type="pct"/>
            <w:tcBorders>
              <w:left w:val="single" w:color="auto" w:sz="4" w:space="0"/>
              <w:bottom w:val="single" w:color="auto" w:sz="4" w:space="0"/>
              <w:right w:val="single" w:color="auto" w:sz="4" w:space="0"/>
            </w:tcBorders>
            <w:vAlign w:val="center"/>
          </w:tcPr>
          <w:p>
            <w:pPr>
              <w:jc w:val="center"/>
              <w:rPr>
                <w:highlight w:val="none"/>
              </w:rPr>
            </w:pPr>
            <w:r>
              <w:rPr>
                <w:highlight w:val="none"/>
              </w:rPr>
              <w:t>修正前投标报价（元）</w:t>
            </w:r>
          </w:p>
        </w:tc>
        <w:tc>
          <w:tcPr>
            <w:tcW w:w="1574" w:type="pct"/>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highlight w:val="none"/>
              </w:rPr>
              <w:t>修正后投标报价（元）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92" w:type="pct"/>
            <w:tcBorders>
              <w:left w:val="single" w:color="auto" w:sz="4" w:space="0"/>
              <w:right w:val="single" w:color="auto" w:sz="4" w:space="0"/>
            </w:tcBorders>
            <w:vAlign w:val="center"/>
          </w:tcPr>
          <w:p>
            <w:pPr>
              <w:ind w:firstLine="420" w:firstLineChars="200"/>
              <w:rPr>
                <w:highlight w:val="none"/>
              </w:rPr>
            </w:pPr>
          </w:p>
        </w:tc>
        <w:tc>
          <w:tcPr>
            <w:tcW w:w="858" w:type="pct"/>
            <w:tcBorders>
              <w:left w:val="single" w:color="auto" w:sz="4" w:space="0"/>
              <w:right w:val="single" w:color="auto" w:sz="4" w:space="0"/>
            </w:tcBorders>
            <w:vAlign w:val="center"/>
          </w:tcPr>
          <w:p>
            <w:pPr>
              <w:ind w:firstLine="420" w:firstLineChars="200"/>
              <w:rPr>
                <w:highlight w:val="none"/>
              </w:rPr>
            </w:pPr>
          </w:p>
        </w:tc>
        <w:tc>
          <w:tcPr>
            <w:tcW w:w="1474" w:type="pct"/>
            <w:tcBorders>
              <w:left w:val="single" w:color="auto" w:sz="4" w:space="0"/>
              <w:right w:val="single" w:color="auto" w:sz="4" w:space="0"/>
            </w:tcBorders>
            <w:vAlign w:val="center"/>
          </w:tcPr>
          <w:p>
            <w:pPr>
              <w:ind w:firstLine="420" w:firstLineChars="200"/>
              <w:rPr>
                <w:highlight w:val="none"/>
              </w:rPr>
            </w:pPr>
          </w:p>
        </w:tc>
        <w:tc>
          <w:tcPr>
            <w:tcW w:w="1574" w:type="pct"/>
            <w:tcBorders>
              <w:top w:val="single" w:color="auto" w:sz="4" w:space="0"/>
              <w:left w:val="single" w:color="auto" w:sz="4" w:space="0"/>
              <w:bottom w:val="single" w:color="auto" w:sz="4" w:space="0"/>
              <w:right w:val="single" w:color="auto" w:sz="4" w:space="0"/>
            </w:tcBorders>
          </w:tcPr>
          <w:p>
            <w:pPr>
              <w:ind w:firstLine="420" w:firstLineChars="20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92" w:type="pct"/>
            <w:tcBorders>
              <w:left w:val="single" w:color="auto" w:sz="4" w:space="0"/>
              <w:right w:val="single" w:color="auto" w:sz="4" w:space="0"/>
            </w:tcBorders>
            <w:vAlign w:val="center"/>
          </w:tcPr>
          <w:p>
            <w:pPr>
              <w:ind w:firstLine="420" w:firstLineChars="200"/>
              <w:rPr>
                <w:highlight w:val="none"/>
              </w:rPr>
            </w:pPr>
          </w:p>
        </w:tc>
        <w:tc>
          <w:tcPr>
            <w:tcW w:w="858" w:type="pct"/>
            <w:tcBorders>
              <w:left w:val="single" w:color="auto" w:sz="4" w:space="0"/>
              <w:right w:val="single" w:color="auto" w:sz="4" w:space="0"/>
            </w:tcBorders>
            <w:vAlign w:val="center"/>
          </w:tcPr>
          <w:p>
            <w:pPr>
              <w:ind w:firstLine="420" w:firstLineChars="200"/>
              <w:rPr>
                <w:highlight w:val="none"/>
              </w:rPr>
            </w:pPr>
          </w:p>
        </w:tc>
        <w:tc>
          <w:tcPr>
            <w:tcW w:w="1474" w:type="pct"/>
            <w:tcBorders>
              <w:left w:val="single" w:color="auto" w:sz="4" w:space="0"/>
              <w:right w:val="single" w:color="auto" w:sz="4" w:space="0"/>
            </w:tcBorders>
            <w:vAlign w:val="center"/>
          </w:tcPr>
          <w:p>
            <w:pPr>
              <w:ind w:firstLine="420" w:firstLineChars="200"/>
              <w:rPr>
                <w:highlight w:val="none"/>
              </w:rPr>
            </w:pPr>
          </w:p>
        </w:tc>
        <w:tc>
          <w:tcPr>
            <w:tcW w:w="1574" w:type="pct"/>
            <w:tcBorders>
              <w:top w:val="single" w:color="auto" w:sz="4" w:space="0"/>
              <w:left w:val="single" w:color="auto" w:sz="4" w:space="0"/>
              <w:bottom w:val="single" w:color="auto" w:sz="4" w:space="0"/>
              <w:right w:val="single" w:color="auto" w:sz="4" w:space="0"/>
            </w:tcBorders>
            <w:vAlign w:val="center"/>
          </w:tcPr>
          <w:p>
            <w:pPr>
              <w:ind w:firstLine="420" w:firstLineChars="20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92" w:type="pct"/>
            <w:tcBorders>
              <w:left w:val="single" w:color="auto" w:sz="4" w:space="0"/>
              <w:right w:val="single" w:color="auto" w:sz="4" w:space="0"/>
            </w:tcBorders>
            <w:vAlign w:val="center"/>
          </w:tcPr>
          <w:p>
            <w:pPr>
              <w:ind w:firstLine="420" w:firstLineChars="200"/>
              <w:rPr>
                <w:highlight w:val="none"/>
              </w:rPr>
            </w:pPr>
          </w:p>
        </w:tc>
        <w:tc>
          <w:tcPr>
            <w:tcW w:w="858" w:type="pct"/>
            <w:tcBorders>
              <w:left w:val="single" w:color="auto" w:sz="4" w:space="0"/>
              <w:right w:val="single" w:color="auto" w:sz="4" w:space="0"/>
            </w:tcBorders>
            <w:vAlign w:val="center"/>
          </w:tcPr>
          <w:p>
            <w:pPr>
              <w:ind w:firstLine="420" w:firstLineChars="200"/>
              <w:rPr>
                <w:highlight w:val="none"/>
              </w:rPr>
            </w:pPr>
          </w:p>
        </w:tc>
        <w:tc>
          <w:tcPr>
            <w:tcW w:w="1474" w:type="pct"/>
            <w:tcBorders>
              <w:left w:val="single" w:color="auto" w:sz="4" w:space="0"/>
              <w:right w:val="single" w:color="auto" w:sz="4" w:space="0"/>
            </w:tcBorders>
            <w:vAlign w:val="center"/>
          </w:tcPr>
          <w:p>
            <w:pPr>
              <w:ind w:firstLine="420" w:firstLineChars="200"/>
              <w:rPr>
                <w:highlight w:val="none"/>
              </w:rPr>
            </w:pPr>
          </w:p>
        </w:tc>
        <w:tc>
          <w:tcPr>
            <w:tcW w:w="1574" w:type="pct"/>
            <w:tcBorders>
              <w:top w:val="single" w:color="auto" w:sz="4" w:space="0"/>
              <w:left w:val="single" w:color="auto" w:sz="4" w:space="0"/>
              <w:bottom w:val="single" w:color="auto" w:sz="4" w:space="0"/>
              <w:right w:val="single" w:color="auto" w:sz="4" w:space="0"/>
            </w:tcBorders>
            <w:vAlign w:val="center"/>
          </w:tcPr>
          <w:p>
            <w:pPr>
              <w:ind w:firstLine="420" w:firstLineChars="20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92" w:type="pct"/>
            <w:tcBorders>
              <w:left w:val="single" w:color="auto" w:sz="4" w:space="0"/>
              <w:right w:val="single" w:color="auto" w:sz="4" w:space="0"/>
            </w:tcBorders>
            <w:vAlign w:val="center"/>
          </w:tcPr>
          <w:p>
            <w:pPr>
              <w:ind w:firstLine="420" w:firstLineChars="200"/>
              <w:rPr>
                <w:highlight w:val="none"/>
              </w:rPr>
            </w:pPr>
          </w:p>
        </w:tc>
        <w:tc>
          <w:tcPr>
            <w:tcW w:w="858" w:type="pct"/>
            <w:tcBorders>
              <w:left w:val="single" w:color="auto" w:sz="4" w:space="0"/>
              <w:right w:val="single" w:color="auto" w:sz="4" w:space="0"/>
            </w:tcBorders>
            <w:vAlign w:val="center"/>
          </w:tcPr>
          <w:p>
            <w:pPr>
              <w:ind w:firstLine="420" w:firstLineChars="200"/>
              <w:rPr>
                <w:highlight w:val="none"/>
              </w:rPr>
            </w:pPr>
          </w:p>
        </w:tc>
        <w:tc>
          <w:tcPr>
            <w:tcW w:w="1474" w:type="pct"/>
            <w:tcBorders>
              <w:left w:val="single" w:color="auto" w:sz="4" w:space="0"/>
              <w:right w:val="single" w:color="auto" w:sz="4" w:space="0"/>
            </w:tcBorders>
            <w:vAlign w:val="center"/>
          </w:tcPr>
          <w:p>
            <w:pPr>
              <w:ind w:firstLine="420" w:firstLineChars="200"/>
              <w:rPr>
                <w:highlight w:val="none"/>
              </w:rPr>
            </w:pPr>
          </w:p>
        </w:tc>
        <w:tc>
          <w:tcPr>
            <w:tcW w:w="1574" w:type="pct"/>
            <w:tcBorders>
              <w:top w:val="single" w:color="auto" w:sz="4" w:space="0"/>
              <w:left w:val="single" w:color="auto" w:sz="4" w:space="0"/>
              <w:bottom w:val="single" w:color="auto" w:sz="4" w:space="0"/>
              <w:right w:val="single" w:color="auto" w:sz="4" w:space="0"/>
            </w:tcBorders>
            <w:vAlign w:val="center"/>
          </w:tcPr>
          <w:p>
            <w:pPr>
              <w:ind w:firstLine="420" w:firstLineChars="20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92" w:type="pct"/>
            <w:tcBorders>
              <w:left w:val="single" w:color="auto" w:sz="4" w:space="0"/>
              <w:right w:val="single" w:color="auto" w:sz="4" w:space="0"/>
            </w:tcBorders>
            <w:vAlign w:val="center"/>
          </w:tcPr>
          <w:p>
            <w:pPr>
              <w:ind w:firstLine="420" w:firstLineChars="200"/>
              <w:rPr>
                <w:highlight w:val="none"/>
              </w:rPr>
            </w:pPr>
          </w:p>
        </w:tc>
        <w:tc>
          <w:tcPr>
            <w:tcW w:w="858" w:type="pct"/>
            <w:tcBorders>
              <w:left w:val="single" w:color="auto" w:sz="4" w:space="0"/>
              <w:right w:val="single" w:color="auto" w:sz="4" w:space="0"/>
            </w:tcBorders>
            <w:vAlign w:val="center"/>
          </w:tcPr>
          <w:p>
            <w:pPr>
              <w:ind w:firstLine="420" w:firstLineChars="200"/>
              <w:rPr>
                <w:highlight w:val="none"/>
              </w:rPr>
            </w:pPr>
          </w:p>
        </w:tc>
        <w:tc>
          <w:tcPr>
            <w:tcW w:w="1474" w:type="pct"/>
            <w:tcBorders>
              <w:left w:val="single" w:color="auto" w:sz="4" w:space="0"/>
              <w:right w:val="single" w:color="auto" w:sz="4" w:space="0"/>
            </w:tcBorders>
            <w:vAlign w:val="center"/>
          </w:tcPr>
          <w:p>
            <w:pPr>
              <w:rPr>
                <w:highlight w:val="none"/>
              </w:rPr>
            </w:pPr>
            <w:r>
              <w:rPr>
                <w:highlight w:val="none"/>
              </w:rPr>
              <w:t>投标报价：</w:t>
            </w:r>
          </w:p>
        </w:tc>
        <w:tc>
          <w:tcPr>
            <w:tcW w:w="1574" w:type="pct"/>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修正后总价：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92" w:type="pct"/>
            <w:tcBorders>
              <w:left w:val="single" w:color="auto" w:sz="4" w:space="0"/>
              <w:right w:val="single" w:color="auto" w:sz="4" w:space="0"/>
            </w:tcBorders>
            <w:vAlign w:val="center"/>
          </w:tcPr>
          <w:p>
            <w:pPr>
              <w:jc w:val="center"/>
              <w:rPr>
                <w:highlight w:val="none"/>
              </w:rPr>
            </w:pPr>
            <w:r>
              <w:rPr>
                <w:highlight w:val="none"/>
              </w:rPr>
              <w:t>投标人名称</w:t>
            </w:r>
          </w:p>
        </w:tc>
        <w:tc>
          <w:tcPr>
            <w:tcW w:w="3907" w:type="pct"/>
            <w:gridSpan w:val="3"/>
            <w:tcBorders>
              <w:left w:val="single" w:color="auto" w:sz="4" w:space="0"/>
              <w:right w:val="single" w:color="auto" w:sz="4" w:space="0"/>
            </w:tcBorders>
            <w:vAlign w:val="center"/>
          </w:tcPr>
          <w:p>
            <w:pPr>
              <w:ind w:firstLine="420" w:firstLineChars="20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92" w:type="pct"/>
            <w:tcBorders>
              <w:left w:val="single" w:color="auto" w:sz="4" w:space="0"/>
              <w:right w:val="single" w:color="auto" w:sz="4" w:space="0"/>
            </w:tcBorders>
            <w:vAlign w:val="center"/>
          </w:tcPr>
          <w:p>
            <w:pPr>
              <w:jc w:val="center"/>
              <w:rPr>
                <w:highlight w:val="none"/>
              </w:rPr>
            </w:pPr>
            <w:r>
              <w:rPr>
                <w:highlight w:val="none"/>
              </w:rPr>
              <w:t>投标人声明</w:t>
            </w:r>
          </w:p>
        </w:tc>
        <w:tc>
          <w:tcPr>
            <w:tcW w:w="3907" w:type="pct"/>
            <w:gridSpan w:val="3"/>
            <w:tcBorders>
              <w:left w:val="single" w:color="auto" w:sz="4" w:space="0"/>
              <w:right w:val="single" w:color="auto" w:sz="4" w:space="0"/>
            </w:tcBorders>
            <w:vAlign w:val="center"/>
          </w:tcPr>
          <w:p>
            <w:pPr>
              <w:ind w:firstLine="420" w:firstLineChars="200"/>
              <w:rPr>
                <w:highlight w:val="none"/>
              </w:rPr>
            </w:pPr>
            <w:r>
              <w:rPr>
                <w:highlight w:val="none"/>
              </w:rPr>
              <w:t>我单位（□接受□不接受）本评标办法</w:t>
            </w:r>
            <w:r>
              <w:rPr>
                <w:rFonts w:hint="eastAsia"/>
                <w:highlight w:val="none"/>
              </w:rPr>
              <w:t>报价</w:t>
            </w:r>
            <w:r>
              <w:rPr>
                <w:highlight w:val="none"/>
              </w:rPr>
              <w:t>评审确定的评标总价和中标价。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092" w:type="pct"/>
            <w:tcBorders>
              <w:left w:val="single" w:color="auto" w:sz="4" w:space="0"/>
              <w:right w:val="single" w:color="auto" w:sz="4" w:space="0"/>
            </w:tcBorders>
            <w:vAlign w:val="center"/>
          </w:tcPr>
          <w:p>
            <w:pPr>
              <w:jc w:val="center"/>
              <w:rPr>
                <w:highlight w:val="none"/>
              </w:rPr>
            </w:pPr>
            <w:r>
              <w:rPr>
                <w:highlight w:val="none"/>
              </w:rPr>
              <w:t>法定代表人或授权代理人签字</w:t>
            </w:r>
          </w:p>
        </w:tc>
        <w:tc>
          <w:tcPr>
            <w:tcW w:w="3907" w:type="pct"/>
            <w:gridSpan w:val="3"/>
            <w:tcBorders>
              <w:left w:val="single" w:color="auto" w:sz="4" w:space="0"/>
              <w:right w:val="single" w:color="auto" w:sz="4" w:space="0"/>
            </w:tcBorders>
            <w:vAlign w:val="center"/>
          </w:tcPr>
          <w:p>
            <w:pPr>
              <w:rPr>
                <w:bCs/>
                <w:highlight w:val="none"/>
              </w:rPr>
            </w:pPr>
          </w:p>
          <w:p>
            <w:pPr>
              <w:rPr>
                <w:highlight w:val="none"/>
              </w:rPr>
            </w:pPr>
            <w:r>
              <w:rPr>
                <w:bCs/>
                <w:highlight w:val="none"/>
              </w:rPr>
              <w:t xml:space="preserve">                                                                           日期：    年  月   日</w:t>
            </w:r>
          </w:p>
        </w:tc>
      </w:tr>
    </w:tbl>
    <w:p>
      <w:pPr>
        <w:ind w:right="-28"/>
        <w:jc w:val="left"/>
        <w:rPr>
          <w:b/>
          <w:highlight w:val="none"/>
        </w:rPr>
      </w:pPr>
      <w:r>
        <w:rPr>
          <w:b/>
          <w:highlight w:val="none"/>
        </w:rPr>
        <w:t>备注：</w:t>
      </w:r>
      <w:r>
        <w:rPr>
          <w:rFonts w:hint="eastAsia"/>
          <w:b/>
          <w:highlight w:val="none"/>
        </w:rPr>
        <w:t>1.</w:t>
      </w:r>
      <w:r>
        <w:rPr>
          <w:b/>
          <w:highlight w:val="none"/>
        </w:rPr>
        <w:t>评标价格及中标价均以修正后的投标报价为准。如投标人不接受按以上规则确定的评标总价和中标价，则其投标将被拒绝。</w:t>
      </w:r>
    </w:p>
    <w:p>
      <w:pPr>
        <w:ind w:right="-28"/>
        <w:jc w:val="left"/>
        <w:rPr>
          <w:b/>
          <w:highlight w:val="none"/>
        </w:rPr>
        <w:sectPr>
          <w:headerReference r:id="rId15" w:type="default"/>
          <w:footerReference r:id="rId16" w:type="default"/>
          <w:pgSz w:w="11905" w:h="16838"/>
          <w:pgMar w:top="1417" w:right="1417" w:bottom="1417" w:left="1417" w:header="454" w:footer="567" w:gutter="0"/>
          <w:pgNumType w:fmt="decimal"/>
          <w:cols w:space="720" w:num="1"/>
          <w:docGrid w:linePitch="312" w:charSpace="0"/>
        </w:sectPr>
      </w:pPr>
      <w:r>
        <w:rPr>
          <w:b/>
          <w:highlight w:val="none"/>
        </w:rPr>
        <w:t>2.修正后投标报价小数位数保留到分</w:t>
      </w:r>
      <w:r>
        <w:rPr>
          <w:rFonts w:hint="eastAsia"/>
          <w:b/>
          <w:highlight w:val="none"/>
        </w:rPr>
        <w:t>。</w:t>
      </w:r>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27"/>
    <w:bookmarkEnd w:id="1028"/>
    <w:bookmarkEnd w:id="1029"/>
    <w:bookmarkEnd w:id="1030"/>
    <w:bookmarkEnd w:id="1031"/>
    <w:bookmarkEnd w:id="1032"/>
    <w:bookmarkEnd w:id="1033"/>
    <w:bookmarkEnd w:id="1034"/>
    <w:bookmarkEnd w:id="1035"/>
    <w:p>
      <w:pPr>
        <w:pageBreakBefore/>
        <w:spacing w:line="300" w:lineRule="exact"/>
        <w:ind w:left="950" w:right="-28" w:hanging="950" w:hangingChars="338"/>
        <w:jc w:val="center"/>
        <w:rPr>
          <w:rFonts w:ascii="宋体"/>
          <w:b/>
          <w:color w:val="000000"/>
          <w:sz w:val="28"/>
          <w:szCs w:val="30"/>
          <w:highlight w:val="none"/>
        </w:rPr>
      </w:pPr>
      <w:bookmarkStart w:id="1125" w:name="_Toc459730452"/>
      <w:bookmarkEnd w:id="1125"/>
      <w:bookmarkStart w:id="1126" w:name="_Toc459797542"/>
      <w:bookmarkEnd w:id="1126"/>
      <w:bookmarkStart w:id="1127" w:name="_Toc459730442"/>
      <w:bookmarkEnd w:id="1127"/>
      <w:bookmarkStart w:id="1128" w:name="_Toc459797500"/>
      <w:bookmarkEnd w:id="1128"/>
      <w:bookmarkStart w:id="1129" w:name="_Toc459797497"/>
      <w:bookmarkEnd w:id="1129"/>
      <w:bookmarkStart w:id="1130" w:name="_Toc459730501"/>
      <w:bookmarkEnd w:id="1130"/>
      <w:bookmarkStart w:id="1131" w:name="_Toc459730453"/>
      <w:bookmarkEnd w:id="1131"/>
      <w:bookmarkStart w:id="1132" w:name="_Toc459797508"/>
      <w:bookmarkEnd w:id="1132"/>
      <w:bookmarkStart w:id="1133" w:name="_Toc459797546"/>
      <w:bookmarkEnd w:id="1133"/>
      <w:bookmarkStart w:id="1134" w:name="_Toc459730458"/>
      <w:bookmarkEnd w:id="1134"/>
      <w:bookmarkStart w:id="1135" w:name="_Toc459730487"/>
      <w:bookmarkEnd w:id="1135"/>
      <w:bookmarkStart w:id="1136" w:name="_Toc459797562"/>
      <w:bookmarkEnd w:id="1136"/>
      <w:bookmarkStart w:id="1137" w:name="_Toc459730516"/>
      <w:bookmarkEnd w:id="1137"/>
      <w:bookmarkStart w:id="1138" w:name="_Toc459730490"/>
      <w:bookmarkEnd w:id="1138"/>
      <w:bookmarkStart w:id="1139" w:name="_Toc459797512"/>
      <w:bookmarkEnd w:id="1139"/>
      <w:bookmarkStart w:id="1140" w:name="_Toc459730495"/>
      <w:bookmarkEnd w:id="1140"/>
      <w:bookmarkStart w:id="1141" w:name="_Toc459797496"/>
      <w:bookmarkEnd w:id="1141"/>
      <w:bookmarkStart w:id="1142" w:name="_Toc459730508"/>
      <w:bookmarkEnd w:id="1142"/>
      <w:bookmarkStart w:id="1143" w:name="_Toc459797539"/>
      <w:bookmarkEnd w:id="1143"/>
      <w:bookmarkStart w:id="1144" w:name="_Toc459730509"/>
      <w:bookmarkEnd w:id="1144"/>
      <w:bookmarkStart w:id="1145" w:name="_Toc459797551"/>
      <w:bookmarkEnd w:id="1145"/>
      <w:bookmarkStart w:id="1146" w:name="_Toc459797548"/>
      <w:bookmarkEnd w:id="1146"/>
      <w:bookmarkStart w:id="1147" w:name="_Toc459797543"/>
      <w:bookmarkEnd w:id="1147"/>
      <w:bookmarkStart w:id="1148" w:name="_Toc459797545"/>
      <w:bookmarkEnd w:id="1148"/>
      <w:bookmarkStart w:id="1149" w:name="_Toc459797538"/>
      <w:bookmarkEnd w:id="1149"/>
      <w:bookmarkStart w:id="1150" w:name="_Toc459730517"/>
      <w:bookmarkEnd w:id="1150"/>
      <w:bookmarkStart w:id="1151" w:name="_Toc459730510"/>
      <w:bookmarkEnd w:id="1151"/>
      <w:bookmarkStart w:id="1152" w:name="_Toc459797544"/>
      <w:bookmarkEnd w:id="1152"/>
      <w:bookmarkStart w:id="1153" w:name="_Toc459797495"/>
      <w:bookmarkEnd w:id="1153"/>
      <w:bookmarkStart w:id="1154" w:name="_Toc459730444"/>
      <w:bookmarkEnd w:id="1154"/>
      <w:bookmarkStart w:id="1155" w:name="_Toc459797505"/>
      <w:bookmarkEnd w:id="1155"/>
      <w:bookmarkStart w:id="1156" w:name="_Toc459730488"/>
      <w:bookmarkEnd w:id="1156"/>
      <w:bookmarkStart w:id="1157" w:name="_Toc459730457"/>
      <w:bookmarkEnd w:id="1157"/>
      <w:bookmarkStart w:id="1158" w:name="_Toc459730503"/>
      <w:bookmarkEnd w:id="1158"/>
      <w:bookmarkStart w:id="1159" w:name="_Toc459797561"/>
      <w:bookmarkEnd w:id="1159"/>
      <w:bookmarkStart w:id="1160" w:name="_Toc459797563"/>
      <w:bookmarkEnd w:id="1160"/>
      <w:bookmarkStart w:id="1161" w:name="_Toc459797552"/>
      <w:bookmarkEnd w:id="1161"/>
      <w:bookmarkStart w:id="1162" w:name="_Toc459730493"/>
      <w:bookmarkEnd w:id="1162"/>
      <w:bookmarkStart w:id="1163" w:name="_Toc459730498"/>
      <w:bookmarkEnd w:id="1163"/>
      <w:bookmarkStart w:id="1164" w:name="_Toc459730443"/>
      <w:bookmarkEnd w:id="1164"/>
      <w:bookmarkStart w:id="1165" w:name="_Toc459797555"/>
      <w:bookmarkEnd w:id="1165"/>
      <w:bookmarkStart w:id="1166" w:name="_Toc459797503"/>
      <w:bookmarkEnd w:id="1166"/>
      <w:bookmarkStart w:id="1167" w:name="_Toc459730455"/>
      <w:bookmarkEnd w:id="1167"/>
      <w:bookmarkStart w:id="1168" w:name="_Toc459730497"/>
      <w:bookmarkEnd w:id="1168"/>
      <w:bookmarkStart w:id="1169" w:name="_Toc459730514"/>
      <w:bookmarkEnd w:id="1169"/>
      <w:bookmarkStart w:id="1170" w:name="_Toc459730489"/>
      <w:bookmarkEnd w:id="1170"/>
      <w:bookmarkStart w:id="1171" w:name="_Toc459730506"/>
      <w:bookmarkEnd w:id="1171"/>
      <w:bookmarkStart w:id="1172" w:name="_Toc459730507"/>
      <w:bookmarkEnd w:id="1172"/>
      <w:bookmarkStart w:id="1173" w:name="_Toc459797560"/>
      <w:bookmarkEnd w:id="1173"/>
      <w:bookmarkStart w:id="1174" w:name="_Toc459730515"/>
      <w:bookmarkEnd w:id="1174"/>
      <w:bookmarkStart w:id="1175" w:name="_Toc459797499"/>
      <w:bookmarkEnd w:id="1175"/>
      <w:bookmarkStart w:id="1176" w:name="_Toc459797557"/>
      <w:bookmarkEnd w:id="1176"/>
      <w:bookmarkStart w:id="1177" w:name="_Toc459797569"/>
      <w:bookmarkEnd w:id="1177"/>
      <w:bookmarkStart w:id="1178" w:name="_Toc459730450"/>
      <w:bookmarkEnd w:id="1178"/>
      <w:bookmarkStart w:id="1179" w:name="_Toc459730447"/>
      <w:bookmarkEnd w:id="1179"/>
      <w:bookmarkStart w:id="1180" w:name="_Toc459730459"/>
      <w:bookmarkEnd w:id="1180"/>
      <w:bookmarkStart w:id="1181" w:name="_Toc459797556"/>
      <w:bookmarkEnd w:id="1181"/>
      <w:bookmarkStart w:id="1182" w:name="_Toc459797564"/>
      <w:bookmarkEnd w:id="1182"/>
      <w:bookmarkStart w:id="1183" w:name="_Toc459797549"/>
      <w:bookmarkEnd w:id="1183"/>
      <w:bookmarkStart w:id="1184" w:name="_Toc459730456"/>
      <w:bookmarkEnd w:id="1184"/>
      <w:bookmarkStart w:id="1185" w:name="_Toc459797507"/>
      <w:bookmarkEnd w:id="1185"/>
      <w:bookmarkStart w:id="1186" w:name="_Toc459797502"/>
      <w:bookmarkEnd w:id="1186"/>
      <w:bookmarkStart w:id="1187" w:name="_Toc459797510"/>
      <w:bookmarkEnd w:id="1187"/>
      <w:bookmarkStart w:id="1188" w:name="_Toc459730485"/>
      <w:bookmarkEnd w:id="1188"/>
      <w:bookmarkStart w:id="1189" w:name="_Toc459797540"/>
      <w:bookmarkEnd w:id="1189"/>
      <w:bookmarkStart w:id="1190" w:name="_Toc459797498"/>
      <w:bookmarkEnd w:id="1190"/>
      <w:bookmarkStart w:id="1191" w:name="_Toc459730445"/>
      <w:bookmarkEnd w:id="1191"/>
      <w:bookmarkStart w:id="1192" w:name="_Toc459730504"/>
      <w:bookmarkEnd w:id="1192"/>
      <w:bookmarkStart w:id="1193" w:name="_Toc459797568"/>
      <w:bookmarkEnd w:id="1193"/>
      <w:bookmarkStart w:id="1194" w:name="_Toc459730448"/>
      <w:bookmarkEnd w:id="1194"/>
      <w:bookmarkStart w:id="1195" w:name="_Toc459797559"/>
      <w:bookmarkEnd w:id="1195"/>
      <w:bookmarkStart w:id="1196" w:name="_Toc459730494"/>
      <w:bookmarkEnd w:id="1196"/>
      <w:bookmarkStart w:id="1197" w:name="_Toc459797547"/>
      <w:bookmarkEnd w:id="1197"/>
      <w:bookmarkStart w:id="1198" w:name="_Toc459730446"/>
      <w:bookmarkEnd w:id="1198"/>
      <w:bookmarkStart w:id="1199" w:name="_Toc459797553"/>
      <w:bookmarkEnd w:id="1199"/>
      <w:bookmarkStart w:id="1200" w:name="_Toc459730511"/>
      <w:bookmarkEnd w:id="1200"/>
      <w:bookmarkStart w:id="1201" w:name="_Toc459730492"/>
      <w:bookmarkEnd w:id="1201"/>
      <w:bookmarkStart w:id="1202" w:name="_Toc459797501"/>
      <w:bookmarkEnd w:id="1202"/>
      <w:bookmarkStart w:id="1203" w:name="_Toc459730499"/>
      <w:bookmarkEnd w:id="1203"/>
      <w:bookmarkStart w:id="1204" w:name="_Toc459730505"/>
      <w:bookmarkEnd w:id="1204"/>
      <w:bookmarkStart w:id="1205" w:name="_Toc459797567"/>
      <w:bookmarkEnd w:id="1205"/>
      <w:bookmarkStart w:id="1206" w:name="_Toc459797554"/>
      <w:bookmarkEnd w:id="1206"/>
      <w:bookmarkStart w:id="1207" w:name="_Toc459797541"/>
      <w:bookmarkEnd w:id="1207"/>
      <w:bookmarkStart w:id="1208" w:name="_Toc459797550"/>
      <w:bookmarkEnd w:id="1208"/>
      <w:bookmarkStart w:id="1209" w:name="_Toc459730454"/>
      <w:bookmarkEnd w:id="1209"/>
      <w:bookmarkStart w:id="1210" w:name="_Toc459730500"/>
      <w:bookmarkEnd w:id="1210"/>
      <w:bookmarkStart w:id="1211" w:name="_Toc459730512"/>
      <w:bookmarkEnd w:id="1211"/>
      <w:bookmarkStart w:id="1212" w:name="_Toc459797570"/>
      <w:bookmarkEnd w:id="1212"/>
      <w:bookmarkStart w:id="1213" w:name="_Toc459797506"/>
      <w:bookmarkEnd w:id="1213"/>
      <w:bookmarkStart w:id="1214" w:name="_Toc459797509"/>
      <w:bookmarkEnd w:id="1214"/>
      <w:bookmarkStart w:id="1215" w:name="_Toc459797504"/>
      <w:bookmarkEnd w:id="1215"/>
      <w:bookmarkStart w:id="1216" w:name="_Toc459797566"/>
      <w:bookmarkEnd w:id="1216"/>
      <w:bookmarkStart w:id="1217" w:name="_Toc459797511"/>
      <w:bookmarkEnd w:id="1217"/>
      <w:bookmarkStart w:id="1218" w:name="_Toc459730451"/>
      <w:bookmarkEnd w:id="1218"/>
      <w:bookmarkStart w:id="1219" w:name="_Toc459797565"/>
      <w:bookmarkEnd w:id="1219"/>
      <w:bookmarkStart w:id="1220" w:name="_Toc459730502"/>
      <w:bookmarkEnd w:id="1220"/>
      <w:bookmarkStart w:id="1221" w:name="_Toc459730513"/>
      <w:bookmarkEnd w:id="1221"/>
      <w:bookmarkStart w:id="1222" w:name="_Toc459730486"/>
      <w:bookmarkEnd w:id="1222"/>
      <w:bookmarkStart w:id="1223" w:name="_Toc459730491"/>
      <w:bookmarkEnd w:id="1223"/>
      <w:bookmarkStart w:id="1224" w:name="_Toc459730496"/>
      <w:bookmarkEnd w:id="1224"/>
      <w:bookmarkStart w:id="1225" w:name="_Toc459730449"/>
      <w:bookmarkEnd w:id="1225"/>
      <w:bookmarkStart w:id="1226" w:name="_Toc459797558"/>
      <w:bookmarkEnd w:id="1226"/>
      <w:bookmarkStart w:id="1227" w:name="_Toc32432"/>
      <w:bookmarkStart w:id="1228" w:name="_Toc17261"/>
      <w:bookmarkStart w:id="1229" w:name="_Toc17396"/>
      <w:bookmarkStart w:id="1230" w:name="_Toc4374"/>
      <w:bookmarkStart w:id="1231" w:name="_Toc32011"/>
      <w:bookmarkStart w:id="1232" w:name="_Toc28285"/>
      <w:bookmarkStart w:id="1233" w:name="_Toc13167"/>
      <w:bookmarkStart w:id="1234" w:name="_Toc30920"/>
      <w:bookmarkStart w:id="1235" w:name="_Toc14790"/>
      <w:bookmarkStart w:id="1236" w:name="_Toc11320"/>
      <w:bookmarkStart w:id="1237" w:name="_Toc6151"/>
      <w:bookmarkStart w:id="1238" w:name="_Toc27263"/>
      <w:bookmarkStart w:id="1239" w:name="_Toc25306"/>
      <w:bookmarkStart w:id="1240" w:name="_Toc29546"/>
      <w:bookmarkStart w:id="1241" w:name="_Toc31574"/>
      <w:bookmarkStart w:id="1242" w:name="_Toc28677"/>
      <w:bookmarkStart w:id="1243" w:name="_Toc21689"/>
      <w:bookmarkStart w:id="1244" w:name="_Toc31873"/>
    </w:p>
    <w:p>
      <w:pPr>
        <w:spacing w:line="300" w:lineRule="exact"/>
        <w:jc w:val="center"/>
        <w:rPr>
          <w:rFonts w:ascii="宋体"/>
          <w:b/>
          <w:color w:val="000000"/>
          <w:sz w:val="28"/>
          <w:szCs w:val="30"/>
          <w:highlight w:val="none"/>
        </w:rPr>
      </w:pPr>
    </w:p>
    <w:p>
      <w:pPr>
        <w:spacing w:line="300" w:lineRule="exact"/>
        <w:jc w:val="center"/>
        <w:rPr>
          <w:rFonts w:ascii="宋体"/>
          <w:b/>
          <w:color w:val="000000"/>
          <w:sz w:val="28"/>
          <w:szCs w:val="30"/>
          <w:highlight w:val="none"/>
        </w:rPr>
      </w:pPr>
    </w:p>
    <w:p>
      <w:pPr>
        <w:pStyle w:val="13"/>
        <w:rPr>
          <w:highlight w:val="none"/>
        </w:rPr>
      </w:pPr>
    </w:p>
    <w:p>
      <w:pPr>
        <w:pStyle w:val="13"/>
        <w:rPr>
          <w:highlight w:val="none"/>
        </w:rPr>
      </w:pPr>
    </w:p>
    <w:p>
      <w:pPr>
        <w:pStyle w:val="13"/>
        <w:rPr>
          <w:highlight w:val="none"/>
        </w:rPr>
      </w:pPr>
    </w:p>
    <w:p>
      <w:pPr>
        <w:pStyle w:val="13"/>
        <w:rPr>
          <w:highlight w:val="none"/>
        </w:rPr>
      </w:pPr>
    </w:p>
    <w:p>
      <w:pPr>
        <w:pStyle w:val="13"/>
        <w:ind w:left="0" w:right="-57" w:firstLine="0"/>
        <w:jc w:val="center"/>
        <w:outlineLvl w:val="0"/>
        <w:rPr>
          <w:rStyle w:val="41"/>
          <w:rFonts w:hAnsi="宋体"/>
          <w:sz w:val="44"/>
          <w:szCs w:val="44"/>
          <w:highlight w:val="none"/>
        </w:rPr>
      </w:pPr>
      <w:bookmarkStart w:id="1245" w:name="_Toc7113"/>
      <w:bookmarkStart w:id="1246" w:name="_Toc21259"/>
      <w:bookmarkStart w:id="1247" w:name="_Toc4269"/>
      <w:bookmarkStart w:id="1248" w:name="_Toc23285"/>
      <w:bookmarkStart w:id="1249" w:name="_Toc2514"/>
      <w:bookmarkStart w:id="1250" w:name="_Toc27864"/>
      <w:bookmarkStart w:id="1251" w:name="_Toc19631"/>
      <w:bookmarkStart w:id="1252" w:name="_Toc242"/>
      <w:bookmarkStart w:id="1253" w:name="_Toc26279"/>
      <w:bookmarkStart w:id="1254" w:name="_Toc8802"/>
      <w:bookmarkStart w:id="1255" w:name="_Toc22458"/>
      <w:bookmarkStart w:id="1256" w:name="_Toc25631"/>
      <w:bookmarkStart w:id="1257" w:name="_Toc12223"/>
      <w:bookmarkStart w:id="1258" w:name="_Toc12667"/>
      <w:bookmarkStart w:id="1259" w:name="_Toc2230"/>
      <w:bookmarkStart w:id="1260" w:name="_Toc27761"/>
      <w:bookmarkStart w:id="1261" w:name="_Toc15140"/>
      <w:bookmarkStart w:id="1262" w:name="_Toc19527"/>
      <w:r>
        <w:rPr>
          <w:rStyle w:val="41"/>
          <w:rFonts w:hint="eastAsia" w:hAnsi="宋体"/>
          <w:sz w:val="44"/>
          <w:szCs w:val="44"/>
          <w:highlight w:val="none"/>
        </w:rPr>
        <w:t>第四章 合同条款及格式</w:t>
      </w:r>
      <w:bookmarkEnd w:id="1227"/>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spacing w:after="120" w:afterLines="50"/>
        <w:jc w:val="center"/>
        <w:rPr>
          <w:b/>
          <w:color w:val="000000"/>
          <w:sz w:val="44"/>
          <w:szCs w:val="44"/>
          <w:highlight w:val="none"/>
        </w:rPr>
      </w:pPr>
    </w:p>
    <w:p>
      <w:pPr>
        <w:spacing w:after="120" w:afterLines="50"/>
        <w:jc w:val="center"/>
        <w:rPr>
          <w:b/>
          <w:color w:val="000000"/>
          <w:sz w:val="44"/>
          <w:szCs w:val="44"/>
          <w:highlight w:val="none"/>
        </w:rPr>
      </w:pPr>
    </w:p>
    <w:p>
      <w:pPr>
        <w:spacing w:after="120" w:afterLines="50"/>
        <w:ind w:right="448"/>
        <w:jc w:val="right"/>
        <w:rPr>
          <w:rFonts w:ascii="宋体" w:hAnsi="宋体"/>
          <w:color w:val="000000"/>
          <w:sz w:val="30"/>
          <w:szCs w:val="30"/>
          <w:highlight w:val="none"/>
        </w:rPr>
      </w:pPr>
      <w:bookmarkStart w:id="1263" w:name="_Toc286386830"/>
      <w:bookmarkStart w:id="1264" w:name="_Toc114052410"/>
      <w:bookmarkStart w:id="1265" w:name="_Toc114052336"/>
    </w:p>
    <w:p>
      <w:pPr>
        <w:spacing w:after="120" w:afterLines="50" w:afterAutospacing="0"/>
        <w:ind w:left="1014" w:right="448" w:hanging="1014" w:hangingChars="338"/>
        <w:jc w:val="right"/>
        <w:rPr>
          <w:rFonts w:ascii="宋体" w:hAnsi="宋体"/>
          <w:color w:val="000000"/>
          <w:sz w:val="30"/>
          <w:szCs w:val="30"/>
          <w:highlight w:val="none"/>
        </w:rPr>
      </w:pPr>
    </w:p>
    <w:p>
      <w:pPr>
        <w:spacing w:after="120" w:afterLines="50"/>
        <w:ind w:right="448"/>
        <w:jc w:val="right"/>
        <w:rPr>
          <w:rFonts w:ascii="宋体" w:hAnsi="宋体"/>
          <w:color w:val="000000"/>
          <w:sz w:val="30"/>
          <w:szCs w:val="30"/>
          <w:highlight w:val="none"/>
        </w:rPr>
        <w:sectPr>
          <w:headerReference r:id="rId18" w:type="first"/>
          <w:footerReference r:id="rId20" w:type="first"/>
          <w:headerReference r:id="rId17" w:type="default"/>
          <w:footerReference r:id="rId19" w:type="default"/>
          <w:pgSz w:w="11906" w:h="16838"/>
          <w:pgMar w:top="1440" w:right="1701" w:bottom="1440" w:left="1701" w:header="851" w:footer="851" w:gutter="0"/>
          <w:pgNumType w:fmt="decimal"/>
          <w:cols w:space="720" w:num="1"/>
          <w:titlePg/>
          <w:docGrid w:linePitch="312" w:charSpace="0"/>
        </w:sectPr>
      </w:pPr>
      <w:bookmarkStart w:id="1678" w:name="_GoBack"/>
      <w:bookmarkEnd w:id="1678"/>
    </w:p>
    <w:p>
      <w:pPr>
        <w:spacing w:after="120" w:afterLines="50"/>
        <w:ind w:right="448"/>
        <w:jc w:val="right"/>
        <w:rPr>
          <w:rFonts w:ascii="宋体" w:hAnsi="宋体"/>
          <w:sz w:val="30"/>
          <w:szCs w:val="30"/>
          <w:highlight w:val="none"/>
        </w:rPr>
      </w:pPr>
      <w:r>
        <w:rPr>
          <w:rFonts w:hint="eastAsia" w:ascii="宋体" w:hAnsi="宋体"/>
          <w:sz w:val="30"/>
          <w:szCs w:val="30"/>
          <w:highlight w:val="none"/>
        </w:rPr>
        <w:t>【×本】</w:t>
      </w:r>
    </w:p>
    <w:bookmarkEnd w:id="1263"/>
    <w:bookmarkEnd w:id="1264"/>
    <w:bookmarkEnd w:id="1265"/>
    <w:p>
      <w:pPr>
        <w:snapToGrid w:val="0"/>
        <w:spacing w:before="0" w:line="800" w:lineRule="exact"/>
        <w:ind w:left="1493" w:right="-28" w:hanging="1493" w:hangingChars="338"/>
        <w:jc w:val="center"/>
        <w:rPr>
          <w:rFonts w:ascii="楷体_GB2312" w:eastAsia="楷体_GB2312"/>
          <w:b/>
          <w:sz w:val="44"/>
          <w:szCs w:val="44"/>
          <w:highlight w:val="none"/>
        </w:rPr>
      </w:pPr>
      <w:r>
        <w:rPr>
          <w:rFonts w:hint="eastAsia"/>
          <w:b/>
          <w:sz w:val="44"/>
          <w:szCs w:val="44"/>
          <w:highlight w:val="none"/>
        </w:rPr>
        <w:t>南宁轨道交通运营有限公司工会委员会2024年工会会员端午节慰问品采购项目</w:t>
      </w:r>
    </w:p>
    <w:tbl>
      <w:tblPr>
        <w:tblStyle w:val="2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000000"/>
                <w:sz w:val="28"/>
                <w:szCs w:val="30"/>
                <w:highlight w:val="none"/>
              </w:rPr>
            </w:pPr>
            <w:r>
              <w:rPr>
                <w:rFonts w:hint="eastAsia" w:ascii="宋体" w:hAnsi="宋体"/>
                <w:color w:val="000000"/>
                <w:sz w:val="28"/>
                <w:szCs w:val="30"/>
                <w:highlight w:val="none"/>
              </w:rPr>
              <w:t>项目编号：</w:t>
            </w:r>
          </w:p>
        </w:tc>
        <w:tc>
          <w:tcPr>
            <w:tcW w:w="4761" w:type="dxa"/>
          </w:tcPr>
          <w:p>
            <w:pPr>
              <w:spacing w:line="300" w:lineRule="exact"/>
              <w:jc w:val="left"/>
              <w:rPr>
                <w:rFonts w:ascii="宋体" w:hAnsi="宋体"/>
                <w:color w:val="000000"/>
                <w:sz w:val="28"/>
                <w:szCs w:val="30"/>
                <w:highlight w:val="none"/>
              </w:rPr>
            </w:pPr>
            <w:r>
              <w:rPr>
                <w:rFonts w:hint="eastAsia" w:ascii="宋体" w:hAnsi="宋体"/>
                <w:color w:val="000000"/>
                <w:sz w:val="28"/>
                <w:szCs w:val="30"/>
                <w:highlight w:val="none"/>
              </w:rPr>
              <w:t>202404030001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000000"/>
                <w:sz w:val="28"/>
                <w:szCs w:val="30"/>
                <w:highlight w:val="none"/>
              </w:rPr>
            </w:pPr>
            <w:r>
              <w:rPr>
                <w:rFonts w:hint="eastAsia" w:ascii="宋体" w:hAnsi="宋体"/>
                <w:color w:val="000000"/>
                <w:sz w:val="28"/>
                <w:szCs w:val="30"/>
                <w:highlight w:val="none"/>
              </w:rPr>
              <w:t>合同编号：</w:t>
            </w:r>
          </w:p>
        </w:tc>
        <w:tc>
          <w:tcPr>
            <w:tcW w:w="4761" w:type="dxa"/>
          </w:tcPr>
          <w:p>
            <w:pPr>
              <w:spacing w:line="300" w:lineRule="exact"/>
              <w:jc w:val="left"/>
              <w:rPr>
                <w:rFonts w:ascii="宋体" w:hAnsi="宋体"/>
                <w:color w:val="000000"/>
                <w:sz w:val="28"/>
                <w:szCs w:val="30"/>
                <w:highlight w:val="none"/>
              </w:rPr>
            </w:pPr>
          </w:p>
        </w:tc>
      </w:tr>
    </w:tbl>
    <w:p>
      <w:pPr>
        <w:spacing w:line="800" w:lineRule="exact"/>
        <w:ind w:left="2443" w:right="-28" w:hanging="2443" w:hangingChars="338"/>
        <w:jc w:val="center"/>
        <w:rPr>
          <w:rFonts w:ascii="楷体_GB2312" w:eastAsia="楷体_GB2312"/>
          <w:b/>
          <w:color w:val="000000"/>
          <w:sz w:val="72"/>
          <w:szCs w:val="52"/>
          <w:highlight w:val="none"/>
        </w:rPr>
      </w:pPr>
      <w:r>
        <w:rPr>
          <w:rFonts w:hint="eastAsia"/>
          <w:b/>
          <w:color w:val="000000"/>
          <w:sz w:val="72"/>
          <w:szCs w:val="52"/>
          <w:highlight w:val="none"/>
        </w:rPr>
        <w:t>合</w:t>
      </w:r>
    </w:p>
    <w:p>
      <w:pPr>
        <w:spacing w:line="800" w:lineRule="exact"/>
        <w:ind w:left="2443" w:right="-28" w:hanging="2443" w:hangingChars="338"/>
        <w:jc w:val="center"/>
        <w:rPr>
          <w:rFonts w:ascii="宋体" w:hAnsi="宋体"/>
          <w:b/>
          <w:color w:val="000000"/>
          <w:sz w:val="72"/>
          <w:szCs w:val="52"/>
          <w:highlight w:val="none"/>
        </w:rPr>
      </w:pPr>
      <w:r>
        <w:rPr>
          <w:rFonts w:hint="eastAsia"/>
          <w:b/>
          <w:color w:val="000000"/>
          <w:sz w:val="72"/>
          <w:szCs w:val="52"/>
          <w:highlight w:val="none"/>
        </w:rPr>
        <w:t>同</w:t>
      </w:r>
    </w:p>
    <w:p>
      <w:pPr>
        <w:spacing w:line="800" w:lineRule="exact"/>
        <w:ind w:left="2443" w:right="-28" w:hanging="2443" w:hangingChars="338"/>
        <w:jc w:val="center"/>
        <w:rPr>
          <w:b/>
          <w:color w:val="000000"/>
          <w:sz w:val="72"/>
          <w:szCs w:val="52"/>
          <w:highlight w:val="none"/>
        </w:rPr>
      </w:pPr>
      <w:r>
        <w:rPr>
          <w:rFonts w:hint="eastAsia"/>
          <w:b/>
          <w:color w:val="000000"/>
          <w:sz w:val="72"/>
          <w:szCs w:val="52"/>
          <w:highlight w:val="none"/>
        </w:rPr>
        <w:t>书</w:t>
      </w:r>
    </w:p>
    <w:p>
      <w:pPr>
        <w:jc w:val="center"/>
        <w:rPr>
          <w:rFonts w:ascii="宋体" w:hAnsi="宋体"/>
          <w:b/>
          <w:color w:val="000000"/>
          <w:sz w:val="52"/>
          <w:highlight w:val="none"/>
        </w:rPr>
      </w:pPr>
      <w:r>
        <w:rPr>
          <w:rFonts w:hint="eastAsia" w:ascii="宋体" w:hAnsi="宋体"/>
          <w:b/>
          <w:color w:val="000000"/>
          <w:sz w:val="52"/>
          <w:highlight w:val="none"/>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ascii="宋体" w:hAnsi="宋体"/>
          <w:b/>
          <w:color w:val="000000"/>
          <w:sz w:val="28"/>
          <w:szCs w:val="28"/>
          <w:highlight w:val="none"/>
        </w:rPr>
      </w:pPr>
      <w:r>
        <w:rPr>
          <w:rFonts w:hint="eastAsia" w:ascii="宋体" w:hAnsi="宋体"/>
          <w:b/>
          <w:color w:val="000000"/>
          <w:sz w:val="28"/>
          <w:szCs w:val="28"/>
          <w:highlight w:val="none"/>
        </w:rPr>
        <w:t>甲    方：</w:t>
      </w:r>
    </w:p>
    <w:p>
      <w:pPr>
        <w:snapToGrid w:val="0"/>
        <w:spacing w:before="0" w:line="400" w:lineRule="exact"/>
        <w:ind w:firstLine="1405" w:firstLineChars="500"/>
        <w:rPr>
          <w:color w:val="000000"/>
          <w:sz w:val="28"/>
          <w:szCs w:val="28"/>
          <w:highlight w:val="none"/>
        </w:rPr>
      </w:pPr>
      <w:r>
        <w:rPr>
          <w:rFonts w:hint="eastAsia" w:ascii="宋体" w:hAnsi="宋体"/>
          <w:b/>
          <w:color w:val="000000"/>
          <w:sz w:val="28"/>
          <w:szCs w:val="28"/>
          <w:highlight w:val="none"/>
        </w:rPr>
        <w:t>乙    方：</w:t>
      </w:r>
    </w:p>
    <w:p>
      <w:pPr>
        <w:snapToGrid w:val="0"/>
        <w:spacing w:before="0" w:line="400" w:lineRule="exact"/>
        <w:ind w:firstLine="1405" w:firstLineChars="500"/>
        <w:rPr>
          <w:rFonts w:ascii="宋体" w:hAnsi="宋体"/>
          <w:b/>
          <w:color w:val="000000"/>
          <w:sz w:val="28"/>
          <w:szCs w:val="28"/>
          <w:highlight w:val="none"/>
        </w:rPr>
      </w:pPr>
      <w:r>
        <w:rPr>
          <w:rFonts w:hint="eastAsia" w:ascii="宋体" w:hAnsi="宋体"/>
          <w:b/>
          <w:color w:val="000000"/>
          <w:sz w:val="28"/>
          <w:szCs w:val="28"/>
          <w:highlight w:val="none"/>
        </w:rPr>
        <w:t>签约日期：</w:t>
      </w:r>
      <w:r>
        <w:rPr>
          <w:rFonts w:hint="eastAsia" w:ascii="宋体" w:hAnsi="宋体"/>
          <w:b/>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b/>
          <w:bCs/>
          <w:color w:val="000000"/>
          <w:sz w:val="28"/>
          <w:szCs w:val="28"/>
          <w:highlight w:val="none"/>
          <w:u w:val="single"/>
        </w:rPr>
        <w:t xml:space="preserve">　 </w:t>
      </w:r>
      <w:r>
        <w:rPr>
          <w:rFonts w:hint="eastAsia" w:ascii="宋体" w:hAnsi="宋体"/>
          <w:color w:val="000000"/>
          <w:sz w:val="28"/>
          <w:szCs w:val="28"/>
          <w:highlight w:val="none"/>
          <w:u w:val="single"/>
        </w:rPr>
        <w:t>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snapToGrid w:val="0"/>
        <w:spacing w:before="0" w:line="400" w:lineRule="exact"/>
        <w:ind w:right="-86" w:rightChars="-41" w:firstLine="1405" w:firstLineChars="500"/>
        <w:rPr>
          <w:rFonts w:ascii="宋体" w:hAnsi="宋体"/>
          <w:b/>
          <w:bCs/>
          <w:sz w:val="28"/>
          <w:szCs w:val="28"/>
          <w:highlight w:val="none"/>
        </w:rPr>
      </w:pPr>
      <w:r>
        <w:rPr>
          <w:rFonts w:hint="eastAsia" w:ascii="宋体" w:hAnsi="宋体"/>
          <w:b/>
          <w:color w:val="000000"/>
          <w:sz w:val="28"/>
          <w:szCs w:val="28"/>
          <w:highlight w:val="none"/>
        </w:rPr>
        <w:t>签约</w:t>
      </w:r>
      <w:r>
        <w:rPr>
          <w:rFonts w:hint="eastAsia" w:ascii="宋体" w:hAnsi="宋体"/>
          <w:b/>
          <w:bCs/>
          <w:color w:val="000000"/>
          <w:sz w:val="28"/>
          <w:szCs w:val="28"/>
          <w:highlight w:val="none"/>
        </w:rPr>
        <w:t>地点：</w:t>
      </w:r>
      <w:r>
        <w:rPr>
          <w:rFonts w:hint="eastAsia" w:ascii="宋体" w:hAnsi="宋体"/>
          <w:color w:val="000000"/>
          <w:sz w:val="28"/>
          <w:szCs w:val="28"/>
          <w:highlight w:val="none"/>
        </w:rPr>
        <w:t>广西壮族自治区南宁市</w:t>
      </w:r>
      <w:bookmarkStart w:id="1266" w:name="_Toc369787000"/>
      <w:bookmarkEnd w:id="1266"/>
    </w:p>
    <w:p>
      <w:pPr>
        <w:pStyle w:val="23"/>
        <w:tabs>
          <w:tab w:val="right" w:leader="dot" w:pos="9069"/>
        </w:tabs>
        <w:snapToGrid w:val="0"/>
        <w:spacing w:line="240" w:lineRule="auto"/>
        <w:jc w:val="center"/>
        <w:rPr>
          <w:rFonts w:ascii="宋体" w:hAnsi="宋体"/>
          <w:b/>
          <w:bCs/>
          <w:sz w:val="28"/>
          <w:szCs w:val="28"/>
          <w:highlight w:val="none"/>
        </w:rPr>
        <w:sectPr>
          <w:pgSz w:w="11906" w:h="16838"/>
          <w:pgMar w:top="1440" w:right="1701" w:bottom="1440" w:left="1701" w:header="851" w:footer="851" w:gutter="0"/>
          <w:pgNumType w:fmt="decimal"/>
          <w:cols w:space="720" w:num="1"/>
          <w:titlePg/>
          <w:docGrid w:linePitch="312" w:charSpace="0"/>
        </w:sectPr>
      </w:pPr>
    </w:p>
    <w:p>
      <w:pPr>
        <w:spacing w:before="0" w:after="0" w:afterAutospacing="0"/>
        <w:ind w:right="0"/>
        <w:jc w:val="left"/>
        <w:rPr>
          <w:rFonts w:ascii="宋体" w:hAnsi="宋体" w:cs="宋体"/>
          <w:sz w:val="24"/>
          <w:szCs w:val="24"/>
          <w:highlight w:val="none"/>
          <w:u w:val="single"/>
        </w:rPr>
      </w:pPr>
      <w:bookmarkStart w:id="1267" w:name="_Toc997"/>
      <w:bookmarkStart w:id="1268" w:name="_Toc92268646"/>
      <w:r>
        <w:rPr>
          <w:rFonts w:hint="eastAsia" w:ascii="宋体" w:hAnsi="宋体" w:cs="宋体"/>
          <w:sz w:val="24"/>
          <w:szCs w:val="24"/>
          <w:highlight w:val="none"/>
        </w:rPr>
        <w:t>甲方：</w:t>
      </w:r>
    </w:p>
    <w:p>
      <w:pPr>
        <w:spacing w:before="0" w:after="0" w:afterAutospacing="0"/>
        <w:ind w:right="0"/>
        <w:jc w:val="left"/>
        <w:rPr>
          <w:rFonts w:ascii="宋体" w:hAnsi="宋体" w:cs="宋体"/>
          <w:sz w:val="24"/>
          <w:szCs w:val="24"/>
          <w:highlight w:val="none"/>
        </w:rPr>
      </w:pPr>
      <w:r>
        <w:rPr>
          <w:rFonts w:hint="eastAsia" w:ascii="宋体" w:hAnsi="宋体" w:cs="宋体"/>
          <w:sz w:val="24"/>
          <w:szCs w:val="24"/>
          <w:highlight w:val="none"/>
        </w:rPr>
        <w:t>乙方：</w:t>
      </w:r>
    </w:p>
    <w:p>
      <w:pPr>
        <w:ind w:left="0" w:firstLine="480" w:firstLineChars="200"/>
        <w:rPr>
          <w:rFonts w:ascii="宋体" w:hAnsi="宋体" w:cs="宋体"/>
          <w:sz w:val="24"/>
          <w:szCs w:val="24"/>
          <w:highlight w:val="none"/>
        </w:rPr>
      </w:pPr>
      <w:r>
        <w:rPr>
          <w:rFonts w:hint="eastAsia" w:ascii="宋体" w:hAnsi="宋体" w:cs="宋体"/>
          <w:sz w:val="24"/>
          <w:szCs w:val="24"/>
          <w:highlight w:val="none"/>
        </w:rPr>
        <w:t>经过公开招标，确定为本次招标采购供货单位，为了便于甲、乙双方的合作，特订立本合同。</w:t>
      </w:r>
    </w:p>
    <w:p>
      <w:pPr>
        <w:adjustRightInd w:val="0"/>
        <w:snapToGrid w:val="0"/>
        <w:rPr>
          <w:rFonts w:ascii="宋体" w:hAnsi="宋体" w:cs="宋体"/>
          <w:b/>
          <w:bCs/>
          <w:sz w:val="24"/>
          <w:szCs w:val="24"/>
          <w:highlight w:val="none"/>
        </w:rPr>
      </w:pPr>
      <w:r>
        <w:rPr>
          <w:rFonts w:hint="eastAsia" w:ascii="宋体" w:hAnsi="宋体" w:cs="宋体"/>
          <w:b/>
          <w:bCs/>
          <w:sz w:val="24"/>
          <w:szCs w:val="24"/>
          <w:highlight w:val="none"/>
        </w:rPr>
        <w:t>一、合同标的</w:t>
      </w:r>
    </w:p>
    <w:p>
      <w:pPr>
        <w:adjustRightInd w:val="0"/>
        <w:snapToGrid w:val="0"/>
        <w:rPr>
          <w:rFonts w:ascii="宋体" w:hAnsi="宋体" w:cs="宋体"/>
          <w:sz w:val="24"/>
          <w:szCs w:val="24"/>
          <w:highlight w:val="none"/>
        </w:rPr>
      </w:pPr>
      <w:r>
        <w:rPr>
          <w:rFonts w:hint="eastAsia" w:ascii="宋体" w:hAnsi="宋体" w:cs="宋体"/>
          <w:sz w:val="24"/>
          <w:szCs w:val="24"/>
          <w:highlight w:val="none"/>
        </w:rPr>
        <w:t>1.甲方根据需求向乙方采购商品，如下：</w:t>
      </w:r>
    </w:p>
    <w:tbl>
      <w:tblPr>
        <w:tblStyle w:val="27"/>
        <w:tblW w:w="9256" w:type="dxa"/>
        <w:jc w:val="center"/>
        <w:tblLayout w:type="fixed"/>
        <w:tblCellMar>
          <w:top w:w="0" w:type="dxa"/>
          <w:left w:w="108" w:type="dxa"/>
          <w:bottom w:w="0" w:type="dxa"/>
          <w:right w:w="108" w:type="dxa"/>
        </w:tblCellMar>
      </w:tblPr>
      <w:tblGrid>
        <w:gridCol w:w="581"/>
        <w:gridCol w:w="1568"/>
        <w:gridCol w:w="1649"/>
        <w:gridCol w:w="603"/>
        <w:gridCol w:w="818"/>
        <w:gridCol w:w="1059"/>
        <w:gridCol w:w="1327"/>
        <w:gridCol w:w="1651"/>
      </w:tblGrid>
      <w:tr>
        <w:tblPrEx>
          <w:tblCellMar>
            <w:top w:w="0" w:type="dxa"/>
            <w:left w:w="108" w:type="dxa"/>
            <w:bottom w:w="0" w:type="dxa"/>
            <w:right w:w="108" w:type="dxa"/>
          </w:tblCellMar>
        </w:tblPrEx>
        <w:trPr>
          <w:trHeight w:val="890" w:hRule="atLeast"/>
          <w:jc w:val="center"/>
        </w:trPr>
        <w:tc>
          <w:tcPr>
            <w:tcW w:w="5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240" w:lineRule="auto"/>
              <w:ind w:left="0" w:right="0" w:firstLine="0"/>
              <w:jc w:val="center"/>
              <w:rPr>
                <w:rFonts w:ascii="宋体" w:hAnsi="宋体" w:cs="宋体"/>
                <w:b/>
                <w:bCs/>
                <w:highlight w:val="none"/>
              </w:rPr>
            </w:pPr>
            <w:r>
              <w:rPr>
                <w:rFonts w:hint="eastAsia" w:ascii="宋体" w:hAnsi="宋体" w:cs="宋体"/>
                <w:b/>
                <w:bCs/>
                <w:highlight w:val="none"/>
              </w:rPr>
              <w:t>序号</w:t>
            </w:r>
          </w:p>
        </w:tc>
        <w:tc>
          <w:tcPr>
            <w:tcW w:w="156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before="0" w:after="0" w:afterAutospacing="0" w:line="240" w:lineRule="auto"/>
              <w:ind w:left="0" w:right="0" w:firstLine="0"/>
              <w:jc w:val="center"/>
              <w:rPr>
                <w:rFonts w:ascii="宋体" w:hAnsi="宋体" w:cs="宋体"/>
                <w:b/>
                <w:bCs/>
                <w:highlight w:val="none"/>
              </w:rPr>
            </w:pPr>
            <w:r>
              <w:rPr>
                <w:rFonts w:hint="eastAsia" w:ascii="宋体" w:hAnsi="宋体" w:cs="宋体"/>
                <w:b/>
                <w:bCs/>
                <w:highlight w:val="none"/>
              </w:rPr>
              <w:t>种类/商品名称</w:t>
            </w:r>
          </w:p>
        </w:tc>
        <w:tc>
          <w:tcPr>
            <w:tcW w:w="16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before="0" w:after="0" w:afterAutospacing="0" w:line="240" w:lineRule="auto"/>
              <w:ind w:left="0" w:right="0" w:firstLine="0"/>
              <w:jc w:val="center"/>
              <w:rPr>
                <w:rFonts w:ascii="宋体" w:hAnsi="宋体" w:cs="宋体"/>
                <w:b/>
                <w:bCs/>
                <w:highlight w:val="none"/>
              </w:rPr>
            </w:pPr>
            <w:r>
              <w:rPr>
                <w:rFonts w:hint="eastAsia" w:ascii="宋体" w:hAnsi="宋体" w:cs="宋体"/>
                <w:b/>
                <w:bCs/>
                <w:highlight w:val="none"/>
              </w:rPr>
              <w:t>规格参数</w:t>
            </w:r>
          </w:p>
        </w:tc>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240" w:lineRule="auto"/>
              <w:ind w:left="0" w:right="0" w:firstLine="0"/>
              <w:jc w:val="center"/>
              <w:rPr>
                <w:rFonts w:ascii="宋体" w:hAnsi="宋体" w:cs="宋体"/>
                <w:b/>
                <w:bCs/>
                <w:highlight w:val="none"/>
              </w:rPr>
            </w:pPr>
            <w:r>
              <w:rPr>
                <w:rFonts w:hint="eastAsia" w:ascii="宋体" w:hAnsi="宋体" w:cs="宋体"/>
                <w:b/>
                <w:bCs/>
                <w:highlight w:val="none"/>
              </w:rPr>
              <w:t>单位</w:t>
            </w:r>
          </w:p>
        </w:tc>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240" w:lineRule="auto"/>
              <w:ind w:left="0" w:right="0" w:firstLine="0"/>
              <w:jc w:val="center"/>
              <w:rPr>
                <w:rFonts w:ascii="宋体" w:hAnsi="宋体" w:cs="宋体"/>
                <w:b/>
                <w:bCs/>
                <w:highlight w:val="none"/>
              </w:rPr>
            </w:pPr>
            <w:r>
              <w:rPr>
                <w:rFonts w:hint="eastAsia" w:ascii="宋体" w:hAnsi="宋体" w:cs="宋体"/>
                <w:b/>
                <w:bCs/>
                <w:highlight w:val="none"/>
              </w:rPr>
              <w:t>数量</w:t>
            </w: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240" w:lineRule="auto"/>
              <w:ind w:left="0" w:right="0" w:firstLine="0"/>
              <w:jc w:val="center"/>
              <w:rPr>
                <w:rFonts w:ascii="宋体" w:hAnsi="宋体" w:cs="宋体"/>
                <w:b/>
                <w:bCs/>
                <w:highlight w:val="none"/>
              </w:rPr>
            </w:pPr>
            <w:r>
              <w:rPr>
                <w:rFonts w:hint="eastAsia" w:ascii="宋体" w:hAnsi="宋体" w:cs="宋体"/>
                <w:b/>
                <w:bCs/>
                <w:highlight w:val="none"/>
              </w:rPr>
              <w:t>品牌</w:t>
            </w: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240" w:lineRule="auto"/>
              <w:ind w:left="0" w:right="0" w:firstLine="0"/>
              <w:jc w:val="center"/>
              <w:rPr>
                <w:rFonts w:ascii="宋体" w:hAnsi="宋体" w:cs="宋体"/>
                <w:b/>
                <w:bCs/>
                <w:highlight w:val="none"/>
              </w:rPr>
            </w:pPr>
            <w:r>
              <w:rPr>
                <w:rFonts w:hint="eastAsia" w:ascii="宋体" w:hAnsi="宋体" w:cs="宋体"/>
                <w:b/>
                <w:bCs/>
                <w:highlight w:val="none"/>
              </w:rPr>
              <w:t>含税单价（元）</w:t>
            </w:r>
          </w:p>
        </w:tc>
        <w:tc>
          <w:tcPr>
            <w:tcW w:w="16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240" w:lineRule="auto"/>
              <w:ind w:left="0" w:right="0" w:firstLine="0"/>
              <w:jc w:val="center"/>
              <w:rPr>
                <w:rFonts w:ascii="宋体" w:hAnsi="宋体" w:cs="宋体"/>
                <w:b/>
                <w:bCs/>
                <w:highlight w:val="none"/>
              </w:rPr>
            </w:pPr>
            <w:r>
              <w:rPr>
                <w:rFonts w:hint="eastAsia" w:ascii="宋体" w:hAnsi="宋体" w:cs="宋体"/>
                <w:b/>
                <w:bCs/>
                <w:highlight w:val="none"/>
              </w:rPr>
              <w:t>含税合价（元）</w:t>
            </w:r>
          </w:p>
        </w:tc>
      </w:tr>
      <w:tr>
        <w:tblPrEx>
          <w:tblCellMar>
            <w:top w:w="0" w:type="dxa"/>
            <w:left w:w="108" w:type="dxa"/>
            <w:bottom w:w="0" w:type="dxa"/>
            <w:right w:w="108" w:type="dxa"/>
          </w:tblCellMar>
        </w:tblPrEx>
        <w:trPr>
          <w:trHeight w:val="456" w:hRule="atLeast"/>
          <w:jc w:val="center"/>
        </w:trPr>
        <w:tc>
          <w:tcPr>
            <w:tcW w:w="58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r>
              <w:rPr>
                <w:rFonts w:hint="eastAsia" w:ascii="宋体" w:hAnsi="宋体" w:cs="宋体"/>
                <w:highlight w:val="none"/>
              </w:rPr>
              <w:t>1</w:t>
            </w:r>
          </w:p>
        </w:tc>
        <w:tc>
          <w:tcPr>
            <w:tcW w:w="1568" w:type="dxa"/>
            <w:tcBorders>
              <w:top w:val="nil"/>
              <w:left w:val="nil"/>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textAlignment w:val="center"/>
              <w:rPr>
                <w:rFonts w:ascii="宋体" w:hAnsi="宋体" w:cs="宋体"/>
                <w:highlight w:val="none"/>
              </w:rPr>
            </w:pPr>
          </w:p>
        </w:tc>
        <w:tc>
          <w:tcPr>
            <w:tcW w:w="16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6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r>
      <w:tr>
        <w:tblPrEx>
          <w:tblCellMar>
            <w:top w:w="0" w:type="dxa"/>
            <w:left w:w="108" w:type="dxa"/>
            <w:bottom w:w="0" w:type="dxa"/>
            <w:right w:w="108" w:type="dxa"/>
          </w:tblCellMar>
        </w:tblPrEx>
        <w:trPr>
          <w:trHeight w:val="449" w:hRule="atLeast"/>
          <w:jc w:val="center"/>
        </w:trPr>
        <w:tc>
          <w:tcPr>
            <w:tcW w:w="58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r>
              <w:rPr>
                <w:rFonts w:hint="eastAsia" w:ascii="宋体" w:hAnsi="宋体" w:cs="宋体"/>
                <w:highlight w:val="none"/>
              </w:rPr>
              <w:t>2</w:t>
            </w:r>
          </w:p>
        </w:tc>
        <w:tc>
          <w:tcPr>
            <w:tcW w:w="1568" w:type="dxa"/>
            <w:tcBorders>
              <w:top w:val="nil"/>
              <w:left w:val="nil"/>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6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6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r>
      <w:tr>
        <w:tblPrEx>
          <w:tblCellMar>
            <w:top w:w="0" w:type="dxa"/>
            <w:left w:w="108" w:type="dxa"/>
            <w:bottom w:w="0" w:type="dxa"/>
            <w:right w:w="108" w:type="dxa"/>
          </w:tblCellMar>
        </w:tblPrEx>
        <w:trPr>
          <w:trHeight w:val="449" w:hRule="atLeast"/>
          <w:jc w:val="center"/>
        </w:trPr>
        <w:tc>
          <w:tcPr>
            <w:tcW w:w="58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r>
              <w:rPr>
                <w:rFonts w:hint="eastAsia" w:ascii="宋体" w:hAnsi="宋体" w:cs="宋体"/>
                <w:highlight w:val="none"/>
              </w:rPr>
              <w:t>3</w:t>
            </w:r>
          </w:p>
        </w:tc>
        <w:tc>
          <w:tcPr>
            <w:tcW w:w="1568" w:type="dxa"/>
            <w:tcBorders>
              <w:top w:val="nil"/>
              <w:left w:val="nil"/>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6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6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r>
      <w:tr>
        <w:tblPrEx>
          <w:tblCellMar>
            <w:top w:w="0" w:type="dxa"/>
            <w:left w:w="108" w:type="dxa"/>
            <w:bottom w:w="0" w:type="dxa"/>
            <w:right w:w="108" w:type="dxa"/>
          </w:tblCellMar>
        </w:tblPrEx>
        <w:trPr>
          <w:trHeight w:val="449" w:hRule="atLeast"/>
          <w:jc w:val="center"/>
        </w:trPr>
        <w:tc>
          <w:tcPr>
            <w:tcW w:w="58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r>
              <w:rPr>
                <w:rFonts w:hint="eastAsia" w:ascii="宋体" w:hAnsi="宋体" w:cs="宋体"/>
                <w:highlight w:val="none"/>
              </w:rPr>
              <w:t>4</w:t>
            </w:r>
          </w:p>
        </w:tc>
        <w:tc>
          <w:tcPr>
            <w:tcW w:w="1568" w:type="dxa"/>
            <w:tcBorders>
              <w:top w:val="nil"/>
              <w:left w:val="nil"/>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6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6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r>
      <w:tr>
        <w:tblPrEx>
          <w:tblCellMar>
            <w:top w:w="0" w:type="dxa"/>
            <w:left w:w="108" w:type="dxa"/>
            <w:bottom w:w="0" w:type="dxa"/>
            <w:right w:w="108" w:type="dxa"/>
          </w:tblCellMar>
        </w:tblPrEx>
        <w:trPr>
          <w:trHeight w:val="449" w:hRule="atLeast"/>
          <w:jc w:val="center"/>
        </w:trPr>
        <w:tc>
          <w:tcPr>
            <w:tcW w:w="58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r>
              <w:rPr>
                <w:rFonts w:hint="eastAsia" w:ascii="宋体" w:hAnsi="宋体" w:cs="宋体"/>
                <w:highlight w:val="none"/>
              </w:rPr>
              <w:t>5</w:t>
            </w:r>
          </w:p>
        </w:tc>
        <w:tc>
          <w:tcPr>
            <w:tcW w:w="1568" w:type="dxa"/>
            <w:tcBorders>
              <w:top w:val="nil"/>
              <w:left w:val="nil"/>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6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c>
          <w:tcPr>
            <w:tcW w:w="16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0" w:after="0" w:afterAutospacing="0" w:line="500" w:lineRule="exact"/>
              <w:ind w:left="0" w:right="0" w:firstLine="0"/>
              <w:jc w:val="center"/>
              <w:textAlignment w:val="center"/>
              <w:rPr>
                <w:rFonts w:ascii="宋体" w:hAnsi="宋体" w:cs="宋体"/>
                <w:highlight w:val="none"/>
              </w:rPr>
            </w:pPr>
          </w:p>
        </w:tc>
      </w:tr>
      <w:tr>
        <w:tblPrEx>
          <w:tblCellMar>
            <w:top w:w="0" w:type="dxa"/>
            <w:left w:w="108" w:type="dxa"/>
            <w:bottom w:w="0" w:type="dxa"/>
            <w:right w:w="108" w:type="dxa"/>
          </w:tblCellMar>
        </w:tblPrEx>
        <w:trPr>
          <w:trHeight w:val="449" w:hRule="atLeast"/>
          <w:jc w:val="center"/>
        </w:trPr>
        <w:tc>
          <w:tcPr>
            <w:tcW w:w="7605" w:type="dxa"/>
            <w:gridSpan w:val="7"/>
            <w:tcBorders>
              <w:top w:val="nil"/>
              <w:left w:val="single" w:color="auto" w:sz="4" w:space="0"/>
              <w:bottom w:val="single" w:color="auto" w:sz="4" w:space="0"/>
              <w:right w:val="single" w:color="auto" w:sz="4" w:space="0"/>
            </w:tcBorders>
          </w:tcPr>
          <w:p>
            <w:pPr>
              <w:adjustRightInd w:val="0"/>
              <w:snapToGrid w:val="0"/>
              <w:spacing w:before="0" w:after="0" w:afterAutospacing="0" w:line="500" w:lineRule="exact"/>
              <w:ind w:left="0" w:right="0" w:firstLine="0"/>
              <w:jc w:val="center"/>
              <w:rPr>
                <w:rFonts w:ascii="宋体" w:hAnsi="宋体" w:cs="宋体"/>
                <w:highlight w:val="none"/>
              </w:rPr>
            </w:pPr>
            <w:r>
              <w:rPr>
                <w:rFonts w:hint="eastAsia" w:ascii="宋体" w:hAnsi="宋体" w:cs="宋体"/>
                <w:highlight w:val="none"/>
              </w:rPr>
              <w:t>合计(元)</w:t>
            </w:r>
          </w:p>
        </w:tc>
        <w:tc>
          <w:tcPr>
            <w:tcW w:w="1651" w:type="dxa"/>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before="0" w:after="0" w:afterAutospacing="0" w:line="500" w:lineRule="exact"/>
              <w:ind w:left="0" w:right="0" w:firstLine="0"/>
              <w:jc w:val="center"/>
              <w:rPr>
                <w:rFonts w:ascii="宋体" w:hAnsi="宋体" w:cs="宋体"/>
                <w:highlight w:val="none"/>
              </w:rPr>
            </w:pPr>
          </w:p>
        </w:tc>
      </w:tr>
      <w:tr>
        <w:tblPrEx>
          <w:tblCellMar>
            <w:top w:w="0" w:type="dxa"/>
            <w:left w:w="108" w:type="dxa"/>
            <w:bottom w:w="0" w:type="dxa"/>
            <w:right w:w="108" w:type="dxa"/>
          </w:tblCellMar>
        </w:tblPrEx>
        <w:trPr>
          <w:trHeight w:val="628" w:hRule="atLeast"/>
          <w:jc w:val="center"/>
        </w:trPr>
        <w:tc>
          <w:tcPr>
            <w:tcW w:w="9256" w:type="dxa"/>
            <w:gridSpan w:val="8"/>
            <w:tcBorders>
              <w:top w:val="single" w:color="auto" w:sz="4" w:space="0"/>
              <w:left w:val="single" w:color="auto" w:sz="4" w:space="0"/>
              <w:bottom w:val="single" w:color="auto" w:sz="4" w:space="0"/>
              <w:right w:val="single" w:color="auto" w:sz="4" w:space="0"/>
            </w:tcBorders>
          </w:tcPr>
          <w:p>
            <w:pPr>
              <w:adjustRightInd w:val="0"/>
              <w:snapToGrid w:val="0"/>
              <w:spacing w:before="0" w:after="0" w:afterAutospacing="0" w:line="240" w:lineRule="auto"/>
              <w:ind w:left="0" w:right="0" w:firstLine="0"/>
              <w:jc w:val="left"/>
              <w:rPr>
                <w:rFonts w:ascii="宋体" w:hAnsi="宋体" w:cs="宋体"/>
                <w:sz w:val="24"/>
                <w:szCs w:val="24"/>
                <w:highlight w:val="none"/>
              </w:rPr>
            </w:pPr>
            <w:r>
              <w:rPr>
                <w:rFonts w:hint="eastAsia" w:ascii="宋体" w:hAnsi="宋体" w:cs="宋体"/>
                <w:b/>
                <w:highlight w:val="none"/>
              </w:rPr>
              <w:t>合同及附件中所列的数量为本次预计数量，最终数量按实际结算为准，不论实际数量大于或低于预计数量，均按照本合同约定的单价执行。</w:t>
            </w:r>
          </w:p>
        </w:tc>
      </w:tr>
    </w:tbl>
    <w:p>
      <w:pPr>
        <w:ind w:left="0" w:firstLine="0"/>
        <w:rPr>
          <w:highlight w:val="none"/>
        </w:rPr>
      </w:pPr>
    </w:p>
    <w:p>
      <w:pPr>
        <w:adjustRightInd w:val="0"/>
        <w:snapToGrid w:val="0"/>
        <w:rPr>
          <w:rFonts w:ascii="宋体" w:hAnsi="宋体" w:cs="宋体"/>
          <w:sz w:val="24"/>
          <w:szCs w:val="24"/>
          <w:highlight w:val="none"/>
        </w:rPr>
      </w:pPr>
      <w:r>
        <w:rPr>
          <w:rFonts w:hint="eastAsia" w:ascii="宋体" w:hAnsi="宋体" w:cs="宋体"/>
          <w:sz w:val="24"/>
          <w:szCs w:val="24"/>
          <w:highlight w:val="none"/>
        </w:rPr>
        <w:t>以上报价包含：</w:t>
      </w:r>
    </w:p>
    <w:p>
      <w:pPr>
        <w:spacing w:line="240" w:lineRule="auto"/>
        <w:rPr>
          <w:highlight w:val="none"/>
        </w:rPr>
      </w:pPr>
      <w:r>
        <w:rPr>
          <w:rFonts w:hint="eastAsia"/>
          <w:highlight w:val="none"/>
        </w:rPr>
        <w:t>1.税金（乙方向甲方开据有效的增值税普通发票）、包装、运输、装卸、保险等所有费用。</w:t>
      </w:r>
    </w:p>
    <w:p>
      <w:pPr>
        <w:spacing w:line="240" w:lineRule="auto"/>
        <w:rPr>
          <w:highlight w:val="none"/>
        </w:rPr>
      </w:pPr>
      <w:r>
        <w:rPr>
          <w:rFonts w:hint="eastAsia"/>
          <w:highlight w:val="none"/>
        </w:rPr>
        <w:t>2.甲、乙双方对商品的价格应负有保密的义务。</w:t>
      </w:r>
    </w:p>
    <w:p>
      <w:pPr>
        <w:spacing w:line="240" w:lineRule="auto"/>
        <w:rPr>
          <w:highlight w:val="none"/>
        </w:rPr>
      </w:pPr>
      <w:r>
        <w:rPr>
          <w:rFonts w:hint="eastAsia"/>
          <w:highlight w:val="none"/>
        </w:rPr>
        <w:t>3.乙方严格按照甲方采购商品的名称、规格、品牌、价格供货。</w:t>
      </w:r>
    </w:p>
    <w:p>
      <w:pPr>
        <w:spacing w:line="240" w:lineRule="auto"/>
        <w:rPr>
          <w:highlight w:val="none"/>
        </w:rPr>
      </w:pPr>
      <w:r>
        <w:rPr>
          <w:rFonts w:hint="eastAsia"/>
          <w:highlight w:val="none"/>
        </w:rPr>
        <w:t>4.如甲方需临时增加采购数量，乙方也按照本合同单价向甲方供货至本合同约定的收货验收地</w:t>
      </w:r>
    </w:p>
    <w:p>
      <w:pPr>
        <w:spacing w:line="240" w:lineRule="auto"/>
        <w:rPr>
          <w:highlight w:val="none"/>
        </w:rPr>
      </w:pPr>
      <w:r>
        <w:rPr>
          <w:rFonts w:hint="eastAsia"/>
          <w:highlight w:val="none"/>
        </w:rPr>
        <w:t>点，具体验收地点如下：</w:t>
      </w:r>
    </w:p>
    <w:tbl>
      <w:tblPr>
        <w:tblStyle w:val="28"/>
        <w:tblW w:w="90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6"/>
        <w:gridCol w:w="2484"/>
        <w:gridCol w:w="58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6" w:type="dxa"/>
            <w:vAlign w:val="center"/>
          </w:tcPr>
          <w:p>
            <w:pPr>
              <w:adjustRightInd w:val="0"/>
              <w:snapToGrid w:val="0"/>
              <w:jc w:val="center"/>
              <w:rPr>
                <w:rFonts w:ascii="宋体" w:hAnsi="宋体" w:cs="宋体"/>
                <w:highlight w:val="none"/>
              </w:rPr>
            </w:pPr>
            <w:r>
              <w:rPr>
                <w:rFonts w:hint="eastAsia" w:ascii="宋体" w:hAnsi="宋体" w:cs="宋体"/>
                <w:highlight w:val="none"/>
              </w:rPr>
              <w:t>序号</w:t>
            </w:r>
          </w:p>
        </w:tc>
        <w:tc>
          <w:tcPr>
            <w:tcW w:w="2484" w:type="dxa"/>
            <w:vAlign w:val="center"/>
          </w:tcPr>
          <w:p>
            <w:pPr>
              <w:adjustRightInd w:val="0"/>
              <w:snapToGrid w:val="0"/>
              <w:jc w:val="center"/>
              <w:rPr>
                <w:rFonts w:ascii="宋体" w:hAnsi="宋体" w:cs="宋体"/>
                <w:highlight w:val="none"/>
              </w:rPr>
            </w:pPr>
            <w:r>
              <w:rPr>
                <w:rFonts w:hint="eastAsia" w:ascii="宋体" w:hAnsi="宋体" w:cs="宋体"/>
                <w:highlight w:val="none"/>
              </w:rPr>
              <w:t>收货验收地点</w:t>
            </w:r>
          </w:p>
        </w:tc>
        <w:tc>
          <w:tcPr>
            <w:tcW w:w="5820" w:type="dxa"/>
            <w:vAlign w:val="center"/>
          </w:tcPr>
          <w:p>
            <w:pPr>
              <w:adjustRightInd w:val="0"/>
              <w:snapToGrid w:val="0"/>
              <w:jc w:val="center"/>
              <w:rPr>
                <w:rFonts w:ascii="宋体" w:hAnsi="宋体" w:cs="宋体"/>
                <w:highlight w:val="none"/>
              </w:rPr>
            </w:pPr>
            <w:r>
              <w:rPr>
                <w:rFonts w:hint="eastAsia" w:ascii="宋体" w:hAnsi="宋体" w:cs="宋体"/>
                <w:highlight w:val="none"/>
              </w:rPr>
              <w:t>详细地址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6" w:type="dxa"/>
            <w:vAlign w:val="center"/>
          </w:tcPr>
          <w:p>
            <w:pPr>
              <w:adjustRightInd w:val="0"/>
              <w:snapToGrid w:val="0"/>
              <w:jc w:val="center"/>
              <w:rPr>
                <w:rFonts w:ascii="宋体" w:hAnsi="宋体" w:cs="宋体"/>
                <w:highlight w:val="none"/>
              </w:rPr>
            </w:pPr>
            <w:r>
              <w:rPr>
                <w:rFonts w:hint="eastAsia" w:ascii="宋体" w:hAnsi="宋体" w:cs="宋体"/>
                <w:highlight w:val="none"/>
              </w:rPr>
              <w:t>1</w:t>
            </w:r>
          </w:p>
        </w:tc>
        <w:tc>
          <w:tcPr>
            <w:tcW w:w="2484" w:type="dxa"/>
            <w:vAlign w:val="center"/>
          </w:tcPr>
          <w:p>
            <w:pPr>
              <w:adjustRightInd w:val="0"/>
              <w:snapToGrid w:val="0"/>
              <w:jc w:val="center"/>
              <w:rPr>
                <w:rFonts w:ascii="宋体" w:hAnsi="宋体" w:cs="宋体"/>
                <w:highlight w:val="none"/>
              </w:rPr>
            </w:pPr>
            <w:r>
              <w:rPr>
                <w:rFonts w:hint="eastAsia" w:ascii="宋体" w:hAnsi="宋体" w:cs="宋体"/>
                <w:highlight w:val="none"/>
              </w:rPr>
              <w:t>南宁轨道交通大厦A1座</w:t>
            </w:r>
          </w:p>
        </w:tc>
        <w:tc>
          <w:tcPr>
            <w:tcW w:w="5820" w:type="dxa"/>
            <w:vAlign w:val="center"/>
          </w:tcPr>
          <w:p>
            <w:pPr>
              <w:adjustRightInd w:val="0"/>
              <w:snapToGrid w:val="0"/>
              <w:jc w:val="center"/>
              <w:rPr>
                <w:rFonts w:ascii="宋体" w:hAnsi="宋体" w:cs="宋体"/>
                <w:highlight w:val="none"/>
              </w:rPr>
            </w:pPr>
            <w:r>
              <w:rPr>
                <w:rFonts w:hint="eastAsia" w:ascii="宋体" w:hAnsi="宋体" w:cs="宋体"/>
                <w:highlight w:val="none"/>
              </w:rPr>
              <w:t>南宁市青秀区云景路69号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6" w:type="dxa"/>
            <w:vAlign w:val="center"/>
          </w:tcPr>
          <w:p>
            <w:pPr>
              <w:adjustRightInd w:val="0"/>
              <w:snapToGrid w:val="0"/>
              <w:jc w:val="center"/>
              <w:rPr>
                <w:rFonts w:ascii="宋体" w:hAnsi="宋体" w:cs="宋体"/>
                <w:highlight w:val="none"/>
              </w:rPr>
            </w:pPr>
            <w:r>
              <w:rPr>
                <w:rFonts w:hint="eastAsia" w:ascii="宋体" w:hAnsi="宋体" w:cs="宋体"/>
                <w:highlight w:val="none"/>
              </w:rPr>
              <w:t>2</w:t>
            </w:r>
          </w:p>
        </w:tc>
        <w:tc>
          <w:tcPr>
            <w:tcW w:w="2484" w:type="dxa"/>
            <w:vAlign w:val="center"/>
          </w:tcPr>
          <w:p>
            <w:pPr>
              <w:adjustRightInd w:val="0"/>
              <w:snapToGrid w:val="0"/>
              <w:jc w:val="center"/>
              <w:rPr>
                <w:rFonts w:ascii="宋体" w:hAnsi="宋体" w:cs="宋体"/>
                <w:highlight w:val="none"/>
              </w:rPr>
            </w:pPr>
            <w:r>
              <w:rPr>
                <w:rFonts w:hint="eastAsia" w:ascii="宋体" w:hAnsi="宋体" w:cs="宋体"/>
                <w:highlight w:val="none"/>
              </w:rPr>
              <w:t>屯里车辆段</w:t>
            </w:r>
          </w:p>
        </w:tc>
        <w:tc>
          <w:tcPr>
            <w:tcW w:w="5820" w:type="dxa"/>
            <w:vAlign w:val="center"/>
          </w:tcPr>
          <w:p>
            <w:pPr>
              <w:adjustRightInd w:val="0"/>
              <w:snapToGrid w:val="0"/>
              <w:jc w:val="center"/>
              <w:rPr>
                <w:rFonts w:ascii="宋体" w:hAnsi="宋体" w:cs="宋体"/>
                <w:highlight w:val="none"/>
              </w:rPr>
            </w:pPr>
            <w:r>
              <w:rPr>
                <w:rFonts w:hint="eastAsia" w:ascii="宋体" w:hAnsi="宋体" w:cs="宋体"/>
                <w:highlight w:val="none"/>
              </w:rPr>
              <w:t>南宁市青秀区云景路83号南宁轨道交通运营有限公司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6" w:type="dxa"/>
            <w:vAlign w:val="center"/>
          </w:tcPr>
          <w:p>
            <w:pPr>
              <w:adjustRightInd w:val="0"/>
              <w:snapToGrid w:val="0"/>
              <w:jc w:val="center"/>
              <w:rPr>
                <w:rFonts w:ascii="宋体" w:hAnsi="宋体" w:cs="宋体"/>
                <w:highlight w:val="none"/>
              </w:rPr>
            </w:pPr>
            <w:r>
              <w:rPr>
                <w:rFonts w:hint="eastAsia" w:ascii="宋体" w:hAnsi="宋体" w:cs="宋体"/>
                <w:highlight w:val="none"/>
              </w:rPr>
              <w:t>3</w:t>
            </w:r>
          </w:p>
        </w:tc>
        <w:tc>
          <w:tcPr>
            <w:tcW w:w="2484" w:type="dxa"/>
            <w:vAlign w:val="center"/>
          </w:tcPr>
          <w:p>
            <w:pPr>
              <w:adjustRightInd w:val="0"/>
              <w:snapToGrid w:val="0"/>
              <w:jc w:val="center"/>
              <w:rPr>
                <w:rFonts w:ascii="宋体" w:hAnsi="宋体" w:cs="宋体"/>
                <w:highlight w:val="none"/>
              </w:rPr>
            </w:pPr>
            <w:r>
              <w:rPr>
                <w:rFonts w:hint="eastAsia" w:ascii="宋体" w:hAnsi="宋体" w:cs="宋体"/>
                <w:highlight w:val="none"/>
              </w:rPr>
              <w:t>安吉车辆段</w:t>
            </w:r>
          </w:p>
        </w:tc>
        <w:tc>
          <w:tcPr>
            <w:tcW w:w="5820" w:type="dxa"/>
            <w:vAlign w:val="center"/>
          </w:tcPr>
          <w:p>
            <w:pPr>
              <w:adjustRightInd w:val="0"/>
              <w:snapToGrid w:val="0"/>
              <w:jc w:val="center"/>
              <w:rPr>
                <w:rFonts w:ascii="宋体" w:hAnsi="宋体" w:cs="宋体"/>
                <w:highlight w:val="none"/>
              </w:rPr>
            </w:pPr>
            <w:r>
              <w:rPr>
                <w:rFonts w:hint="eastAsia" w:ascii="宋体" w:hAnsi="宋体" w:cs="宋体"/>
                <w:highlight w:val="none"/>
              </w:rPr>
              <w:t>南宁市西乡塘区G7201(安吉大桥)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6" w:type="dxa"/>
            <w:vAlign w:val="center"/>
          </w:tcPr>
          <w:p>
            <w:pPr>
              <w:adjustRightInd w:val="0"/>
              <w:snapToGrid w:val="0"/>
              <w:jc w:val="center"/>
              <w:rPr>
                <w:rFonts w:ascii="宋体" w:hAnsi="宋体" w:cs="宋体"/>
                <w:highlight w:val="none"/>
              </w:rPr>
            </w:pPr>
            <w:r>
              <w:rPr>
                <w:rFonts w:hint="eastAsia" w:ascii="宋体" w:hAnsi="宋体" w:cs="宋体"/>
                <w:highlight w:val="none"/>
              </w:rPr>
              <w:t>4</w:t>
            </w:r>
          </w:p>
        </w:tc>
        <w:tc>
          <w:tcPr>
            <w:tcW w:w="2484" w:type="dxa"/>
            <w:vAlign w:val="center"/>
          </w:tcPr>
          <w:p>
            <w:pPr>
              <w:adjustRightInd w:val="0"/>
              <w:snapToGrid w:val="0"/>
              <w:jc w:val="center"/>
              <w:rPr>
                <w:rFonts w:ascii="宋体" w:hAnsi="宋体" w:cs="宋体"/>
                <w:highlight w:val="none"/>
              </w:rPr>
            </w:pPr>
            <w:r>
              <w:rPr>
                <w:rFonts w:hint="eastAsia" w:ascii="宋体" w:hAnsi="宋体" w:cs="宋体"/>
                <w:highlight w:val="none"/>
              </w:rPr>
              <w:t>心圩车辆段</w:t>
            </w:r>
          </w:p>
        </w:tc>
        <w:tc>
          <w:tcPr>
            <w:tcW w:w="5820" w:type="dxa"/>
            <w:vAlign w:val="center"/>
          </w:tcPr>
          <w:p>
            <w:pPr>
              <w:adjustRightInd w:val="0"/>
              <w:snapToGrid w:val="0"/>
              <w:jc w:val="center"/>
              <w:rPr>
                <w:rFonts w:ascii="宋体" w:hAnsi="宋体" w:cs="宋体"/>
                <w:highlight w:val="none"/>
              </w:rPr>
            </w:pPr>
            <w:r>
              <w:rPr>
                <w:rFonts w:hint="eastAsia" w:ascii="宋体" w:hAnsi="宋体" w:cs="宋体"/>
                <w:highlight w:val="none"/>
              </w:rPr>
              <w:t>南宁市西乡塘区新际路与振华路交叉口北140米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6" w:type="dxa"/>
            <w:vAlign w:val="center"/>
          </w:tcPr>
          <w:p>
            <w:pPr>
              <w:adjustRightInd w:val="0"/>
              <w:snapToGrid w:val="0"/>
              <w:jc w:val="center"/>
              <w:rPr>
                <w:rFonts w:ascii="宋体" w:hAnsi="宋体" w:cs="宋体"/>
                <w:highlight w:val="none"/>
              </w:rPr>
            </w:pPr>
            <w:r>
              <w:rPr>
                <w:rFonts w:hint="eastAsia" w:ascii="宋体" w:hAnsi="宋体" w:cs="宋体"/>
                <w:highlight w:val="none"/>
              </w:rPr>
              <w:t>5</w:t>
            </w:r>
          </w:p>
        </w:tc>
        <w:tc>
          <w:tcPr>
            <w:tcW w:w="2484" w:type="dxa"/>
            <w:vAlign w:val="center"/>
          </w:tcPr>
          <w:p>
            <w:pPr>
              <w:adjustRightInd w:val="0"/>
              <w:snapToGrid w:val="0"/>
              <w:jc w:val="center"/>
              <w:rPr>
                <w:rFonts w:ascii="宋体" w:hAnsi="宋体" w:cs="宋体"/>
                <w:highlight w:val="none"/>
              </w:rPr>
            </w:pPr>
            <w:r>
              <w:rPr>
                <w:rFonts w:hint="eastAsia" w:ascii="宋体" w:hAnsi="宋体" w:cs="宋体"/>
                <w:highlight w:val="none"/>
              </w:rPr>
              <w:t>五象车辆段</w:t>
            </w:r>
          </w:p>
        </w:tc>
        <w:tc>
          <w:tcPr>
            <w:tcW w:w="5820" w:type="dxa"/>
            <w:vAlign w:val="center"/>
          </w:tcPr>
          <w:p>
            <w:pPr>
              <w:adjustRightInd w:val="0"/>
              <w:snapToGrid w:val="0"/>
              <w:jc w:val="center"/>
              <w:rPr>
                <w:rFonts w:ascii="宋体" w:hAnsi="宋体" w:cs="宋体"/>
                <w:highlight w:val="none"/>
              </w:rPr>
            </w:pPr>
            <w:r>
              <w:rPr>
                <w:rFonts w:hint="eastAsia" w:ascii="宋体" w:hAnsi="宋体" w:cs="宋体"/>
                <w:highlight w:val="none"/>
              </w:rPr>
              <w:t>南宁市良庆区梁村大道辅路-南宁轨道交通4号线五象车辆段（具体位置可参考导航定位）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jc w:val="center"/>
        </w:trPr>
        <w:tc>
          <w:tcPr>
            <w:tcW w:w="726" w:type="dxa"/>
            <w:vAlign w:val="center"/>
          </w:tcPr>
          <w:p>
            <w:pPr>
              <w:adjustRightInd w:val="0"/>
              <w:snapToGrid w:val="0"/>
              <w:jc w:val="center"/>
              <w:rPr>
                <w:rFonts w:ascii="宋体" w:hAnsi="宋体" w:cs="宋体"/>
                <w:highlight w:val="none"/>
              </w:rPr>
            </w:pPr>
            <w:r>
              <w:rPr>
                <w:rFonts w:hint="eastAsia" w:ascii="宋体" w:hAnsi="宋体" w:cs="宋体"/>
                <w:highlight w:val="none"/>
              </w:rPr>
              <w:t>6</w:t>
            </w:r>
          </w:p>
        </w:tc>
        <w:tc>
          <w:tcPr>
            <w:tcW w:w="2484" w:type="dxa"/>
            <w:vAlign w:val="center"/>
          </w:tcPr>
          <w:p>
            <w:pPr>
              <w:adjustRightInd w:val="0"/>
              <w:snapToGrid w:val="0"/>
              <w:jc w:val="center"/>
              <w:rPr>
                <w:rFonts w:ascii="宋体" w:hAnsi="宋体" w:cs="宋体"/>
                <w:highlight w:val="none"/>
              </w:rPr>
            </w:pPr>
            <w:r>
              <w:rPr>
                <w:rFonts w:hint="eastAsia" w:ascii="宋体" w:hAnsi="宋体" w:cs="宋体"/>
                <w:highlight w:val="none"/>
              </w:rPr>
              <w:t>那洪车辆段</w:t>
            </w:r>
          </w:p>
        </w:tc>
        <w:tc>
          <w:tcPr>
            <w:tcW w:w="5820" w:type="dxa"/>
            <w:vAlign w:val="center"/>
          </w:tcPr>
          <w:p>
            <w:pPr>
              <w:adjustRightInd w:val="0"/>
              <w:snapToGrid w:val="0"/>
              <w:jc w:val="center"/>
              <w:rPr>
                <w:rFonts w:ascii="宋体" w:hAnsi="宋体" w:cs="宋体"/>
                <w:highlight w:val="none"/>
              </w:rPr>
            </w:pPr>
            <w:r>
              <w:rPr>
                <w:rFonts w:hint="eastAsia" w:ascii="宋体" w:hAnsi="宋体" w:cs="宋体"/>
                <w:highlight w:val="none"/>
              </w:rPr>
              <w:t>南宁市江南区G7201（那洪大桥）具体位置可参考导航定位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jc w:val="center"/>
        </w:trPr>
        <w:tc>
          <w:tcPr>
            <w:tcW w:w="726" w:type="dxa"/>
            <w:vAlign w:val="center"/>
          </w:tcPr>
          <w:p>
            <w:pPr>
              <w:adjustRightInd w:val="0"/>
              <w:snapToGrid w:val="0"/>
              <w:jc w:val="center"/>
              <w:rPr>
                <w:rFonts w:ascii="宋体" w:hAnsi="宋体" w:cs="宋体"/>
                <w:highlight w:val="none"/>
              </w:rPr>
            </w:pPr>
            <w:r>
              <w:rPr>
                <w:rFonts w:hint="eastAsia" w:ascii="宋体" w:hAnsi="宋体" w:cs="宋体"/>
                <w:highlight w:val="none"/>
              </w:rPr>
              <w:t>7</w:t>
            </w:r>
          </w:p>
        </w:tc>
        <w:tc>
          <w:tcPr>
            <w:tcW w:w="2484" w:type="dxa"/>
            <w:vAlign w:val="center"/>
          </w:tcPr>
          <w:p>
            <w:pPr>
              <w:adjustRightInd w:val="0"/>
              <w:snapToGrid w:val="0"/>
              <w:jc w:val="center"/>
              <w:rPr>
                <w:rFonts w:ascii="宋体" w:hAnsi="宋体" w:cs="宋体"/>
                <w:highlight w:val="none"/>
              </w:rPr>
            </w:pPr>
            <w:r>
              <w:rPr>
                <w:rFonts w:hint="eastAsia" w:ascii="宋体" w:hAnsi="宋体" w:cs="宋体"/>
                <w:highlight w:val="none"/>
              </w:rPr>
              <w:t>西乡塘停车场</w:t>
            </w:r>
          </w:p>
        </w:tc>
        <w:tc>
          <w:tcPr>
            <w:tcW w:w="5820" w:type="dxa"/>
            <w:vAlign w:val="center"/>
          </w:tcPr>
          <w:p>
            <w:pPr>
              <w:adjustRightInd w:val="0"/>
              <w:snapToGrid w:val="0"/>
              <w:jc w:val="center"/>
              <w:rPr>
                <w:rFonts w:ascii="宋体" w:hAnsi="宋体" w:cs="宋体"/>
                <w:highlight w:val="none"/>
              </w:rPr>
            </w:pPr>
            <w:r>
              <w:rPr>
                <w:rFonts w:hint="eastAsia" w:ascii="宋体" w:hAnsi="宋体" w:cs="宋体"/>
                <w:highlight w:val="none"/>
              </w:rPr>
              <w:t>南宁市西乡塘区石埠南互通东150米（具体位置可参考导航定位）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jc w:val="center"/>
        </w:trPr>
        <w:tc>
          <w:tcPr>
            <w:tcW w:w="726" w:type="dxa"/>
            <w:vAlign w:val="center"/>
          </w:tcPr>
          <w:p>
            <w:pPr>
              <w:adjustRightInd w:val="0"/>
              <w:snapToGrid w:val="0"/>
              <w:jc w:val="center"/>
              <w:rPr>
                <w:rFonts w:ascii="宋体" w:hAnsi="宋体" w:cs="宋体"/>
                <w:highlight w:val="none"/>
              </w:rPr>
            </w:pPr>
            <w:r>
              <w:rPr>
                <w:rFonts w:hint="eastAsia" w:ascii="宋体" w:hAnsi="宋体" w:cs="宋体"/>
                <w:highlight w:val="none"/>
              </w:rPr>
              <w:t>8</w:t>
            </w:r>
          </w:p>
        </w:tc>
        <w:tc>
          <w:tcPr>
            <w:tcW w:w="2484" w:type="dxa"/>
            <w:vAlign w:val="center"/>
          </w:tcPr>
          <w:p>
            <w:pPr>
              <w:adjustRightInd w:val="0"/>
              <w:snapToGrid w:val="0"/>
              <w:jc w:val="center"/>
              <w:rPr>
                <w:rFonts w:ascii="宋体" w:hAnsi="宋体" w:cs="宋体"/>
                <w:highlight w:val="none"/>
              </w:rPr>
            </w:pPr>
            <w:r>
              <w:rPr>
                <w:rFonts w:hint="eastAsia" w:ascii="宋体" w:hAnsi="宋体" w:cs="宋体"/>
                <w:highlight w:val="none"/>
              </w:rPr>
              <w:t>新村停车场</w:t>
            </w:r>
          </w:p>
        </w:tc>
        <w:tc>
          <w:tcPr>
            <w:tcW w:w="5820" w:type="dxa"/>
            <w:vAlign w:val="center"/>
          </w:tcPr>
          <w:p>
            <w:pPr>
              <w:adjustRightInd w:val="0"/>
              <w:snapToGrid w:val="0"/>
              <w:jc w:val="center"/>
              <w:rPr>
                <w:rFonts w:ascii="宋体" w:hAnsi="宋体" w:cs="宋体"/>
                <w:highlight w:val="none"/>
              </w:rPr>
            </w:pPr>
            <w:r>
              <w:rPr>
                <w:rFonts w:hint="eastAsia" w:ascii="宋体" w:hAnsi="宋体" w:cs="宋体"/>
                <w:highlight w:val="none"/>
              </w:rPr>
              <w:t>南宁市良庆区良玉大道合景天汇广场西南侧约60米（具体位置可参考导航定位）</w:t>
            </w:r>
          </w:p>
        </w:tc>
      </w:tr>
    </w:tbl>
    <w:p>
      <w:pPr>
        <w:adjustRightInd w:val="0"/>
        <w:snapToGrid w:val="0"/>
        <w:rPr>
          <w:rFonts w:ascii="宋体" w:hAnsi="宋体" w:cs="宋体"/>
          <w:sz w:val="24"/>
          <w:szCs w:val="24"/>
          <w:highlight w:val="none"/>
        </w:rPr>
      </w:pPr>
    </w:p>
    <w:p>
      <w:pPr>
        <w:adjustRightInd w:val="0"/>
        <w:snapToGrid w:val="0"/>
        <w:ind w:left="0" w:firstLine="0"/>
        <w:rPr>
          <w:rFonts w:ascii="宋体" w:hAnsi="宋体" w:cs="宋体"/>
          <w:b/>
          <w:bCs/>
          <w:sz w:val="24"/>
          <w:szCs w:val="24"/>
          <w:highlight w:val="none"/>
        </w:rPr>
      </w:pPr>
      <w:r>
        <w:rPr>
          <w:rFonts w:hint="eastAsia" w:ascii="宋体" w:hAnsi="宋体" w:cs="宋体"/>
          <w:b/>
          <w:bCs/>
          <w:sz w:val="24"/>
          <w:szCs w:val="24"/>
          <w:highlight w:val="none"/>
        </w:rPr>
        <w:t>二、交货期</w:t>
      </w:r>
    </w:p>
    <w:p>
      <w:pPr>
        <w:adjustRightInd w:val="0"/>
        <w:snapToGrid w:val="0"/>
        <w:rPr>
          <w:rFonts w:ascii="宋体" w:hAnsi="宋体"/>
          <w:sz w:val="24"/>
          <w:szCs w:val="24"/>
          <w:highlight w:val="none"/>
          <w:u w:val="single"/>
        </w:rPr>
      </w:pPr>
      <w:r>
        <w:rPr>
          <w:rFonts w:hint="eastAsia" w:ascii="宋体" w:hAnsi="宋体"/>
          <w:sz w:val="24"/>
          <w:szCs w:val="24"/>
          <w:highlight w:val="none"/>
          <w:u w:val="single"/>
        </w:rPr>
        <w:t>5个工作日（中标通知书发出后按交货通知书交货，以交货通知发出起算）</w:t>
      </w:r>
    </w:p>
    <w:p>
      <w:pPr>
        <w:adjustRightInd w:val="0"/>
        <w:snapToGrid w:val="0"/>
        <w:rPr>
          <w:rFonts w:ascii="宋体" w:hAnsi="宋体" w:cs="宋体"/>
          <w:b/>
          <w:bCs/>
          <w:sz w:val="24"/>
          <w:szCs w:val="24"/>
          <w:highlight w:val="none"/>
        </w:rPr>
      </w:pPr>
      <w:r>
        <w:rPr>
          <w:rFonts w:hint="eastAsia" w:ascii="宋体" w:hAnsi="宋体" w:cs="宋体"/>
          <w:b/>
          <w:bCs/>
          <w:sz w:val="24"/>
          <w:szCs w:val="24"/>
          <w:highlight w:val="none"/>
        </w:rPr>
        <w:t>三、送货</w:t>
      </w:r>
    </w:p>
    <w:p>
      <w:pPr>
        <w:spacing w:line="240" w:lineRule="auto"/>
        <w:ind w:left="777" w:leftChars="33" w:hanging="708" w:hangingChars="295"/>
        <w:rPr>
          <w:sz w:val="24"/>
          <w:szCs w:val="24"/>
          <w:highlight w:val="none"/>
        </w:rPr>
      </w:pPr>
      <w:r>
        <w:rPr>
          <w:rFonts w:hint="eastAsia"/>
          <w:sz w:val="24"/>
          <w:szCs w:val="24"/>
          <w:highlight w:val="none"/>
        </w:rPr>
        <w:t>1</w:t>
      </w:r>
      <w:r>
        <w:rPr>
          <w:sz w:val="24"/>
          <w:szCs w:val="24"/>
          <w:highlight w:val="none"/>
        </w:rPr>
        <w:t>.</w:t>
      </w:r>
      <w:r>
        <w:rPr>
          <w:rFonts w:hint="eastAsia"/>
          <w:sz w:val="24"/>
          <w:szCs w:val="24"/>
          <w:highlight w:val="none"/>
        </w:rPr>
        <w:t>实行乙方配送制，乙方收到甲方交货通知后，需及时备货，并确保货品质量，并</w:t>
      </w:r>
    </w:p>
    <w:p>
      <w:pPr>
        <w:spacing w:line="240" w:lineRule="auto"/>
        <w:ind w:left="777" w:leftChars="33" w:hanging="708" w:hangingChars="295"/>
        <w:rPr>
          <w:sz w:val="24"/>
          <w:szCs w:val="24"/>
          <w:highlight w:val="none"/>
        </w:rPr>
      </w:pPr>
      <w:r>
        <w:rPr>
          <w:rFonts w:hint="eastAsia"/>
          <w:sz w:val="24"/>
          <w:szCs w:val="24"/>
          <w:highlight w:val="none"/>
        </w:rPr>
        <w:t>照甲方的送货要求，把甲方所采购货品配送到甲方指定收货验收地点。在约定交</w:t>
      </w:r>
    </w:p>
    <w:p>
      <w:pPr>
        <w:spacing w:line="240" w:lineRule="auto"/>
        <w:ind w:left="777" w:leftChars="33" w:hanging="708" w:hangingChars="295"/>
        <w:rPr>
          <w:sz w:val="24"/>
          <w:szCs w:val="24"/>
          <w:highlight w:val="none"/>
        </w:rPr>
      </w:pPr>
      <w:r>
        <w:rPr>
          <w:rFonts w:hint="eastAsia"/>
          <w:sz w:val="24"/>
          <w:szCs w:val="24"/>
          <w:highlight w:val="none"/>
        </w:rPr>
        <w:t>卸货点内，配备1-5名人员协助我方工作人员分发货物。乙方随货提供一份注明</w:t>
      </w:r>
    </w:p>
    <w:p>
      <w:pPr>
        <w:spacing w:line="240" w:lineRule="auto"/>
        <w:ind w:left="777" w:leftChars="33" w:hanging="708" w:hangingChars="295"/>
        <w:rPr>
          <w:sz w:val="24"/>
          <w:szCs w:val="24"/>
          <w:highlight w:val="none"/>
        </w:rPr>
      </w:pPr>
      <w:r>
        <w:rPr>
          <w:rFonts w:hint="eastAsia"/>
          <w:sz w:val="24"/>
          <w:szCs w:val="24"/>
          <w:highlight w:val="none"/>
        </w:rPr>
        <w:t>货物名称、单位、数量、批发售价及总金额的商品送货清单，作为甲方入库验收</w:t>
      </w:r>
    </w:p>
    <w:p>
      <w:pPr>
        <w:spacing w:line="240" w:lineRule="auto"/>
        <w:ind w:left="777" w:leftChars="33" w:hanging="708" w:hangingChars="295"/>
        <w:rPr>
          <w:sz w:val="24"/>
          <w:szCs w:val="24"/>
          <w:highlight w:val="none"/>
        </w:rPr>
      </w:pPr>
      <w:r>
        <w:rPr>
          <w:rFonts w:hint="eastAsia"/>
          <w:sz w:val="24"/>
          <w:szCs w:val="24"/>
          <w:highlight w:val="none"/>
        </w:rPr>
        <w:t>之凭证。甲方自提的需凭提货人授权委托书提货。如由于乙方的原因造成甲方在</w:t>
      </w:r>
    </w:p>
    <w:p>
      <w:pPr>
        <w:spacing w:line="240" w:lineRule="auto"/>
        <w:ind w:left="777" w:leftChars="33" w:hanging="708" w:hangingChars="295"/>
        <w:rPr>
          <w:sz w:val="24"/>
          <w:szCs w:val="24"/>
          <w:highlight w:val="none"/>
        </w:rPr>
      </w:pPr>
      <w:r>
        <w:rPr>
          <w:rFonts w:hint="eastAsia"/>
          <w:sz w:val="24"/>
          <w:szCs w:val="24"/>
          <w:highlight w:val="none"/>
        </w:rPr>
        <w:t>上述期限未能收到货物，每逾期一日，乙方须按逾期交货部分对应货款的万分之</w:t>
      </w:r>
    </w:p>
    <w:p>
      <w:pPr>
        <w:spacing w:line="240" w:lineRule="auto"/>
        <w:ind w:left="777" w:leftChars="33" w:hanging="708" w:hangingChars="295"/>
        <w:rPr>
          <w:sz w:val="24"/>
          <w:szCs w:val="24"/>
          <w:highlight w:val="none"/>
        </w:rPr>
      </w:pPr>
      <w:r>
        <w:rPr>
          <w:rFonts w:hint="eastAsia"/>
          <w:sz w:val="24"/>
          <w:szCs w:val="24"/>
          <w:highlight w:val="none"/>
        </w:rPr>
        <w:t>五向甲方支付违约金。由于乙方原因导致逾期交货超过15天的，甲方有权解除本</w:t>
      </w:r>
    </w:p>
    <w:p>
      <w:pPr>
        <w:spacing w:line="240" w:lineRule="auto"/>
        <w:ind w:left="777" w:leftChars="33" w:hanging="708" w:hangingChars="295"/>
        <w:rPr>
          <w:sz w:val="24"/>
          <w:szCs w:val="24"/>
          <w:highlight w:val="none"/>
        </w:rPr>
      </w:pPr>
      <w:r>
        <w:rPr>
          <w:rFonts w:hint="eastAsia"/>
          <w:sz w:val="24"/>
          <w:szCs w:val="24"/>
          <w:highlight w:val="none"/>
        </w:rPr>
        <w:t>合同，乙方应按合同货款总额的20%向甲方支付违约金，甲方有权将乙方列入采</w:t>
      </w:r>
    </w:p>
    <w:p>
      <w:pPr>
        <w:spacing w:line="240" w:lineRule="auto"/>
        <w:ind w:left="777" w:leftChars="33" w:hanging="708" w:hangingChars="295"/>
        <w:rPr>
          <w:sz w:val="24"/>
          <w:szCs w:val="24"/>
          <w:highlight w:val="none"/>
        </w:rPr>
      </w:pPr>
      <w:r>
        <w:rPr>
          <w:rFonts w:hint="eastAsia"/>
          <w:sz w:val="24"/>
          <w:szCs w:val="24"/>
          <w:highlight w:val="none"/>
        </w:rPr>
        <w:t>购黑名单，一年内不得参与甲方组织的采购。</w:t>
      </w:r>
    </w:p>
    <w:p>
      <w:pPr>
        <w:numPr>
          <w:ilvl w:val="255"/>
          <w:numId w:val="0"/>
        </w:numPr>
        <w:spacing w:line="240" w:lineRule="auto"/>
        <w:rPr>
          <w:sz w:val="24"/>
          <w:szCs w:val="24"/>
          <w:highlight w:val="none"/>
        </w:rPr>
      </w:pPr>
      <w:r>
        <w:rPr>
          <w:rFonts w:hint="eastAsia"/>
          <w:sz w:val="24"/>
          <w:szCs w:val="24"/>
          <w:highlight w:val="none"/>
        </w:rPr>
        <w:t>2.具体配送至本合同约定的收货验收地点的物品比例、种类、数量以甲方实际通</w:t>
      </w:r>
    </w:p>
    <w:p>
      <w:pPr>
        <w:spacing w:line="240" w:lineRule="auto"/>
        <w:ind w:left="0" w:firstLine="0"/>
        <w:rPr>
          <w:sz w:val="24"/>
          <w:szCs w:val="24"/>
          <w:highlight w:val="none"/>
        </w:rPr>
      </w:pPr>
      <w:r>
        <w:rPr>
          <w:rFonts w:hint="eastAsia"/>
          <w:sz w:val="24"/>
          <w:szCs w:val="24"/>
          <w:highlight w:val="none"/>
        </w:rPr>
        <w:t>知为准，乙方无条件按甲方要求执行。</w:t>
      </w:r>
    </w:p>
    <w:p>
      <w:pPr>
        <w:ind w:left="0" w:right="-28" w:firstLine="0"/>
        <w:rPr>
          <w:sz w:val="24"/>
          <w:szCs w:val="24"/>
          <w:highlight w:val="none"/>
        </w:rPr>
      </w:pPr>
      <w:r>
        <w:rPr>
          <w:sz w:val="24"/>
          <w:szCs w:val="24"/>
          <w:highlight w:val="none"/>
        </w:rPr>
        <w:t>3.</w:t>
      </w:r>
      <w:r>
        <w:rPr>
          <w:rFonts w:hint="eastAsia"/>
          <w:sz w:val="24"/>
          <w:szCs w:val="24"/>
          <w:highlight w:val="none"/>
        </w:rPr>
        <w:t>如乙方迟延交付甲方采购物品的，甲方有权要求乙方按未交付采购物品价值为基数，按每日万分之三收取违约金。乙方违约导致甲方支出的律师费由乙方承担。如因此导致甲方支出律师费、差旅费、保函费、公告费、鉴定费等合理费用的，均由乙方承担。</w:t>
      </w:r>
    </w:p>
    <w:p>
      <w:pPr>
        <w:adjustRightInd w:val="0"/>
        <w:snapToGrid w:val="0"/>
        <w:spacing w:line="240" w:lineRule="auto"/>
        <w:ind w:left="0" w:firstLine="0"/>
        <w:rPr>
          <w:rFonts w:ascii="宋体" w:hAnsi="宋体" w:cs="宋体"/>
          <w:b/>
          <w:bCs/>
          <w:sz w:val="24"/>
          <w:szCs w:val="24"/>
          <w:highlight w:val="none"/>
        </w:rPr>
      </w:pPr>
      <w:r>
        <w:rPr>
          <w:rFonts w:hint="eastAsia" w:ascii="宋体" w:hAnsi="宋体" w:cs="宋体"/>
          <w:b/>
          <w:bCs/>
          <w:sz w:val="24"/>
          <w:szCs w:val="24"/>
          <w:highlight w:val="none"/>
        </w:rPr>
        <w:t>四、验收</w:t>
      </w:r>
    </w:p>
    <w:p>
      <w:pPr>
        <w:adjustRightInd w:val="0"/>
        <w:snapToGrid w:val="0"/>
        <w:ind w:left="0" w:right="-28" w:firstLine="480" w:firstLineChars="200"/>
        <w:rPr>
          <w:sz w:val="24"/>
          <w:szCs w:val="24"/>
          <w:highlight w:val="none"/>
        </w:rPr>
      </w:pPr>
      <w:r>
        <w:rPr>
          <w:rFonts w:hint="eastAsia"/>
          <w:sz w:val="24"/>
          <w:szCs w:val="24"/>
          <w:highlight w:val="none"/>
        </w:rPr>
        <w:t>甲方应向乙方提供甲方提货人和验收人授权书，包括提货人/验收人姓名和签名样本，如有变更应及时以书面形式通知乙方。提货和验收时，乙方将核实提货验收人身份后，由提货验收人签字确认收到货物。若提货/验货人与甲方出具的授权委托书上人员不一致，乙方有权拒绝交货。因甲方提货/验收人变更未及时通知乙方，而引起的货物损失由甲方自行承担，相应货物款项仍应由甲方支付。乙方交货名称、单位、数量、规格等与本合同规定不符的，甲方有权选择拒绝收货，或要求乙方在7日内退换或补足。货物的损毁、灭失风险自甲方验收合格之日起由甲方承担，验收合格前由乙方承担。</w:t>
      </w:r>
    </w:p>
    <w:p>
      <w:pPr>
        <w:adjustRightInd w:val="0"/>
        <w:snapToGrid w:val="0"/>
        <w:rPr>
          <w:rFonts w:ascii="宋体" w:hAnsi="宋体" w:cs="宋体"/>
          <w:b/>
          <w:sz w:val="24"/>
          <w:szCs w:val="24"/>
          <w:highlight w:val="none"/>
        </w:rPr>
      </w:pPr>
      <w:r>
        <w:rPr>
          <w:rFonts w:hint="eastAsia" w:ascii="宋体" w:hAnsi="宋体" w:cs="宋体"/>
          <w:b/>
          <w:bCs/>
          <w:sz w:val="24"/>
          <w:szCs w:val="24"/>
          <w:highlight w:val="none"/>
        </w:rPr>
        <w:t>五、</w:t>
      </w:r>
      <w:r>
        <w:rPr>
          <w:rFonts w:hint="eastAsia" w:ascii="宋体" w:hAnsi="宋体" w:cs="宋体"/>
          <w:b/>
          <w:sz w:val="24"/>
          <w:szCs w:val="24"/>
          <w:highlight w:val="none"/>
        </w:rPr>
        <w:t>合同总价款</w:t>
      </w:r>
    </w:p>
    <w:p>
      <w:pPr>
        <w:spacing w:line="240" w:lineRule="auto"/>
        <w:ind w:left="717" w:leftChars="186" w:hanging="326" w:hangingChars="136"/>
        <w:rPr>
          <w:sz w:val="24"/>
          <w:szCs w:val="24"/>
          <w:highlight w:val="none"/>
        </w:rPr>
      </w:pPr>
      <w:r>
        <w:rPr>
          <w:rFonts w:hint="eastAsia"/>
          <w:sz w:val="24"/>
          <w:szCs w:val="24"/>
          <w:highlight w:val="none"/>
        </w:rPr>
        <w:t>合同总价暂定为¥元，单价包干，具体合同总价按最终甲方要求的及通过甲方</w:t>
      </w:r>
    </w:p>
    <w:p>
      <w:pPr>
        <w:spacing w:line="240" w:lineRule="auto"/>
        <w:rPr>
          <w:sz w:val="24"/>
          <w:szCs w:val="24"/>
          <w:highlight w:val="none"/>
        </w:rPr>
      </w:pPr>
      <w:r>
        <w:rPr>
          <w:rFonts w:hint="eastAsia"/>
          <w:sz w:val="24"/>
          <w:szCs w:val="24"/>
          <w:highlight w:val="none"/>
        </w:rPr>
        <w:t>验收的供货数量以及本合同约定单价计算，增减数量在合同数量的±10%范围内。</w:t>
      </w:r>
    </w:p>
    <w:p>
      <w:pPr>
        <w:rPr>
          <w:rFonts w:ascii="宋体" w:hAnsi="宋体" w:cs="宋体"/>
          <w:b/>
          <w:sz w:val="24"/>
          <w:szCs w:val="24"/>
          <w:highlight w:val="none"/>
        </w:rPr>
      </w:pPr>
      <w:r>
        <w:rPr>
          <w:rFonts w:hint="eastAsia" w:ascii="宋体" w:hAnsi="宋体" w:cs="宋体"/>
          <w:b/>
          <w:sz w:val="24"/>
          <w:szCs w:val="24"/>
          <w:highlight w:val="none"/>
        </w:rPr>
        <w:t>六、付款方式</w:t>
      </w:r>
    </w:p>
    <w:p>
      <w:pPr>
        <w:ind w:left="0" w:right="-28" w:firstLine="480" w:firstLineChars="200"/>
        <w:rPr>
          <w:sz w:val="24"/>
          <w:szCs w:val="24"/>
          <w:highlight w:val="none"/>
        </w:rPr>
      </w:pPr>
      <w:r>
        <w:rPr>
          <w:rFonts w:hint="eastAsia"/>
          <w:sz w:val="24"/>
          <w:szCs w:val="24"/>
          <w:highlight w:val="none"/>
        </w:rPr>
        <w:t>乙方在本合同约定的交货期内，将甲方所采购的商品送到本合同约定的收货验收地点，经验收合格后，乙方向甲方提交合同计量申请相关材料，经甲方审批同意后甲方通知乙方开具增值税普通发票，甲方收到有效发票后30个工作日内，支付当期开票金额95%的货款。剩余5%的货款作为质保金，在完成交货后，两个月内无质量问题的，合同计量结算经甲方审定后，甲方在15个工作日内一次性付清剩余质保金，具体金额以结算为准，支付方式为</w:t>
      </w:r>
      <w:r>
        <w:rPr>
          <w:rFonts w:hint="eastAsia"/>
          <w:b/>
          <w:bCs/>
          <w:sz w:val="24"/>
          <w:szCs w:val="24"/>
          <w:highlight w:val="none"/>
          <w:u w:val="single"/>
        </w:rPr>
        <w:t>银行转账</w:t>
      </w:r>
      <w:r>
        <w:rPr>
          <w:rFonts w:hint="eastAsia"/>
          <w:sz w:val="24"/>
          <w:szCs w:val="24"/>
          <w:highlight w:val="none"/>
        </w:rPr>
        <w:t>。最终结算金额按甲方审定结果为准，甲方在审定前支付的款项不视为甲方认可相应金额为应付乙方款项金额。</w:t>
      </w:r>
    </w:p>
    <w:p>
      <w:pPr>
        <w:rPr>
          <w:rFonts w:ascii="宋体" w:hAnsi="宋体" w:cs="宋体"/>
          <w:b/>
          <w:sz w:val="24"/>
          <w:szCs w:val="24"/>
          <w:highlight w:val="none"/>
        </w:rPr>
      </w:pPr>
      <w:r>
        <w:rPr>
          <w:rFonts w:hint="eastAsia" w:ascii="宋体" w:hAnsi="宋体" w:cs="宋体"/>
          <w:b/>
          <w:sz w:val="24"/>
          <w:szCs w:val="24"/>
          <w:highlight w:val="none"/>
        </w:rPr>
        <w:t>乙方账户资料：</w:t>
      </w:r>
    </w:p>
    <w:p>
      <w:pPr>
        <w:spacing w:line="240" w:lineRule="auto"/>
        <w:ind w:firstLine="480"/>
        <w:jc w:val="left"/>
        <w:rPr>
          <w:rFonts w:ascii="宋体" w:hAnsi="宋体" w:cs="宋体"/>
          <w:b/>
          <w:sz w:val="24"/>
          <w:szCs w:val="24"/>
          <w:highlight w:val="none"/>
        </w:rPr>
      </w:pPr>
      <w:r>
        <w:rPr>
          <w:rFonts w:hint="eastAsia" w:ascii="宋体" w:hAnsi="宋体" w:cs="宋体"/>
          <w:b/>
          <w:sz w:val="24"/>
          <w:szCs w:val="24"/>
          <w:highlight w:val="none"/>
        </w:rPr>
        <w:t>公司名称：</w:t>
      </w:r>
    </w:p>
    <w:p>
      <w:pPr>
        <w:spacing w:line="240" w:lineRule="auto"/>
        <w:ind w:firstLine="480"/>
        <w:jc w:val="left"/>
        <w:rPr>
          <w:rFonts w:ascii="宋体" w:hAnsi="宋体" w:cs="宋体"/>
          <w:b/>
          <w:sz w:val="24"/>
          <w:szCs w:val="24"/>
          <w:highlight w:val="none"/>
        </w:rPr>
      </w:pPr>
      <w:r>
        <w:rPr>
          <w:rFonts w:hint="eastAsia" w:ascii="宋体" w:hAnsi="宋体" w:cs="宋体"/>
          <w:b/>
          <w:sz w:val="24"/>
          <w:szCs w:val="24"/>
          <w:highlight w:val="none"/>
        </w:rPr>
        <w:t>公司账号：</w:t>
      </w:r>
    </w:p>
    <w:p>
      <w:pPr>
        <w:ind w:firstLine="480"/>
        <w:rPr>
          <w:rFonts w:ascii="宋体" w:hAnsi="宋体" w:cs="宋体"/>
          <w:b/>
          <w:sz w:val="24"/>
          <w:szCs w:val="24"/>
          <w:highlight w:val="none"/>
        </w:rPr>
      </w:pPr>
      <w:r>
        <w:rPr>
          <w:rFonts w:hint="eastAsia" w:ascii="宋体" w:hAnsi="宋体" w:cs="宋体"/>
          <w:b/>
          <w:sz w:val="24"/>
          <w:szCs w:val="24"/>
          <w:highlight w:val="none"/>
        </w:rPr>
        <w:t>开户银行：</w:t>
      </w:r>
    </w:p>
    <w:p>
      <w:pPr>
        <w:adjustRightInd w:val="0"/>
        <w:snapToGrid w:val="0"/>
        <w:rPr>
          <w:rFonts w:ascii="宋体" w:hAnsi="宋体" w:cs="宋体"/>
          <w:sz w:val="24"/>
          <w:szCs w:val="24"/>
          <w:highlight w:val="none"/>
        </w:rPr>
      </w:pPr>
      <w:r>
        <w:rPr>
          <w:rFonts w:hint="eastAsia" w:ascii="宋体" w:hAnsi="宋体" w:cs="宋体"/>
          <w:b/>
          <w:bCs/>
          <w:sz w:val="24"/>
          <w:szCs w:val="24"/>
          <w:highlight w:val="none"/>
        </w:rPr>
        <w:t>七、质量保证</w:t>
      </w:r>
    </w:p>
    <w:p>
      <w:pPr>
        <w:ind w:left="1" w:right="-28" w:firstLine="424" w:firstLineChars="177"/>
        <w:rPr>
          <w:sz w:val="24"/>
          <w:szCs w:val="24"/>
          <w:highlight w:val="none"/>
        </w:rPr>
      </w:pPr>
      <w:r>
        <w:rPr>
          <w:rFonts w:hint="eastAsia"/>
          <w:sz w:val="24"/>
          <w:szCs w:val="24"/>
          <w:highlight w:val="none"/>
        </w:rPr>
        <w:t>乙方保证所供商品符合国家法律和地方政府规定的质量及卫生标准。甲方如发现商品存在质量问题，应自收货之日起十五个工作日内向乙方提出，乙方确认后十个工作日负责退换；如商品遭到人为损坏或超出退换期限，乙方有权拒绝办理退换货。若因乙方商品质量问题造成甲方人员人身、财产损害的，乙方应承担赔偿责任。</w:t>
      </w:r>
    </w:p>
    <w:p>
      <w:pPr>
        <w:adjustRightInd w:val="0"/>
        <w:snapToGrid w:val="0"/>
        <w:rPr>
          <w:rFonts w:ascii="宋体" w:hAnsi="宋体" w:cs="宋体"/>
          <w:b/>
          <w:bCs/>
          <w:sz w:val="24"/>
          <w:szCs w:val="24"/>
          <w:highlight w:val="none"/>
        </w:rPr>
      </w:pPr>
      <w:r>
        <w:rPr>
          <w:rFonts w:hint="eastAsia" w:ascii="宋体" w:hAnsi="宋体" w:cs="宋体"/>
          <w:b/>
          <w:bCs/>
          <w:sz w:val="24"/>
          <w:szCs w:val="24"/>
          <w:highlight w:val="none"/>
        </w:rPr>
        <w:t>八、其它</w:t>
      </w:r>
    </w:p>
    <w:p>
      <w:pPr>
        <w:spacing w:line="240" w:lineRule="auto"/>
        <w:rPr>
          <w:sz w:val="24"/>
          <w:szCs w:val="24"/>
          <w:highlight w:val="none"/>
        </w:rPr>
      </w:pPr>
      <w:r>
        <w:rPr>
          <w:rFonts w:hint="eastAsia"/>
          <w:sz w:val="24"/>
          <w:szCs w:val="24"/>
          <w:highlight w:val="none"/>
        </w:rPr>
        <w:t>1.本合同一式捌份，甲执陆份、乙执贰份，具有同等法律效力，自双方签字、盖章</w:t>
      </w:r>
    </w:p>
    <w:p>
      <w:pPr>
        <w:spacing w:line="240" w:lineRule="auto"/>
        <w:ind w:left="0" w:firstLine="0"/>
        <w:rPr>
          <w:sz w:val="24"/>
          <w:szCs w:val="24"/>
          <w:highlight w:val="none"/>
        </w:rPr>
      </w:pPr>
      <w:r>
        <w:rPr>
          <w:rFonts w:hint="eastAsia"/>
          <w:sz w:val="24"/>
          <w:szCs w:val="24"/>
          <w:highlight w:val="none"/>
        </w:rPr>
        <w:t>（有效公章或合同专用章）之日起生效。</w:t>
      </w:r>
    </w:p>
    <w:p>
      <w:pPr>
        <w:numPr>
          <w:ilvl w:val="0"/>
          <w:numId w:val="6"/>
        </w:numPr>
        <w:spacing w:line="240" w:lineRule="auto"/>
        <w:rPr>
          <w:sz w:val="24"/>
          <w:szCs w:val="24"/>
          <w:highlight w:val="none"/>
        </w:rPr>
      </w:pPr>
      <w:r>
        <w:rPr>
          <w:rFonts w:hint="eastAsia"/>
          <w:sz w:val="24"/>
          <w:szCs w:val="24"/>
          <w:highlight w:val="none"/>
        </w:rPr>
        <w:t>若甲乙双方因本合同发生争议，应友好协商解决，协商无法解决的，双方同意</w:t>
      </w:r>
    </w:p>
    <w:p>
      <w:pPr>
        <w:spacing w:line="240" w:lineRule="auto"/>
        <w:ind w:left="0" w:firstLine="0"/>
        <w:rPr>
          <w:sz w:val="24"/>
          <w:szCs w:val="24"/>
          <w:highlight w:val="none"/>
        </w:rPr>
      </w:pPr>
      <w:r>
        <w:rPr>
          <w:rFonts w:hint="eastAsia"/>
          <w:sz w:val="24"/>
          <w:szCs w:val="24"/>
          <w:highlight w:val="none"/>
        </w:rPr>
        <w:t>向甲方所在地人民法院提起诉讼。</w:t>
      </w:r>
    </w:p>
    <w:p>
      <w:pPr>
        <w:spacing w:line="240" w:lineRule="auto"/>
        <w:rPr>
          <w:sz w:val="24"/>
          <w:szCs w:val="24"/>
          <w:highlight w:val="none"/>
        </w:rPr>
      </w:pPr>
      <w:r>
        <w:rPr>
          <w:rFonts w:hint="eastAsia"/>
          <w:sz w:val="24"/>
          <w:szCs w:val="24"/>
          <w:highlight w:val="none"/>
        </w:rPr>
        <w:t>3.本合同甲方不接受乙方在合同履约、结算等过程中另行授权。</w:t>
      </w:r>
    </w:p>
    <w:p>
      <w:pPr>
        <w:tabs>
          <w:tab w:val="left" w:pos="5445"/>
        </w:tabs>
        <w:spacing w:line="240" w:lineRule="auto"/>
        <w:rPr>
          <w:sz w:val="24"/>
          <w:szCs w:val="24"/>
          <w:highlight w:val="none"/>
        </w:rPr>
      </w:pPr>
      <w:r>
        <w:rPr>
          <w:rFonts w:hint="eastAsia"/>
          <w:sz w:val="24"/>
          <w:szCs w:val="24"/>
          <w:highlight w:val="none"/>
        </w:rPr>
        <w:t>4.合同附件：中标通知书、报价表、承诺书。</w:t>
      </w:r>
    </w:p>
    <w:p>
      <w:pPr>
        <w:tabs>
          <w:tab w:val="left" w:pos="5445"/>
        </w:tabs>
        <w:spacing w:line="240" w:lineRule="auto"/>
        <w:rPr>
          <w:sz w:val="24"/>
          <w:szCs w:val="24"/>
          <w:highlight w:val="none"/>
        </w:rPr>
      </w:pPr>
      <w:r>
        <w:rPr>
          <w:rFonts w:hint="eastAsia"/>
          <w:sz w:val="24"/>
          <w:szCs w:val="24"/>
          <w:highlight w:val="none"/>
        </w:rPr>
        <w:t>5.本合同在履行过程中，甲、乙双方经协商一致可以进行变更。</w:t>
      </w:r>
      <w:r>
        <w:rPr>
          <w:sz w:val="24"/>
          <w:szCs w:val="24"/>
          <w:highlight w:val="none"/>
        </w:rPr>
        <w:tab/>
      </w:r>
    </w:p>
    <w:p>
      <w:pPr>
        <w:adjustRightInd w:val="0"/>
        <w:snapToGrid w:val="0"/>
        <w:rPr>
          <w:rFonts w:ascii="宋体" w:hAnsi="宋体" w:cs="宋体"/>
          <w:b/>
          <w:bCs/>
          <w:sz w:val="24"/>
          <w:szCs w:val="24"/>
          <w:highlight w:val="none"/>
        </w:rPr>
      </w:pPr>
      <w:r>
        <w:rPr>
          <w:rFonts w:hint="eastAsia" w:ascii="宋体" w:hAnsi="宋体" w:cs="宋体"/>
          <w:b/>
          <w:bCs/>
          <w:sz w:val="24"/>
          <w:szCs w:val="24"/>
          <w:highlight w:val="none"/>
        </w:rPr>
        <w:t>九、附件内容经甲乙双方代表签字盖章确认后作为本合同的有效组成部分。</w:t>
      </w:r>
    </w:p>
    <w:p>
      <w:pPr>
        <w:spacing w:line="360" w:lineRule="exact"/>
        <w:rPr>
          <w:rFonts w:ascii="宋体" w:hAnsi="宋体" w:cs="宋体"/>
          <w:sz w:val="24"/>
          <w:szCs w:val="24"/>
          <w:highlight w:val="none"/>
        </w:rPr>
      </w:pPr>
    </w:p>
    <w:tbl>
      <w:tblPr>
        <w:tblStyle w:val="27"/>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3"/>
              <w:spacing w:before="0" w:line="240" w:lineRule="auto"/>
              <w:ind w:right="0"/>
              <w:rPr>
                <w:rFonts w:hAnsi="宋体" w:cs="Courier New"/>
                <w:sz w:val="24"/>
                <w:szCs w:val="24"/>
                <w:highlight w:val="none"/>
              </w:rPr>
            </w:pPr>
            <w:r>
              <w:rPr>
                <w:rFonts w:hint="eastAsia" w:hAnsi="宋体" w:cs="Courier New"/>
                <w:sz w:val="24"/>
                <w:szCs w:val="24"/>
                <w:highlight w:val="none"/>
              </w:rPr>
              <w:t>甲方：</w:t>
            </w:r>
            <w:r>
              <w:rPr>
                <w:rFonts w:hint="eastAsia"/>
                <w:kern w:val="2"/>
                <w:sz w:val="24"/>
                <w:szCs w:val="24"/>
                <w:highlight w:val="none"/>
              </w:rPr>
              <w:t>南宁轨道交通运营有限公司工会委员会</w:t>
            </w:r>
          </w:p>
          <w:p>
            <w:pPr>
              <w:pStyle w:val="13"/>
              <w:spacing w:before="0" w:line="240" w:lineRule="auto"/>
              <w:ind w:right="0"/>
              <w:rPr>
                <w:rFonts w:hAnsi="宋体" w:cs="Courier New"/>
                <w:sz w:val="24"/>
                <w:szCs w:val="24"/>
                <w:highlight w:val="none"/>
                <w:u w:val="single"/>
              </w:rPr>
            </w:pPr>
            <w:r>
              <w:rPr>
                <w:rFonts w:hint="eastAsia" w:hAnsi="宋体" w:cs="Courier New"/>
                <w:sz w:val="24"/>
                <w:szCs w:val="24"/>
                <w:highlight w:val="none"/>
              </w:rPr>
              <w:t>法定代表人或其委托代理人：</w:t>
            </w:r>
          </w:p>
          <w:p>
            <w:pPr>
              <w:pStyle w:val="13"/>
              <w:spacing w:before="0" w:line="240" w:lineRule="auto"/>
              <w:ind w:right="0"/>
              <w:rPr>
                <w:rFonts w:hAnsi="宋体" w:cs="Courier New"/>
                <w:sz w:val="24"/>
                <w:szCs w:val="24"/>
                <w:highlight w:val="none"/>
                <w:u w:val="single"/>
              </w:rPr>
            </w:pPr>
            <w:r>
              <w:rPr>
                <w:rFonts w:hint="eastAsia" w:hAnsi="宋体" w:cs="Courier New"/>
                <w:sz w:val="24"/>
                <w:szCs w:val="24"/>
                <w:highlight w:val="none"/>
              </w:rPr>
              <w:t>地址：</w:t>
            </w:r>
            <w:r>
              <w:rPr>
                <w:rFonts w:hint="eastAsia" w:hAnsi="宋体" w:cs="Courier New"/>
                <w:sz w:val="24"/>
                <w:szCs w:val="24"/>
                <w:highlight w:val="none"/>
                <w:u w:val="single"/>
              </w:rPr>
              <w:t>广西南宁市青秀区云景路83号</w:t>
            </w:r>
          </w:p>
          <w:p>
            <w:pPr>
              <w:pStyle w:val="13"/>
              <w:spacing w:before="0" w:line="240" w:lineRule="auto"/>
              <w:ind w:right="0"/>
              <w:rPr>
                <w:rFonts w:hAnsi="宋体" w:cs="Courier New"/>
                <w:sz w:val="24"/>
                <w:szCs w:val="24"/>
                <w:highlight w:val="none"/>
              </w:rPr>
            </w:pPr>
            <w:r>
              <w:rPr>
                <w:rFonts w:hint="eastAsia" w:hAnsi="宋体" w:cs="Courier New"/>
                <w:sz w:val="24"/>
                <w:szCs w:val="24"/>
                <w:highlight w:val="none"/>
              </w:rPr>
              <w:t>邮政编码：</w:t>
            </w:r>
          </w:p>
          <w:p>
            <w:pPr>
              <w:pStyle w:val="13"/>
              <w:spacing w:before="0" w:line="240" w:lineRule="auto"/>
              <w:ind w:right="0"/>
              <w:rPr>
                <w:rFonts w:hAnsi="宋体" w:cs="Courier New"/>
                <w:sz w:val="24"/>
                <w:szCs w:val="24"/>
                <w:highlight w:val="none"/>
              </w:rPr>
            </w:pPr>
            <w:r>
              <w:rPr>
                <w:rFonts w:hint="eastAsia" w:hAnsi="宋体" w:cs="Courier New"/>
                <w:sz w:val="24"/>
                <w:szCs w:val="24"/>
                <w:highlight w:val="none"/>
              </w:rPr>
              <w:t>联系人：</w:t>
            </w:r>
          </w:p>
          <w:p>
            <w:pPr>
              <w:pStyle w:val="13"/>
              <w:spacing w:before="0" w:line="240" w:lineRule="auto"/>
              <w:ind w:right="0"/>
              <w:rPr>
                <w:rFonts w:hAnsi="宋体" w:cs="Courier New"/>
                <w:sz w:val="24"/>
                <w:szCs w:val="24"/>
                <w:highlight w:val="none"/>
                <w:u w:val="single"/>
              </w:rPr>
            </w:pPr>
            <w:r>
              <w:rPr>
                <w:rFonts w:hint="eastAsia" w:hAnsi="宋体" w:cs="Courier New"/>
                <w:sz w:val="24"/>
                <w:szCs w:val="24"/>
                <w:highlight w:val="none"/>
              </w:rPr>
              <w:t>联系电话：</w:t>
            </w:r>
          </w:p>
          <w:p>
            <w:pPr>
              <w:pStyle w:val="13"/>
              <w:spacing w:before="0" w:line="240" w:lineRule="auto"/>
              <w:ind w:right="0"/>
              <w:rPr>
                <w:rFonts w:hAnsi="宋体" w:cs="Courier New"/>
                <w:sz w:val="24"/>
                <w:szCs w:val="24"/>
                <w:highlight w:val="none"/>
                <w:u w:val="single"/>
              </w:rPr>
            </w:pPr>
            <w:r>
              <w:rPr>
                <w:rFonts w:hint="eastAsia" w:hAnsi="宋体" w:cs="Courier New"/>
                <w:sz w:val="24"/>
                <w:szCs w:val="24"/>
                <w:highlight w:val="none"/>
              </w:rPr>
              <w:t>传真：</w:t>
            </w:r>
          </w:p>
          <w:p>
            <w:pPr>
              <w:pStyle w:val="13"/>
              <w:spacing w:before="0" w:line="240" w:lineRule="auto"/>
              <w:ind w:right="0"/>
              <w:rPr>
                <w:rFonts w:hAnsi="宋体" w:cs="Courier New"/>
                <w:sz w:val="24"/>
                <w:szCs w:val="24"/>
                <w:highlight w:val="none"/>
              </w:rPr>
            </w:pPr>
            <w:r>
              <w:rPr>
                <w:rFonts w:hint="eastAsia" w:hAnsi="宋体" w:cs="Courier New"/>
                <w:sz w:val="24"/>
                <w:szCs w:val="24"/>
                <w:highlight w:val="none"/>
              </w:rPr>
              <w:t>开户银行：</w:t>
            </w:r>
          </w:p>
          <w:p>
            <w:pPr>
              <w:pStyle w:val="13"/>
              <w:spacing w:before="0" w:line="240" w:lineRule="auto"/>
              <w:ind w:right="0"/>
              <w:rPr>
                <w:rFonts w:hAnsi="宋体" w:cs="Courier New"/>
                <w:sz w:val="24"/>
                <w:szCs w:val="24"/>
                <w:highlight w:val="none"/>
              </w:rPr>
            </w:pPr>
            <w:r>
              <w:rPr>
                <w:rFonts w:hint="eastAsia" w:hAnsi="宋体" w:cs="Courier New"/>
                <w:sz w:val="24"/>
                <w:szCs w:val="24"/>
                <w:highlight w:val="none"/>
              </w:rPr>
              <w:t>银行账号：</w:t>
            </w:r>
          </w:p>
          <w:p>
            <w:pPr>
              <w:pStyle w:val="13"/>
              <w:spacing w:before="0" w:line="240" w:lineRule="auto"/>
              <w:ind w:right="0"/>
              <w:rPr>
                <w:rFonts w:hAnsi="宋体" w:cs="Courier New"/>
                <w:sz w:val="24"/>
                <w:szCs w:val="24"/>
                <w:highlight w:val="none"/>
              </w:rPr>
            </w:pPr>
            <w:r>
              <w:rPr>
                <w:rFonts w:hint="eastAsia" w:hAnsi="宋体" w:cs="Courier New"/>
                <w:sz w:val="24"/>
                <w:szCs w:val="24"/>
                <w:highlight w:val="none"/>
              </w:rPr>
              <w:t>纳税人识别号：</w:t>
            </w:r>
          </w:p>
        </w:tc>
        <w:tc>
          <w:tcPr>
            <w:tcW w:w="4261" w:type="dxa"/>
          </w:tcPr>
          <w:p>
            <w:pPr>
              <w:pStyle w:val="13"/>
              <w:spacing w:before="0" w:line="240" w:lineRule="auto"/>
              <w:ind w:left="0" w:right="0" w:firstLine="0"/>
              <w:rPr>
                <w:rFonts w:hAnsi="宋体" w:cs="Courier New"/>
                <w:sz w:val="24"/>
                <w:szCs w:val="24"/>
                <w:highlight w:val="none"/>
                <w:u w:val="single"/>
              </w:rPr>
            </w:pPr>
            <w:r>
              <w:rPr>
                <w:rFonts w:hint="eastAsia" w:hAnsi="宋体" w:cs="Courier New"/>
                <w:sz w:val="24"/>
                <w:szCs w:val="24"/>
                <w:highlight w:val="none"/>
              </w:rPr>
              <w:t>乙方：</w:t>
            </w:r>
          </w:p>
          <w:p>
            <w:pPr>
              <w:pStyle w:val="13"/>
              <w:spacing w:before="0" w:line="240" w:lineRule="auto"/>
              <w:ind w:left="0" w:right="0" w:firstLine="0"/>
              <w:rPr>
                <w:rFonts w:hAnsi="宋体" w:cs="Courier New"/>
                <w:sz w:val="24"/>
                <w:szCs w:val="24"/>
                <w:highlight w:val="none"/>
                <w:u w:val="single"/>
              </w:rPr>
            </w:pPr>
            <w:r>
              <w:rPr>
                <w:rFonts w:hint="eastAsia" w:hAnsi="宋体" w:cs="Courier New"/>
                <w:sz w:val="24"/>
                <w:szCs w:val="24"/>
                <w:highlight w:val="none"/>
              </w:rPr>
              <w:t>法定代表人或其委托代理人：</w:t>
            </w:r>
          </w:p>
          <w:p>
            <w:pPr>
              <w:pStyle w:val="13"/>
              <w:spacing w:before="0" w:line="240" w:lineRule="auto"/>
              <w:ind w:left="0" w:right="0" w:firstLine="0"/>
              <w:rPr>
                <w:rFonts w:hAnsi="宋体" w:cs="Courier New"/>
                <w:sz w:val="24"/>
                <w:szCs w:val="24"/>
                <w:highlight w:val="none"/>
                <w:u w:val="single"/>
              </w:rPr>
            </w:pPr>
            <w:r>
              <w:rPr>
                <w:rFonts w:hint="eastAsia" w:hAnsi="宋体" w:cs="Courier New"/>
                <w:sz w:val="24"/>
                <w:szCs w:val="24"/>
                <w:highlight w:val="none"/>
              </w:rPr>
              <w:t>地址：</w:t>
            </w:r>
          </w:p>
          <w:p>
            <w:pPr>
              <w:pStyle w:val="13"/>
              <w:spacing w:before="0" w:line="240" w:lineRule="auto"/>
              <w:ind w:left="0" w:right="0" w:firstLine="0"/>
              <w:rPr>
                <w:rFonts w:hAnsi="宋体" w:cs="Courier New"/>
                <w:sz w:val="24"/>
                <w:szCs w:val="24"/>
                <w:highlight w:val="none"/>
              </w:rPr>
            </w:pPr>
            <w:r>
              <w:rPr>
                <w:rFonts w:hint="eastAsia" w:hAnsi="宋体" w:cs="Courier New"/>
                <w:sz w:val="24"/>
                <w:szCs w:val="24"/>
                <w:highlight w:val="none"/>
              </w:rPr>
              <w:t>邮政编码：</w:t>
            </w:r>
          </w:p>
          <w:p>
            <w:pPr>
              <w:pStyle w:val="13"/>
              <w:spacing w:before="0" w:line="240" w:lineRule="auto"/>
              <w:ind w:left="0" w:right="0" w:firstLine="0"/>
              <w:rPr>
                <w:rFonts w:hAnsi="宋体" w:cs="Courier New"/>
                <w:sz w:val="24"/>
                <w:szCs w:val="24"/>
                <w:highlight w:val="none"/>
              </w:rPr>
            </w:pPr>
            <w:r>
              <w:rPr>
                <w:rFonts w:hint="eastAsia" w:hAnsi="宋体" w:cs="Courier New"/>
                <w:sz w:val="24"/>
                <w:szCs w:val="24"/>
                <w:highlight w:val="none"/>
              </w:rPr>
              <w:t>联系人：</w:t>
            </w:r>
          </w:p>
          <w:p>
            <w:pPr>
              <w:pStyle w:val="13"/>
              <w:spacing w:before="0" w:line="240" w:lineRule="auto"/>
              <w:ind w:left="0" w:right="0" w:firstLine="0"/>
              <w:rPr>
                <w:rFonts w:hAnsi="宋体" w:cs="Courier New"/>
                <w:sz w:val="24"/>
                <w:szCs w:val="24"/>
                <w:highlight w:val="none"/>
                <w:u w:val="single"/>
              </w:rPr>
            </w:pPr>
            <w:r>
              <w:rPr>
                <w:rFonts w:hint="eastAsia" w:hAnsi="宋体" w:cs="Courier New"/>
                <w:sz w:val="24"/>
                <w:szCs w:val="24"/>
                <w:highlight w:val="none"/>
              </w:rPr>
              <w:t>联系电话：</w:t>
            </w:r>
          </w:p>
          <w:p>
            <w:pPr>
              <w:pStyle w:val="13"/>
              <w:spacing w:before="0" w:line="240" w:lineRule="auto"/>
              <w:ind w:left="0" w:right="0" w:firstLine="0"/>
              <w:rPr>
                <w:rFonts w:hAnsi="宋体" w:cs="Courier New"/>
                <w:sz w:val="24"/>
                <w:szCs w:val="24"/>
                <w:highlight w:val="none"/>
                <w:u w:val="single"/>
              </w:rPr>
            </w:pPr>
            <w:r>
              <w:rPr>
                <w:rFonts w:hint="eastAsia" w:hAnsi="宋体" w:cs="Courier New"/>
                <w:sz w:val="24"/>
                <w:szCs w:val="24"/>
                <w:highlight w:val="none"/>
              </w:rPr>
              <w:t>传真：</w:t>
            </w:r>
          </w:p>
          <w:p>
            <w:pPr>
              <w:pStyle w:val="13"/>
              <w:spacing w:before="0" w:line="240" w:lineRule="auto"/>
              <w:ind w:left="0" w:right="0" w:firstLine="0"/>
              <w:rPr>
                <w:rFonts w:hAnsi="宋体" w:cs="Courier New"/>
                <w:sz w:val="24"/>
                <w:szCs w:val="24"/>
                <w:highlight w:val="none"/>
              </w:rPr>
            </w:pPr>
            <w:r>
              <w:rPr>
                <w:rFonts w:hint="eastAsia" w:hAnsi="宋体" w:cs="Courier New"/>
                <w:sz w:val="24"/>
                <w:szCs w:val="24"/>
                <w:highlight w:val="none"/>
              </w:rPr>
              <w:t>开户银行：</w:t>
            </w:r>
          </w:p>
          <w:p>
            <w:pPr>
              <w:pStyle w:val="13"/>
              <w:spacing w:before="0" w:line="240" w:lineRule="auto"/>
              <w:ind w:right="0"/>
              <w:rPr>
                <w:rFonts w:hAnsi="宋体" w:cs="Courier New"/>
                <w:sz w:val="24"/>
                <w:szCs w:val="24"/>
                <w:highlight w:val="none"/>
              </w:rPr>
            </w:pPr>
            <w:r>
              <w:rPr>
                <w:rFonts w:hint="eastAsia" w:hAnsi="宋体" w:cs="Courier New"/>
                <w:sz w:val="24"/>
                <w:szCs w:val="24"/>
                <w:highlight w:val="none"/>
              </w:rPr>
              <w:t>银行账号：</w:t>
            </w:r>
          </w:p>
          <w:p>
            <w:pPr>
              <w:pStyle w:val="13"/>
              <w:spacing w:before="0" w:line="240" w:lineRule="auto"/>
              <w:ind w:left="0" w:right="0" w:firstLine="0"/>
              <w:rPr>
                <w:rFonts w:hAnsi="宋体" w:cs="Courier New"/>
                <w:sz w:val="24"/>
                <w:szCs w:val="24"/>
                <w:highlight w:val="none"/>
              </w:rPr>
            </w:pPr>
            <w:r>
              <w:rPr>
                <w:rFonts w:hint="eastAsia" w:hAnsi="宋体" w:cs="Courier New"/>
                <w:sz w:val="24"/>
                <w:szCs w:val="24"/>
                <w:highlight w:val="none"/>
              </w:rPr>
              <w:t>纳税人识别号：</w:t>
            </w:r>
          </w:p>
        </w:tc>
      </w:tr>
    </w:tbl>
    <w:p>
      <w:pPr>
        <w:spacing w:line="360" w:lineRule="exact"/>
        <w:rPr>
          <w:rFonts w:ascii="宋体" w:hAnsi="宋体" w:cs="宋体"/>
          <w:sz w:val="24"/>
          <w:szCs w:val="24"/>
          <w:highlight w:val="none"/>
        </w:rPr>
      </w:pPr>
    </w:p>
    <w:p>
      <w:pPr>
        <w:spacing w:line="360" w:lineRule="exact"/>
        <w:rPr>
          <w:rFonts w:ascii="宋体" w:hAnsi="宋体" w:cs="宋体"/>
          <w:sz w:val="24"/>
          <w:szCs w:val="24"/>
          <w:highlight w:val="none"/>
        </w:rPr>
      </w:pPr>
    </w:p>
    <w:p>
      <w:pPr>
        <w:spacing w:line="360" w:lineRule="exact"/>
        <w:rPr>
          <w:rFonts w:ascii="宋体" w:hAnsi="宋体"/>
          <w:highlight w:val="none"/>
        </w:rPr>
      </w:pPr>
    </w:p>
    <w:p>
      <w:pPr>
        <w:widowControl w:val="0"/>
        <w:autoSpaceDE w:val="0"/>
        <w:autoSpaceDN w:val="0"/>
        <w:spacing w:before="0" w:after="0" w:afterAutospacing="0"/>
        <w:ind w:left="0" w:right="0" w:firstLine="0"/>
        <w:jc w:val="left"/>
        <w:rPr>
          <w:rFonts w:ascii="宋体" w:hAnsi="宋体"/>
          <w:highlight w:val="none"/>
        </w:rPr>
      </w:pPr>
    </w:p>
    <w:p>
      <w:pPr>
        <w:spacing w:before="0" w:after="0" w:afterAutospacing="0" w:line="240" w:lineRule="auto"/>
        <w:ind w:left="0" w:right="0" w:firstLine="0"/>
        <w:jc w:val="left"/>
        <w:rPr>
          <w:b/>
          <w:sz w:val="32"/>
          <w:szCs w:val="32"/>
          <w:highlight w:val="none"/>
        </w:rPr>
      </w:pPr>
      <w:r>
        <w:rPr>
          <w:highlight w:val="none"/>
        </w:rPr>
        <w:br w:type="page"/>
      </w:r>
    </w:p>
    <w:p>
      <w:pPr>
        <w:pStyle w:val="5"/>
        <w:spacing w:before="40" w:after="40" w:line="240" w:lineRule="auto"/>
        <w:jc w:val="center"/>
        <w:rPr>
          <w:rFonts w:ascii="Times New Roman" w:hAnsi="Times New Roman" w:eastAsia="宋体"/>
          <w:highlight w:val="none"/>
        </w:rPr>
        <w:sectPr>
          <w:pgSz w:w="11906" w:h="16838"/>
          <w:pgMar w:top="1440" w:right="1701" w:bottom="1440" w:left="1701" w:header="851" w:footer="851" w:gutter="0"/>
          <w:pgNumType w:fmt="decimal"/>
          <w:cols w:space="720" w:num="1"/>
          <w:titlePg/>
          <w:docGrid w:linePitch="312" w:charSpace="0"/>
        </w:sectPr>
      </w:pPr>
    </w:p>
    <w:p>
      <w:pPr>
        <w:pStyle w:val="5"/>
        <w:spacing w:before="40" w:after="40" w:line="240" w:lineRule="auto"/>
        <w:ind w:left="0" w:firstLine="0"/>
        <w:jc w:val="center"/>
        <w:rPr>
          <w:rFonts w:ascii="Times New Roman" w:hAnsi="Times New Roman" w:eastAsia="宋体"/>
          <w:highlight w:val="none"/>
        </w:rPr>
      </w:pPr>
      <w:bookmarkStart w:id="1269" w:name="_Toc14153"/>
      <w:bookmarkStart w:id="1270" w:name="_Toc19303"/>
      <w:bookmarkStart w:id="1271" w:name="_Toc1138"/>
      <w:bookmarkStart w:id="1272" w:name="_Toc24755"/>
      <w:bookmarkStart w:id="1273" w:name="_Toc24078"/>
      <w:bookmarkStart w:id="1274" w:name="_Toc19783"/>
      <w:bookmarkStart w:id="1275" w:name="_Toc13394"/>
      <w:bookmarkStart w:id="1276" w:name="_Toc18428"/>
      <w:bookmarkStart w:id="1277" w:name="_Toc8185"/>
      <w:bookmarkStart w:id="1278" w:name="_Toc22954"/>
      <w:bookmarkStart w:id="1279" w:name="_Toc2348"/>
      <w:bookmarkStart w:id="1280" w:name="_Toc9480"/>
      <w:bookmarkStart w:id="1281" w:name="_Toc27527"/>
      <w:bookmarkStart w:id="1282" w:name="_Toc6874"/>
      <w:bookmarkStart w:id="1283" w:name="_Toc28103"/>
      <w:bookmarkStart w:id="1284" w:name="_Toc854"/>
      <w:bookmarkStart w:id="1285" w:name="_Toc16100"/>
      <w:bookmarkStart w:id="1286" w:name="_Toc19990"/>
      <w:r>
        <w:rPr>
          <w:rFonts w:ascii="Times New Roman" w:hAnsi="Times New Roman" w:eastAsia="宋体"/>
          <w:highlight w:val="none"/>
        </w:rPr>
        <w:t>第</w:t>
      </w:r>
      <w:r>
        <w:rPr>
          <w:rFonts w:hint="eastAsia" w:ascii="Times New Roman" w:hAnsi="Times New Roman" w:eastAsia="宋体"/>
          <w:highlight w:val="none"/>
        </w:rPr>
        <w:t>五</w:t>
      </w:r>
      <w:r>
        <w:rPr>
          <w:rFonts w:ascii="Times New Roman" w:hAnsi="Times New Roman" w:eastAsia="宋体"/>
          <w:highlight w:val="none"/>
        </w:rPr>
        <w:t>部分</w:t>
      </w:r>
      <w:r>
        <w:rPr>
          <w:rFonts w:hint="eastAsia" w:ascii="Times New Roman" w:hAnsi="Times New Roman" w:eastAsia="宋体"/>
          <w:highlight w:val="none"/>
        </w:rPr>
        <w:t xml:space="preserve"> 技术规格书</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snapToGrid w:val="0"/>
        <w:spacing w:line="360" w:lineRule="exact"/>
        <w:ind w:firstLine="420" w:firstLineChars="200"/>
        <w:rPr>
          <w:rFonts w:ascii="宋体" w:hAnsi="宋体"/>
          <w:snapToGrid w:val="0"/>
          <w:highlight w:val="none"/>
        </w:rPr>
      </w:pPr>
    </w:p>
    <w:p>
      <w:pPr>
        <w:spacing w:line="340" w:lineRule="exact"/>
        <w:rPr>
          <w:rFonts w:ascii="宋体" w:hAnsi="宋体"/>
          <w:b/>
          <w:highlight w:val="none"/>
        </w:rPr>
        <w:sectPr>
          <w:pgSz w:w="11906" w:h="16838"/>
          <w:pgMar w:top="1440" w:right="1701" w:bottom="1440" w:left="1701" w:header="851" w:footer="851" w:gutter="0"/>
          <w:pgNumType w:fmt="decimal"/>
          <w:cols w:space="720" w:num="1"/>
          <w:titlePg/>
          <w:docGrid w:linePitch="312" w:charSpace="0"/>
        </w:sectPr>
      </w:pPr>
    </w:p>
    <w:p>
      <w:pPr>
        <w:pStyle w:val="5"/>
        <w:spacing w:before="40" w:after="40" w:line="240" w:lineRule="auto"/>
        <w:jc w:val="center"/>
        <w:rPr>
          <w:rFonts w:ascii="宋体" w:hAnsi="宋体" w:eastAsia="宋体"/>
          <w:iCs/>
          <w:highlight w:val="none"/>
        </w:rPr>
      </w:pPr>
      <w:bookmarkStart w:id="1287" w:name="_Toc480908536"/>
      <w:bookmarkStart w:id="1288" w:name="_Toc92268647"/>
      <w:bookmarkStart w:id="1289" w:name="_Toc7263"/>
      <w:bookmarkStart w:id="1290" w:name="_Toc16752"/>
      <w:bookmarkStart w:id="1291" w:name="_Toc17747"/>
      <w:bookmarkStart w:id="1292" w:name="_Toc10802"/>
      <w:bookmarkStart w:id="1293" w:name="_Toc5978"/>
      <w:bookmarkStart w:id="1294" w:name="_Toc29924"/>
      <w:bookmarkStart w:id="1295" w:name="_Toc75264122"/>
      <w:bookmarkStart w:id="1296" w:name="_Toc483608731"/>
      <w:bookmarkStart w:id="1297" w:name="_Toc27662"/>
      <w:bookmarkStart w:id="1298" w:name="_Toc5600"/>
      <w:bookmarkStart w:id="1299" w:name="_Toc72769348"/>
      <w:bookmarkStart w:id="1300" w:name="_Toc75963081"/>
      <w:bookmarkStart w:id="1301" w:name="_Toc11599"/>
      <w:bookmarkStart w:id="1302" w:name="_Toc12950"/>
      <w:bookmarkStart w:id="1303" w:name="_Toc14746"/>
      <w:bookmarkStart w:id="1304" w:name="_Toc19236"/>
      <w:bookmarkStart w:id="1305" w:name="_Toc68674896"/>
      <w:bookmarkStart w:id="1306" w:name="_Toc14218"/>
      <w:bookmarkStart w:id="1307" w:name="_Toc6053"/>
      <w:bookmarkStart w:id="1308" w:name="_Toc15063"/>
      <w:bookmarkStart w:id="1309" w:name="_Toc4322"/>
      <w:bookmarkStart w:id="1310" w:name="_Toc27200"/>
      <w:bookmarkStart w:id="1311" w:name="_Toc498882140"/>
      <w:bookmarkStart w:id="1312" w:name="_Toc18339"/>
      <w:bookmarkStart w:id="1313" w:name="_Toc32006"/>
      <w:bookmarkStart w:id="1314" w:name="_Toc24832"/>
      <w:r>
        <w:rPr>
          <w:rFonts w:ascii="宋体" w:hAnsi="宋体" w:eastAsia="宋体"/>
          <w:iCs/>
          <w:highlight w:val="none"/>
        </w:rPr>
        <w:t>第</w:t>
      </w:r>
      <w:r>
        <w:rPr>
          <w:rFonts w:hint="eastAsia" w:ascii="宋体" w:hAnsi="宋体" w:eastAsia="宋体"/>
          <w:iCs/>
          <w:highlight w:val="none"/>
        </w:rPr>
        <w:t>六</w:t>
      </w:r>
      <w:r>
        <w:rPr>
          <w:rFonts w:ascii="宋体" w:hAnsi="宋体" w:eastAsia="宋体"/>
          <w:iCs/>
          <w:highlight w:val="none"/>
        </w:rPr>
        <w:t>部分</w:t>
      </w:r>
      <w:r>
        <w:rPr>
          <w:rFonts w:hint="eastAsia" w:ascii="宋体" w:hAnsi="宋体" w:eastAsia="宋体"/>
          <w:iCs/>
          <w:highlight w:val="none"/>
        </w:rPr>
        <w:t xml:space="preserve"> </w:t>
      </w:r>
      <w:r>
        <w:rPr>
          <w:rFonts w:ascii="宋体" w:hAnsi="宋体" w:eastAsia="宋体"/>
          <w:iCs/>
          <w:highlight w:val="none"/>
        </w:rPr>
        <w:t>合同附件</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ind w:firstLine="420" w:firstLineChars="200"/>
        <w:textAlignment w:val="bottom"/>
        <w:rPr>
          <w:rFonts w:ascii="宋体" w:hAnsi="宋体"/>
          <w:highlight w:val="none"/>
        </w:rPr>
      </w:pPr>
    </w:p>
    <w:p>
      <w:pPr>
        <w:pStyle w:val="6"/>
        <w:ind w:left="0" w:firstLine="0"/>
        <w:rPr>
          <w:rFonts w:ascii="宋体" w:hAnsi="宋体"/>
          <w:b w:val="0"/>
          <w:highlight w:val="none"/>
        </w:rPr>
      </w:pPr>
      <w:bookmarkStart w:id="1315" w:name="_Toc92268649"/>
      <w:r>
        <w:rPr>
          <w:rFonts w:hint="eastAsia" w:ascii="宋体" w:hAnsi="宋体"/>
          <w:b w:val="0"/>
          <w:highlight w:val="none"/>
        </w:rPr>
        <w:t>1.</w:t>
      </w:r>
      <w:bookmarkEnd w:id="1315"/>
      <w:r>
        <w:rPr>
          <w:rFonts w:hint="eastAsia" w:ascii="宋体" w:hAnsi="宋体"/>
          <w:b w:val="0"/>
          <w:highlight w:val="none"/>
        </w:rPr>
        <w:t>原厂授权证明（如有）</w:t>
      </w:r>
    </w:p>
    <w:p>
      <w:pPr>
        <w:pStyle w:val="6"/>
        <w:rPr>
          <w:rFonts w:ascii="宋体" w:hAnsi="宋体"/>
          <w:b w:val="0"/>
          <w:highlight w:val="none"/>
        </w:rPr>
      </w:pPr>
      <w:bookmarkStart w:id="1316" w:name="_Toc92268650"/>
      <w:r>
        <w:rPr>
          <w:rFonts w:hint="eastAsia" w:ascii="宋体" w:hAnsi="宋体"/>
          <w:b w:val="0"/>
          <w:highlight w:val="none"/>
        </w:rPr>
        <w:t>2.</w:t>
      </w:r>
      <w:bookmarkEnd w:id="1316"/>
      <w:r>
        <w:rPr>
          <w:rFonts w:hint="eastAsia" w:ascii="宋体" w:hAnsi="宋体"/>
          <w:b w:val="0"/>
          <w:highlight w:val="none"/>
        </w:rPr>
        <w:t>供货证明格式</w:t>
      </w:r>
    </w:p>
    <w:p>
      <w:pPr>
        <w:pStyle w:val="6"/>
        <w:rPr>
          <w:rFonts w:ascii="宋体" w:hAnsi="宋体"/>
          <w:b w:val="0"/>
          <w:highlight w:val="none"/>
        </w:rPr>
      </w:pPr>
      <w:r>
        <w:rPr>
          <w:rFonts w:hint="eastAsia" w:ascii="宋体" w:hAnsi="宋体"/>
          <w:b w:val="0"/>
          <w:highlight w:val="none"/>
        </w:rPr>
        <w:t>3.送货单格式</w:t>
      </w:r>
    </w:p>
    <w:p>
      <w:pPr>
        <w:outlineLvl w:val="2"/>
        <w:rPr>
          <w:rFonts w:ascii="宋体" w:hAnsi="宋体"/>
          <w:sz w:val="24"/>
          <w:szCs w:val="24"/>
          <w:highlight w:val="none"/>
        </w:rPr>
      </w:pPr>
      <w:r>
        <w:rPr>
          <w:rFonts w:hint="eastAsia" w:ascii="宋体" w:hAnsi="宋体"/>
          <w:sz w:val="24"/>
          <w:szCs w:val="24"/>
          <w:highlight w:val="none"/>
        </w:rPr>
        <w:t>4.交货通知书格式</w:t>
      </w:r>
    </w:p>
    <w:p>
      <w:pPr>
        <w:rPr>
          <w:highlight w:val="none"/>
        </w:rPr>
      </w:pPr>
    </w:p>
    <w:p>
      <w:pPr>
        <w:spacing w:before="0" w:after="0" w:afterAutospacing="0"/>
        <w:ind w:right="0" w:firstLine="0"/>
        <w:jc w:val="center"/>
        <w:rPr>
          <w:rFonts w:ascii="宋体" w:hAnsi="宋体"/>
          <w:b/>
          <w:sz w:val="24"/>
          <w:szCs w:val="24"/>
          <w:highlight w:val="none"/>
        </w:rPr>
      </w:pPr>
      <w:r>
        <w:rPr>
          <w:rFonts w:hint="eastAsia" w:ascii="宋体" w:hAnsi="宋体"/>
          <w:b/>
          <w:sz w:val="24"/>
          <w:szCs w:val="24"/>
          <w:highlight w:val="none"/>
        </w:rPr>
        <w:br w:type="page"/>
      </w:r>
    </w:p>
    <w:p>
      <w:pPr>
        <w:pageBreakBefore/>
        <w:tabs>
          <w:tab w:val="left" w:pos="1134"/>
          <w:tab w:val="left" w:pos="8364"/>
        </w:tabs>
        <w:spacing w:before="0" w:after="0" w:afterAutospacing="0"/>
        <w:ind w:left="0" w:right="-57" w:hanging="11"/>
        <w:rPr>
          <w:rFonts w:ascii="宋体" w:hAnsi="宋体"/>
          <w:sz w:val="24"/>
          <w:szCs w:val="24"/>
          <w:highlight w:val="none"/>
        </w:rPr>
      </w:pPr>
      <w:r>
        <w:rPr>
          <w:rFonts w:hint="eastAsia" w:ascii="宋体" w:hAnsi="宋体"/>
          <w:b/>
          <w:sz w:val="24"/>
          <w:szCs w:val="24"/>
          <w:highlight w:val="none"/>
        </w:rPr>
        <w:t>附件6.1 供货证明格式</w:t>
      </w:r>
    </w:p>
    <w:p>
      <w:pPr>
        <w:ind w:right="-57" w:firstLine="0"/>
        <w:jc w:val="center"/>
        <w:rPr>
          <w:rFonts w:ascii="宋体" w:hAnsi="宋体"/>
          <w:b/>
          <w:sz w:val="24"/>
          <w:szCs w:val="24"/>
          <w:highlight w:val="none"/>
        </w:rPr>
      </w:pPr>
      <w:r>
        <w:rPr>
          <w:rFonts w:hint="eastAsia" w:ascii="宋体" w:hAnsi="宋体"/>
          <w:b/>
          <w:sz w:val="24"/>
          <w:szCs w:val="24"/>
          <w:highlight w:val="none"/>
        </w:rPr>
        <w:t>供货证明（格式，供货时提供）</w:t>
      </w:r>
    </w:p>
    <w:p>
      <w:pPr>
        <w:ind w:left="0" w:right="-57" w:firstLine="0"/>
        <w:rPr>
          <w:rFonts w:ascii="宋体" w:hAnsi="宋体"/>
          <w:sz w:val="24"/>
          <w:szCs w:val="24"/>
          <w:highlight w:val="none"/>
        </w:rPr>
      </w:pPr>
      <w:r>
        <w:rPr>
          <w:rFonts w:hint="eastAsia" w:ascii="宋体" w:hAnsi="宋体"/>
          <w:highlight w:val="none"/>
          <w:u w:val="single"/>
        </w:rPr>
        <w:t>（甲方名称）</w:t>
      </w:r>
      <w:r>
        <w:rPr>
          <w:rFonts w:hint="eastAsia" w:ascii="宋体" w:hAnsi="宋体"/>
          <w:sz w:val="24"/>
          <w:szCs w:val="24"/>
          <w:highlight w:val="none"/>
        </w:rPr>
        <w:t>：</w:t>
      </w:r>
    </w:p>
    <w:p>
      <w:pPr>
        <w:tabs>
          <w:tab w:val="left" w:pos="1134"/>
          <w:tab w:val="left" w:pos="8364"/>
        </w:tabs>
        <w:spacing w:before="0" w:after="0"/>
        <w:ind w:left="0" w:right="0" w:firstLine="420" w:firstLineChars="200"/>
        <w:rPr>
          <w:rFonts w:ascii="宋体" w:hAnsi="宋体"/>
          <w:highlight w:val="none"/>
        </w:rPr>
      </w:pPr>
      <w:r>
        <w:rPr>
          <w:rFonts w:hint="eastAsia" w:ascii="宋体" w:hAnsi="宋体"/>
          <w:highlight w:val="none"/>
        </w:rPr>
        <w:t>兹证明（单位）</w:t>
      </w:r>
      <w:r>
        <w:rPr>
          <w:rFonts w:ascii="宋体" w:hAnsi="宋体"/>
          <w:highlight w:val="none"/>
          <w:u w:val="single"/>
        </w:rPr>
        <w:t xml:space="preserve">          　　    </w:t>
      </w:r>
      <w:r>
        <w:rPr>
          <w:rFonts w:ascii="宋体" w:hAnsi="宋体"/>
          <w:highlight w:val="none"/>
        </w:rPr>
        <w:t xml:space="preserve"> 在</w:t>
      </w:r>
      <w:r>
        <w:rPr>
          <w:rFonts w:hint="eastAsia" w:ascii="宋体" w:hAnsi="宋体"/>
          <w:highlight w:val="none"/>
        </w:rPr>
        <w:t>贵公司</w:t>
      </w:r>
      <w:r>
        <w:rPr>
          <w:rFonts w:hint="eastAsia" w:ascii="宋体" w:hAnsi="宋体"/>
          <w:highlight w:val="none"/>
          <w:u w:val="single"/>
        </w:rPr>
        <w:t>　　</w:t>
      </w:r>
      <w:r>
        <w:rPr>
          <w:rFonts w:hint="eastAsia" w:ascii="宋体" w:hAnsi="宋体"/>
          <w:highlight w:val="none"/>
        </w:rPr>
        <w:t>采购项目（项目编号：）中，向贵方交付的以下货物为我公司生产（提供）：</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161"/>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ind w:left="0" w:firstLine="0"/>
              <w:rPr>
                <w:rFonts w:ascii="宋体" w:hAnsi="宋体"/>
                <w:highlight w:val="none"/>
              </w:rPr>
            </w:pPr>
            <w:r>
              <w:rPr>
                <w:rFonts w:hint="eastAsia" w:ascii="宋体" w:hAnsi="宋体"/>
                <w:highlight w:val="none"/>
              </w:rPr>
              <w:t>序号</w:t>
            </w:r>
          </w:p>
        </w:tc>
        <w:tc>
          <w:tcPr>
            <w:tcW w:w="1161" w:type="dxa"/>
            <w:vAlign w:val="center"/>
          </w:tcPr>
          <w:p>
            <w:pPr>
              <w:ind w:left="0" w:firstLine="0"/>
              <w:jc w:val="center"/>
              <w:rPr>
                <w:rFonts w:ascii="宋体" w:hAnsi="宋体"/>
                <w:highlight w:val="none"/>
              </w:rPr>
            </w:pPr>
            <w:r>
              <w:rPr>
                <w:rFonts w:hint="eastAsia" w:ascii="宋体" w:hAnsi="宋体"/>
                <w:highlight w:val="none"/>
              </w:rPr>
              <w:t>计划号</w:t>
            </w:r>
          </w:p>
        </w:tc>
        <w:tc>
          <w:tcPr>
            <w:tcW w:w="1284" w:type="dxa"/>
            <w:vAlign w:val="center"/>
          </w:tcPr>
          <w:p>
            <w:pPr>
              <w:ind w:left="0" w:firstLine="0"/>
              <w:rPr>
                <w:rFonts w:ascii="宋体" w:hAnsi="宋体"/>
                <w:highlight w:val="none"/>
              </w:rPr>
            </w:pPr>
            <w:r>
              <w:rPr>
                <w:rFonts w:hint="eastAsia" w:ascii="宋体" w:hAnsi="宋体"/>
                <w:highlight w:val="none"/>
              </w:rPr>
              <w:t>货物名称</w:t>
            </w:r>
          </w:p>
        </w:tc>
        <w:tc>
          <w:tcPr>
            <w:tcW w:w="1516" w:type="dxa"/>
            <w:vAlign w:val="center"/>
          </w:tcPr>
          <w:p>
            <w:pPr>
              <w:ind w:left="0" w:firstLine="0"/>
              <w:rPr>
                <w:rFonts w:ascii="宋体" w:hAnsi="宋体"/>
                <w:highlight w:val="none"/>
              </w:rPr>
            </w:pPr>
            <w:r>
              <w:rPr>
                <w:rFonts w:hint="eastAsia" w:ascii="宋体" w:hAnsi="宋体"/>
                <w:highlight w:val="none"/>
              </w:rPr>
              <w:t>品牌</w:t>
            </w:r>
            <w:r>
              <w:rPr>
                <w:rFonts w:ascii="宋体" w:hAnsi="宋体"/>
                <w:highlight w:val="none"/>
              </w:rPr>
              <w:t>/</w:t>
            </w:r>
            <w:r>
              <w:rPr>
                <w:rFonts w:hint="eastAsia" w:ascii="宋体" w:hAnsi="宋体"/>
                <w:highlight w:val="none"/>
              </w:rPr>
              <w:t>生产厂家</w:t>
            </w:r>
          </w:p>
        </w:tc>
        <w:tc>
          <w:tcPr>
            <w:tcW w:w="1161" w:type="dxa"/>
            <w:vAlign w:val="center"/>
          </w:tcPr>
          <w:p>
            <w:pPr>
              <w:ind w:left="0" w:firstLine="0"/>
              <w:rPr>
                <w:rFonts w:ascii="宋体" w:hAnsi="宋体"/>
                <w:highlight w:val="none"/>
              </w:rPr>
            </w:pPr>
            <w:r>
              <w:rPr>
                <w:rFonts w:hint="eastAsia" w:ascii="宋体" w:hAnsi="宋体"/>
                <w:highlight w:val="none"/>
              </w:rPr>
              <w:t>规格型号</w:t>
            </w:r>
            <w:r>
              <w:rPr>
                <w:rFonts w:ascii="宋体" w:hAnsi="宋体"/>
                <w:highlight w:val="none"/>
              </w:rPr>
              <w:t>/</w:t>
            </w:r>
            <w:r>
              <w:rPr>
                <w:rFonts w:hint="eastAsia" w:ascii="宋体" w:hAnsi="宋体"/>
                <w:highlight w:val="none"/>
              </w:rPr>
              <w:t>技术参数</w:t>
            </w:r>
          </w:p>
        </w:tc>
        <w:tc>
          <w:tcPr>
            <w:tcW w:w="719" w:type="dxa"/>
            <w:vAlign w:val="center"/>
          </w:tcPr>
          <w:p>
            <w:pPr>
              <w:ind w:left="0" w:firstLine="0"/>
              <w:rPr>
                <w:rFonts w:ascii="宋体" w:hAnsi="宋体"/>
                <w:highlight w:val="none"/>
              </w:rPr>
            </w:pPr>
            <w:r>
              <w:rPr>
                <w:rFonts w:hint="eastAsia" w:ascii="宋体" w:hAnsi="宋体"/>
                <w:highlight w:val="none"/>
              </w:rPr>
              <w:t>单位</w:t>
            </w:r>
          </w:p>
        </w:tc>
        <w:tc>
          <w:tcPr>
            <w:tcW w:w="912" w:type="dxa"/>
            <w:vAlign w:val="center"/>
          </w:tcPr>
          <w:p>
            <w:pPr>
              <w:ind w:left="0" w:firstLine="0"/>
              <w:rPr>
                <w:rFonts w:ascii="宋体" w:hAnsi="宋体"/>
                <w:highlight w:val="none"/>
              </w:rPr>
            </w:pPr>
            <w:r>
              <w:rPr>
                <w:rFonts w:hint="eastAsia" w:ascii="宋体" w:hAnsi="宋体"/>
                <w:highlight w:val="none"/>
              </w:rPr>
              <w:t>数量</w:t>
            </w:r>
          </w:p>
        </w:tc>
        <w:tc>
          <w:tcPr>
            <w:tcW w:w="732" w:type="dxa"/>
            <w:vAlign w:val="center"/>
          </w:tcPr>
          <w:p>
            <w:pPr>
              <w:ind w:left="0" w:firstLine="0"/>
              <w:rPr>
                <w:rFonts w:ascii="宋体" w:hAnsi="宋体"/>
                <w:highlight w:val="none"/>
              </w:rPr>
            </w:pPr>
            <w:r>
              <w:rPr>
                <w:rFonts w:hint="eastAsia" w:ascii="宋体" w:hAnsi="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Pr>
          <w:p>
            <w:pPr>
              <w:pStyle w:val="13"/>
              <w:rPr>
                <w:highlight w:val="none"/>
              </w:rPr>
            </w:pPr>
          </w:p>
        </w:tc>
        <w:tc>
          <w:tcPr>
            <w:tcW w:w="1161" w:type="dxa"/>
          </w:tcPr>
          <w:p>
            <w:pPr>
              <w:pStyle w:val="13"/>
              <w:rPr>
                <w:highlight w:val="none"/>
              </w:rPr>
            </w:pPr>
          </w:p>
        </w:tc>
        <w:tc>
          <w:tcPr>
            <w:tcW w:w="1284" w:type="dxa"/>
          </w:tcPr>
          <w:p>
            <w:pPr>
              <w:pStyle w:val="13"/>
              <w:rPr>
                <w:highlight w:val="none"/>
              </w:rPr>
            </w:pPr>
          </w:p>
        </w:tc>
        <w:tc>
          <w:tcPr>
            <w:tcW w:w="1516" w:type="dxa"/>
          </w:tcPr>
          <w:p>
            <w:pPr>
              <w:pStyle w:val="13"/>
              <w:rPr>
                <w:highlight w:val="none"/>
              </w:rPr>
            </w:pPr>
          </w:p>
        </w:tc>
        <w:tc>
          <w:tcPr>
            <w:tcW w:w="1161" w:type="dxa"/>
          </w:tcPr>
          <w:p>
            <w:pPr>
              <w:pStyle w:val="13"/>
              <w:rPr>
                <w:highlight w:val="none"/>
              </w:rPr>
            </w:pPr>
          </w:p>
        </w:tc>
        <w:tc>
          <w:tcPr>
            <w:tcW w:w="719" w:type="dxa"/>
          </w:tcPr>
          <w:p>
            <w:pPr>
              <w:pStyle w:val="13"/>
              <w:rPr>
                <w:highlight w:val="none"/>
              </w:rPr>
            </w:pPr>
          </w:p>
        </w:tc>
        <w:tc>
          <w:tcPr>
            <w:tcW w:w="912" w:type="dxa"/>
          </w:tcPr>
          <w:p>
            <w:pPr>
              <w:pStyle w:val="13"/>
              <w:rPr>
                <w:highlight w:val="none"/>
              </w:rPr>
            </w:pPr>
          </w:p>
        </w:tc>
        <w:tc>
          <w:tcPr>
            <w:tcW w:w="732" w:type="dxa"/>
          </w:tcPr>
          <w:p>
            <w:pPr>
              <w:pStyle w:val="1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Pr>
          <w:p>
            <w:pPr>
              <w:pStyle w:val="13"/>
              <w:rPr>
                <w:highlight w:val="none"/>
              </w:rPr>
            </w:pPr>
          </w:p>
        </w:tc>
        <w:tc>
          <w:tcPr>
            <w:tcW w:w="1161" w:type="dxa"/>
          </w:tcPr>
          <w:p>
            <w:pPr>
              <w:pStyle w:val="13"/>
              <w:rPr>
                <w:highlight w:val="none"/>
              </w:rPr>
            </w:pPr>
          </w:p>
        </w:tc>
        <w:tc>
          <w:tcPr>
            <w:tcW w:w="1284" w:type="dxa"/>
          </w:tcPr>
          <w:p>
            <w:pPr>
              <w:pStyle w:val="13"/>
              <w:rPr>
                <w:highlight w:val="none"/>
              </w:rPr>
            </w:pPr>
          </w:p>
        </w:tc>
        <w:tc>
          <w:tcPr>
            <w:tcW w:w="1516" w:type="dxa"/>
          </w:tcPr>
          <w:p>
            <w:pPr>
              <w:pStyle w:val="13"/>
              <w:rPr>
                <w:highlight w:val="none"/>
              </w:rPr>
            </w:pPr>
          </w:p>
        </w:tc>
        <w:tc>
          <w:tcPr>
            <w:tcW w:w="1161" w:type="dxa"/>
          </w:tcPr>
          <w:p>
            <w:pPr>
              <w:pStyle w:val="13"/>
              <w:rPr>
                <w:highlight w:val="none"/>
              </w:rPr>
            </w:pPr>
          </w:p>
        </w:tc>
        <w:tc>
          <w:tcPr>
            <w:tcW w:w="719" w:type="dxa"/>
          </w:tcPr>
          <w:p>
            <w:pPr>
              <w:pStyle w:val="13"/>
              <w:rPr>
                <w:highlight w:val="none"/>
              </w:rPr>
            </w:pPr>
          </w:p>
        </w:tc>
        <w:tc>
          <w:tcPr>
            <w:tcW w:w="912" w:type="dxa"/>
          </w:tcPr>
          <w:p>
            <w:pPr>
              <w:pStyle w:val="13"/>
              <w:rPr>
                <w:highlight w:val="none"/>
              </w:rPr>
            </w:pPr>
          </w:p>
        </w:tc>
        <w:tc>
          <w:tcPr>
            <w:tcW w:w="732" w:type="dxa"/>
          </w:tcPr>
          <w:p>
            <w:pPr>
              <w:pStyle w:val="1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Pr>
          <w:p>
            <w:pPr>
              <w:pStyle w:val="13"/>
              <w:rPr>
                <w:highlight w:val="none"/>
              </w:rPr>
            </w:pPr>
          </w:p>
        </w:tc>
        <w:tc>
          <w:tcPr>
            <w:tcW w:w="1161" w:type="dxa"/>
          </w:tcPr>
          <w:p>
            <w:pPr>
              <w:pStyle w:val="13"/>
              <w:rPr>
                <w:highlight w:val="none"/>
              </w:rPr>
            </w:pPr>
          </w:p>
        </w:tc>
        <w:tc>
          <w:tcPr>
            <w:tcW w:w="1284" w:type="dxa"/>
          </w:tcPr>
          <w:p>
            <w:pPr>
              <w:pStyle w:val="13"/>
              <w:rPr>
                <w:highlight w:val="none"/>
              </w:rPr>
            </w:pPr>
          </w:p>
        </w:tc>
        <w:tc>
          <w:tcPr>
            <w:tcW w:w="1516" w:type="dxa"/>
          </w:tcPr>
          <w:p>
            <w:pPr>
              <w:pStyle w:val="13"/>
              <w:rPr>
                <w:highlight w:val="none"/>
              </w:rPr>
            </w:pPr>
          </w:p>
        </w:tc>
        <w:tc>
          <w:tcPr>
            <w:tcW w:w="1161" w:type="dxa"/>
          </w:tcPr>
          <w:p>
            <w:pPr>
              <w:pStyle w:val="13"/>
              <w:rPr>
                <w:highlight w:val="none"/>
              </w:rPr>
            </w:pPr>
          </w:p>
        </w:tc>
        <w:tc>
          <w:tcPr>
            <w:tcW w:w="719" w:type="dxa"/>
          </w:tcPr>
          <w:p>
            <w:pPr>
              <w:pStyle w:val="13"/>
              <w:rPr>
                <w:highlight w:val="none"/>
              </w:rPr>
            </w:pPr>
          </w:p>
        </w:tc>
        <w:tc>
          <w:tcPr>
            <w:tcW w:w="912" w:type="dxa"/>
          </w:tcPr>
          <w:p>
            <w:pPr>
              <w:pStyle w:val="13"/>
              <w:rPr>
                <w:highlight w:val="none"/>
              </w:rPr>
            </w:pPr>
          </w:p>
        </w:tc>
        <w:tc>
          <w:tcPr>
            <w:tcW w:w="732" w:type="dxa"/>
          </w:tcPr>
          <w:p>
            <w:pPr>
              <w:pStyle w:val="1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Pr>
          <w:p>
            <w:pPr>
              <w:pStyle w:val="13"/>
              <w:rPr>
                <w:highlight w:val="none"/>
              </w:rPr>
            </w:pPr>
          </w:p>
        </w:tc>
        <w:tc>
          <w:tcPr>
            <w:tcW w:w="1161" w:type="dxa"/>
          </w:tcPr>
          <w:p>
            <w:pPr>
              <w:pStyle w:val="13"/>
              <w:rPr>
                <w:highlight w:val="none"/>
              </w:rPr>
            </w:pPr>
          </w:p>
        </w:tc>
        <w:tc>
          <w:tcPr>
            <w:tcW w:w="1284" w:type="dxa"/>
          </w:tcPr>
          <w:p>
            <w:pPr>
              <w:pStyle w:val="13"/>
              <w:rPr>
                <w:highlight w:val="none"/>
              </w:rPr>
            </w:pPr>
          </w:p>
        </w:tc>
        <w:tc>
          <w:tcPr>
            <w:tcW w:w="1516" w:type="dxa"/>
          </w:tcPr>
          <w:p>
            <w:pPr>
              <w:pStyle w:val="13"/>
              <w:rPr>
                <w:highlight w:val="none"/>
              </w:rPr>
            </w:pPr>
          </w:p>
        </w:tc>
        <w:tc>
          <w:tcPr>
            <w:tcW w:w="1161" w:type="dxa"/>
          </w:tcPr>
          <w:p>
            <w:pPr>
              <w:pStyle w:val="13"/>
              <w:rPr>
                <w:highlight w:val="none"/>
              </w:rPr>
            </w:pPr>
          </w:p>
        </w:tc>
        <w:tc>
          <w:tcPr>
            <w:tcW w:w="719" w:type="dxa"/>
          </w:tcPr>
          <w:p>
            <w:pPr>
              <w:pStyle w:val="13"/>
              <w:rPr>
                <w:highlight w:val="none"/>
              </w:rPr>
            </w:pPr>
          </w:p>
        </w:tc>
        <w:tc>
          <w:tcPr>
            <w:tcW w:w="912" w:type="dxa"/>
          </w:tcPr>
          <w:p>
            <w:pPr>
              <w:pStyle w:val="13"/>
              <w:rPr>
                <w:highlight w:val="none"/>
              </w:rPr>
            </w:pPr>
          </w:p>
        </w:tc>
        <w:tc>
          <w:tcPr>
            <w:tcW w:w="732" w:type="dxa"/>
          </w:tcPr>
          <w:p>
            <w:pPr>
              <w:pStyle w:val="1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Pr>
          <w:p>
            <w:pPr>
              <w:pStyle w:val="13"/>
              <w:rPr>
                <w:highlight w:val="none"/>
              </w:rPr>
            </w:pPr>
          </w:p>
        </w:tc>
        <w:tc>
          <w:tcPr>
            <w:tcW w:w="1161" w:type="dxa"/>
          </w:tcPr>
          <w:p>
            <w:pPr>
              <w:pStyle w:val="13"/>
              <w:rPr>
                <w:highlight w:val="none"/>
              </w:rPr>
            </w:pPr>
          </w:p>
        </w:tc>
        <w:tc>
          <w:tcPr>
            <w:tcW w:w="1284" w:type="dxa"/>
          </w:tcPr>
          <w:p>
            <w:pPr>
              <w:pStyle w:val="13"/>
              <w:rPr>
                <w:highlight w:val="none"/>
              </w:rPr>
            </w:pPr>
          </w:p>
        </w:tc>
        <w:tc>
          <w:tcPr>
            <w:tcW w:w="1516" w:type="dxa"/>
          </w:tcPr>
          <w:p>
            <w:pPr>
              <w:pStyle w:val="13"/>
              <w:rPr>
                <w:highlight w:val="none"/>
              </w:rPr>
            </w:pPr>
          </w:p>
        </w:tc>
        <w:tc>
          <w:tcPr>
            <w:tcW w:w="1161" w:type="dxa"/>
          </w:tcPr>
          <w:p>
            <w:pPr>
              <w:pStyle w:val="13"/>
              <w:rPr>
                <w:highlight w:val="none"/>
              </w:rPr>
            </w:pPr>
          </w:p>
        </w:tc>
        <w:tc>
          <w:tcPr>
            <w:tcW w:w="719" w:type="dxa"/>
          </w:tcPr>
          <w:p>
            <w:pPr>
              <w:pStyle w:val="13"/>
              <w:rPr>
                <w:highlight w:val="none"/>
              </w:rPr>
            </w:pPr>
          </w:p>
        </w:tc>
        <w:tc>
          <w:tcPr>
            <w:tcW w:w="912" w:type="dxa"/>
          </w:tcPr>
          <w:p>
            <w:pPr>
              <w:pStyle w:val="13"/>
              <w:rPr>
                <w:highlight w:val="none"/>
              </w:rPr>
            </w:pPr>
          </w:p>
        </w:tc>
        <w:tc>
          <w:tcPr>
            <w:tcW w:w="732" w:type="dxa"/>
          </w:tcPr>
          <w:p>
            <w:pPr>
              <w:pStyle w:val="1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Pr>
          <w:p>
            <w:pPr>
              <w:pStyle w:val="13"/>
              <w:rPr>
                <w:highlight w:val="none"/>
              </w:rPr>
            </w:pPr>
          </w:p>
        </w:tc>
        <w:tc>
          <w:tcPr>
            <w:tcW w:w="1161" w:type="dxa"/>
          </w:tcPr>
          <w:p>
            <w:pPr>
              <w:pStyle w:val="13"/>
              <w:rPr>
                <w:highlight w:val="none"/>
              </w:rPr>
            </w:pPr>
          </w:p>
        </w:tc>
        <w:tc>
          <w:tcPr>
            <w:tcW w:w="1284" w:type="dxa"/>
          </w:tcPr>
          <w:p>
            <w:pPr>
              <w:pStyle w:val="13"/>
              <w:rPr>
                <w:highlight w:val="none"/>
              </w:rPr>
            </w:pPr>
          </w:p>
        </w:tc>
        <w:tc>
          <w:tcPr>
            <w:tcW w:w="1516" w:type="dxa"/>
          </w:tcPr>
          <w:p>
            <w:pPr>
              <w:pStyle w:val="13"/>
              <w:rPr>
                <w:highlight w:val="none"/>
              </w:rPr>
            </w:pPr>
          </w:p>
        </w:tc>
        <w:tc>
          <w:tcPr>
            <w:tcW w:w="1161" w:type="dxa"/>
          </w:tcPr>
          <w:p>
            <w:pPr>
              <w:pStyle w:val="13"/>
              <w:rPr>
                <w:highlight w:val="none"/>
              </w:rPr>
            </w:pPr>
          </w:p>
        </w:tc>
        <w:tc>
          <w:tcPr>
            <w:tcW w:w="719" w:type="dxa"/>
          </w:tcPr>
          <w:p>
            <w:pPr>
              <w:pStyle w:val="13"/>
              <w:rPr>
                <w:highlight w:val="none"/>
              </w:rPr>
            </w:pPr>
          </w:p>
        </w:tc>
        <w:tc>
          <w:tcPr>
            <w:tcW w:w="912" w:type="dxa"/>
          </w:tcPr>
          <w:p>
            <w:pPr>
              <w:pStyle w:val="13"/>
              <w:rPr>
                <w:highlight w:val="none"/>
              </w:rPr>
            </w:pPr>
          </w:p>
        </w:tc>
        <w:tc>
          <w:tcPr>
            <w:tcW w:w="732" w:type="dxa"/>
          </w:tcPr>
          <w:p>
            <w:pPr>
              <w:pStyle w:val="13"/>
              <w:rPr>
                <w:highlight w:val="none"/>
              </w:rPr>
            </w:pPr>
          </w:p>
        </w:tc>
      </w:tr>
    </w:tbl>
    <w:p>
      <w:pPr>
        <w:pStyle w:val="13"/>
        <w:spacing w:line="240" w:lineRule="auto"/>
        <w:ind w:left="708" w:leftChars="200" w:right="-28" w:hanging="288" w:hangingChars="144"/>
        <w:rPr>
          <w:rFonts w:hAnsi="宋体"/>
          <w:highlight w:val="none"/>
        </w:rPr>
      </w:pPr>
    </w:p>
    <w:p>
      <w:pPr>
        <w:pStyle w:val="13"/>
        <w:spacing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 xml:space="preserve">单位：（公章）                       </w:t>
      </w:r>
    </w:p>
    <w:p>
      <w:pPr>
        <w:pStyle w:val="13"/>
        <w:spacing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地址：</w:t>
      </w:r>
    </w:p>
    <w:p>
      <w:pPr>
        <w:pStyle w:val="13"/>
        <w:spacing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 xml:space="preserve">联系人：                </w:t>
      </w:r>
    </w:p>
    <w:p>
      <w:pPr>
        <w:pStyle w:val="13"/>
        <w:spacing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部门及职务：</w:t>
      </w:r>
    </w:p>
    <w:p>
      <w:pPr>
        <w:spacing w:line="240" w:lineRule="auto"/>
        <w:ind w:left="722" w:leftChars="200" w:right="-28" w:hanging="302" w:hangingChars="144"/>
        <w:rPr>
          <w:rFonts w:ascii="宋体" w:hAnsi="宋体"/>
          <w:highlight w:val="none"/>
        </w:rPr>
      </w:pPr>
      <w:r>
        <w:rPr>
          <w:rFonts w:hint="eastAsia" w:ascii="宋体" w:hAnsi="宋体"/>
          <w:highlight w:val="none"/>
        </w:rPr>
        <w:t xml:space="preserve">联系方式:              </w:t>
      </w:r>
    </w:p>
    <w:p>
      <w:pPr>
        <w:spacing w:line="240" w:lineRule="auto"/>
        <w:ind w:left="722" w:leftChars="200" w:right="-28" w:hanging="302" w:hangingChars="144"/>
        <w:rPr>
          <w:rFonts w:ascii="宋体" w:hAnsi="宋体"/>
          <w:highlight w:val="none"/>
        </w:rPr>
      </w:pPr>
      <w:r>
        <w:rPr>
          <w:rFonts w:hint="eastAsia" w:ascii="宋体" w:hAnsi="宋体"/>
          <w:highlight w:val="none"/>
        </w:rPr>
        <w:t>日期：</w:t>
      </w:r>
    </w:p>
    <w:p>
      <w:pPr>
        <w:pStyle w:val="13"/>
        <w:spacing w:line="240" w:lineRule="auto"/>
        <w:ind w:left="708" w:leftChars="200" w:right="-28" w:hanging="288" w:hangingChars="144"/>
        <w:rPr>
          <w:rFonts w:hAnsi="宋体"/>
          <w:highlight w:val="none"/>
        </w:rPr>
      </w:pPr>
    </w:p>
    <w:p>
      <w:pPr>
        <w:pageBreakBefore/>
        <w:tabs>
          <w:tab w:val="left" w:pos="1134"/>
          <w:tab w:val="left" w:pos="8364"/>
        </w:tabs>
        <w:spacing w:before="0" w:after="0" w:afterAutospacing="0"/>
        <w:ind w:left="0" w:right="-57" w:hanging="11"/>
        <w:rPr>
          <w:rFonts w:ascii="宋体" w:hAnsi="宋体"/>
          <w:sz w:val="24"/>
          <w:szCs w:val="24"/>
          <w:highlight w:val="none"/>
        </w:rPr>
      </w:pPr>
      <w:r>
        <w:rPr>
          <w:rFonts w:hint="eastAsia" w:ascii="宋体" w:hAnsi="宋体"/>
          <w:b/>
          <w:sz w:val="24"/>
          <w:szCs w:val="24"/>
          <w:highlight w:val="none"/>
        </w:rPr>
        <w:t>附件6.2 送货单格式</w:t>
      </w:r>
    </w:p>
    <w:p>
      <w:pPr>
        <w:widowControl w:val="0"/>
        <w:spacing w:before="0" w:after="0" w:afterAutospacing="0" w:line="240" w:lineRule="auto"/>
        <w:ind w:left="0" w:right="0" w:firstLine="0"/>
        <w:jc w:val="center"/>
        <w:rPr>
          <w:rFonts w:ascii="宋体" w:hAnsi="宋体" w:cs="宋体"/>
          <w:b/>
          <w:kern w:val="2"/>
          <w:sz w:val="24"/>
          <w:szCs w:val="24"/>
          <w:highlight w:val="none"/>
        </w:rPr>
      </w:pPr>
      <w:r>
        <w:rPr>
          <w:rFonts w:ascii="宋体" w:hAnsi="宋体" w:cs="宋体"/>
          <w:b/>
          <w:kern w:val="2"/>
          <w:sz w:val="24"/>
          <w:szCs w:val="24"/>
          <w:highlight w:val="none"/>
        </w:rPr>
        <w:t>送货单（格式）</w:t>
      </w:r>
    </w:p>
    <w:p>
      <w:pPr>
        <w:pStyle w:val="13"/>
        <w:spacing w:line="240" w:lineRule="auto"/>
        <w:ind w:left="0" w:right="-28" w:hanging="6"/>
        <w:jc w:val="center"/>
        <w:rPr>
          <w:rFonts w:hAnsi="宋体"/>
          <w:highlight w:val="none"/>
        </w:rPr>
      </w:pPr>
      <w:r>
        <w:rPr>
          <w:rFonts w:hAnsi="宋体"/>
          <w:b/>
          <w:kern w:val="2"/>
          <w:highlight w:val="none"/>
        </w:rPr>
        <w:t xml:space="preserve"> 采购项目 号线 第  批 送货单</w:t>
      </w:r>
    </w:p>
    <w:p>
      <w:pPr>
        <w:pStyle w:val="13"/>
        <w:snapToGrid w:val="0"/>
        <w:spacing w:beforeLines="50" w:after="120" w:afterLines="50" w:afterAutospacing="0" w:line="240" w:lineRule="auto"/>
        <w:ind w:left="0" w:right="-28" w:firstLine="0"/>
        <w:rPr>
          <w:rFonts w:hAnsi="宋体" w:cs="Times New Roman"/>
          <w:sz w:val="21"/>
          <w:szCs w:val="21"/>
          <w:highlight w:val="none"/>
        </w:rPr>
      </w:pPr>
      <w:r>
        <w:rPr>
          <w:rFonts w:hint="eastAsia" w:hAnsi="宋体" w:cs="Times New Roman"/>
          <w:sz w:val="21"/>
          <w:szCs w:val="21"/>
          <w:highlight w:val="none"/>
        </w:rPr>
        <w:t>供应商(章)：</w:t>
      </w:r>
    </w:p>
    <w:p>
      <w:pPr>
        <w:pStyle w:val="13"/>
        <w:snapToGrid w:val="0"/>
        <w:spacing w:beforeLines="50" w:after="120" w:afterLines="50" w:afterAutospacing="0" w:line="240" w:lineRule="auto"/>
        <w:ind w:left="0" w:right="-28" w:firstLine="0"/>
        <w:rPr>
          <w:rFonts w:hAnsi="宋体" w:cs="Times New Roman"/>
          <w:sz w:val="21"/>
          <w:szCs w:val="21"/>
          <w:highlight w:val="none"/>
        </w:rPr>
      </w:pPr>
      <w:r>
        <w:rPr>
          <w:rFonts w:hint="eastAsia" w:hAnsi="宋体" w:cs="Times New Roman"/>
          <w:sz w:val="21"/>
          <w:szCs w:val="21"/>
          <w:highlight w:val="none"/>
        </w:rPr>
        <w:t>供应商联系人及电话：</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合同序号</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系统需求计划号</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货物名称</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单位</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合同数量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通知交货数量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实收数量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3"/>
              <w:spacing w:line="240" w:lineRule="auto"/>
              <w:ind w:right="-28"/>
              <w:rPr>
                <w:rFonts w:hAnsi="宋体"/>
                <w:highlight w:val="none"/>
              </w:rPr>
            </w:pPr>
            <w:r>
              <w:rPr>
                <w:rFonts w:hint="eastAsia" w:hAnsi="宋体"/>
                <w:highlight w:val="none"/>
              </w:rPr>
              <w:t>合计</w:t>
            </w: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c>
          <w:tcPr>
            <w:tcW w:w="1161" w:type="dxa"/>
          </w:tcPr>
          <w:p>
            <w:pPr>
              <w:pStyle w:val="13"/>
              <w:spacing w:line="240" w:lineRule="auto"/>
              <w:ind w:right="-28"/>
              <w:rPr>
                <w:rFonts w:hAnsi="宋体"/>
                <w:highlight w:val="none"/>
              </w:rPr>
            </w:pPr>
          </w:p>
        </w:tc>
      </w:tr>
    </w:tbl>
    <w:p>
      <w:pPr>
        <w:pStyle w:val="13"/>
        <w:spacing w:line="240" w:lineRule="auto"/>
        <w:ind w:left="0" w:right="-28" w:firstLine="0"/>
        <w:rPr>
          <w:rFonts w:hAnsi="宋体"/>
          <w:sz w:val="21"/>
          <w:szCs w:val="21"/>
          <w:highlight w:val="none"/>
        </w:rPr>
      </w:pPr>
      <w:r>
        <w:rPr>
          <w:rFonts w:hint="eastAsia" w:hAnsi="宋体"/>
          <w:sz w:val="21"/>
          <w:szCs w:val="21"/>
          <w:highlight w:val="none"/>
        </w:rPr>
        <w:t>说明：</w:t>
      </w:r>
    </w:p>
    <w:p>
      <w:pPr>
        <w:pStyle w:val="13"/>
        <w:numPr>
          <w:ilvl w:val="0"/>
          <w:numId w:val="7"/>
        </w:numPr>
        <w:spacing w:line="240" w:lineRule="auto"/>
        <w:ind w:left="0" w:right="-28" w:firstLine="0"/>
        <w:rPr>
          <w:rFonts w:hAnsi="宋体"/>
          <w:sz w:val="21"/>
          <w:szCs w:val="21"/>
          <w:highlight w:val="none"/>
        </w:rPr>
      </w:pPr>
      <w:r>
        <w:rPr>
          <w:rFonts w:hint="eastAsia" w:hAnsi="宋体"/>
          <w:sz w:val="21"/>
          <w:szCs w:val="21"/>
          <w:highlight w:val="none"/>
        </w:rPr>
        <w:t>送货时携带纸质版一式两份，仅做收货凭据，不做为验收合格和结算凭证；本单未列明的性能参数等其他要求详见合同。</w:t>
      </w:r>
    </w:p>
    <w:p>
      <w:pPr>
        <w:pStyle w:val="13"/>
        <w:spacing w:line="240" w:lineRule="auto"/>
        <w:ind w:left="0" w:right="-28" w:firstLine="0"/>
        <w:rPr>
          <w:rFonts w:hAnsi="宋体"/>
          <w:sz w:val="21"/>
          <w:szCs w:val="21"/>
          <w:highlight w:val="none"/>
        </w:rPr>
      </w:pPr>
      <w:r>
        <w:rPr>
          <w:rFonts w:hAnsi="宋体" w:cs="Calibri"/>
          <w:kern w:val="2"/>
          <w:sz w:val="21"/>
          <w:szCs w:val="21"/>
          <w:highlight w:val="none"/>
        </w:rPr>
        <w:t>2.</w:t>
      </w:r>
      <w:r>
        <w:rPr>
          <w:rFonts w:hint="eastAsia" w:hAnsi="宋体"/>
          <w:sz w:val="21"/>
          <w:szCs w:val="21"/>
          <w:highlight w:val="none"/>
        </w:rPr>
        <w:t>实收数量栏不能留空，数量为“</w:t>
      </w:r>
      <w:r>
        <w:rPr>
          <w:rFonts w:hAnsi="宋体" w:cs="Calibri"/>
          <w:kern w:val="2"/>
          <w:sz w:val="21"/>
          <w:szCs w:val="21"/>
          <w:highlight w:val="none"/>
        </w:rPr>
        <w:t>0</w:t>
      </w:r>
      <w:r>
        <w:rPr>
          <w:rFonts w:hint="eastAsia" w:hAnsi="宋体"/>
          <w:sz w:val="21"/>
          <w:szCs w:val="21"/>
          <w:highlight w:val="none"/>
        </w:rPr>
        <w:t>”时用“</w:t>
      </w:r>
      <w:r>
        <w:rPr>
          <w:rFonts w:hAnsi="宋体" w:cs="Calibri"/>
          <w:kern w:val="2"/>
          <w:sz w:val="21"/>
          <w:szCs w:val="21"/>
          <w:highlight w:val="none"/>
        </w:rPr>
        <w:t>/</w:t>
      </w:r>
      <w:r>
        <w:rPr>
          <w:rFonts w:hint="eastAsia" w:hAnsi="宋体"/>
          <w:sz w:val="21"/>
          <w:szCs w:val="21"/>
          <w:highlight w:val="none"/>
        </w:rPr>
        <w:t>”表示；“合计”栏中的</w:t>
      </w:r>
      <w:r>
        <w:rPr>
          <w:rFonts w:hAnsi="宋体" w:cs="Calibri"/>
          <w:kern w:val="2"/>
          <w:sz w:val="21"/>
          <w:szCs w:val="21"/>
          <w:highlight w:val="none"/>
        </w:rPr>
        <w:t>"</w:t>
      </w:r>
      <w:r>
        <w:rPr>
          <w:rFonts w:hint="eastAsia" w:hAnsi="宋体"/>
          <w:sz w:val="21"/>
          <w:szCs w:val="21"/>
          <w:highlight w:val="none"/>
        </w:rPr>
        <w:t>实收数量</w:t>
      </w:r>
      <w:r>
        <w:rPr>
          <w:rFonts w:hAnsi="宋体" w:cs="Calibri"/>
          <w:kern w:val="2"/>
          <w:sz w:val="21"/>
          <w:szCs w:val="21"/>
          <w:highlight w:val="none"/>
        </w:rPr>
        <w:t>"</w:t>
      </w:r>
      <w:r>
        <w:rPr>
          <w:rFonts w:hint="eastAsia" w:hAnsi="宋体"/>
          <w:sz w:val="21"/>
          <w:szCs w:val="21"/>
          <w:highlight w:val="none"/>
        </w:rPr>
        <w:t>为必填项。</w:t>
      </w:r>
    </w:p>
    <w:p>
      <w:pPr>
        <w:pStyle w:val="13"/>
        <w:spacing w:line="240" w:lineRule="auto"/>
        <w:ind w:left="0" w:right="-28" w:firstLine="0"/>
        <w:rPr>
          <w:rFonts w:hAnsi="宋体"/>
          <w:sz w:val="21"/>
          <w:szCs w:val="21"/>
          <w:highlight w:val="none"/>
        </w:rPr>
      </w:pPr>
      <w:r>
        <w:rPr>
          <w:rFonts w:hAnsi="宋体" w:cs="Calibri"/>
          <w:kern w:val="2"/>
          <w:sz w:val="21"/>
          <w:szCs w:val="21"/>
          <w:highlight w:val="none"/>
        </w:rPr>
        <w:t>3.</w:t>
      </w:r>
      <w:r>
        <w:rPr>
          <w:rFonts w:hint="eastAsia" w:hAnsi="宋体"/>
          <w:sz w:val="21"/>
          <w:szCs w:val="21"/>
          <w:highlight w:val="none"/>
        </w:rPr>
        <w:t>本清单如有涂改必须有双方签名认可，否则无效。</w:t>
      </w:r>
    </w:p>
    <w:p>
      <w:pPr>
        <w:pStyle w:val="13"/>
        <w:spacing w:line="240" w:lineRule="auto"/>
        <w:ind w:left="0" w:right="-28" w:firstLine="0"/>
        <w:rPr>
          <w:rFonts w:hAnsi="宋体"/>
          <w:sz w:val="21"/>
          <w:szCs w:val="21"/>
          <w:highlight w:val="none"/>
        </w:rPr>
      </w:pPr>
      <w:r>
        <w:rPr>
          <w:rFonts w:hint="eastAsia" w:hAnsi="宋体"/>
          <w:sz w:val="21"/>
          <w:szCs w:val="21"/>
          <w:highlight w:val="none"/>
        </w:rPr>
        <w:t>送货人（签名）：　　　　　　　　　　　　　　　运输工具及车号：</w:t>
      </w:r>
    </w:p>
    <w:p>
      <w:pPr>
        <w:pStyle w:val="13"/>
        <w:spacing w:line="240" w:lineRule="auto"/>
        <w:ind w:left="0" w:right="-28" w:firstLine="0"/>
        <w:rPr>
          <w:rFonts w:hAnsi="宋体"/>
          <w:sz w:val="21"/>
          <w:szCs w:val="21"/>
          <w:highlight w:val="none"/>
        </w:rPr>
        <w:sectPr>
          <w:pgSz w:w="11905" w:h="16838"/>
          <w:pgMar w:top="1417" w:right="1417" w:bottom="1417" w:left="1417" w:header="454" w:footer="567" w:gutter="0"/>
          <w:pgNumType w:fmt="decimal"/>
          <w:cols w:space="720" w:num="1"/>
          <w:docGrid w:linePitch="312" w:charSpace="0"/>
        </w:sectPr>
      </w:pPr>
      <w:r>
        <w:rPr>
          <w:rFonts w:hint="eastAsia" w:hAnsi="宋体"/>
          <w:sz w:val="21"/>
          <w:szCs w:val="21"/>
          <w:highlight w:val="none"/>
        </w:rPr>
        <w:t>收货人（签名）：　　　　　　　　　　　　　　　收货时间：</w:t>
      </w:r>
    </w:p>
    <w:p>
      <w:pPr>
        <w:pageBreakBefore/>
        <w:tabs>
          <w:tab w:val="left" w:pos="1134"/>
          <w:tab w:val="left" w:pos="8364"/>
        </w:tabs>
        <w:spacing w:before="0" w:after="0" w:afterAutospacing="0"/>
        <w:ind w:left="0" w:right="-57" w:hanging="11"/>
        <w:rPr>
          <w:rFonts w:ascii="宋体" w:hAnsi="宋体"/>
          <w:sz w:val="24"/>
          <w:szCs w:val="24"/>
          <w:highlight w:val="none"/>
        </w:rPr>
      </w:pPr>
      <w:r>
        <w:rPr>
          <w:rFonts w:hint="eastAsia" w:ascii="宋体" w:hAnsi="宋体"/>
          <w:b/>
          <w:sz w:val="24"/>
          <w:szCs w:val="24"/>
          <w:highlight w:val="none"/>
        </w:rPr>
        <w:t>附件6.3 交货通知书格式</w:t>
      </w:r>
    </w:p>
    <w:p>
      <w:pPr>
        <w:ind w:right="-57" w:firstLine="0"/>
        <w:jc w:val="center"/>
        <w:rPr>
          <w:rFonts w:ascii="宋体" w:hAnsi="宋体"/>
          <w:b/>
          <w:sz w:val="24"/>
          <w:szCs w:val="24"/>
          <w:highlight w:val="none"/>
        </w:rPr>
      </w:pPr>
      <w:r>
        <w:rPr>
          <w:rFonts w:ascii="宋体" w:hAnsi="宋体" w:cs="宋体"/>
          <w:b/>
          <w:kern w:val="2"/>
          <w:sz w:val="24"/>
          <w:szCs w:val="24"/>
          <w:highlight w:val="none"/>
        </w:rPr>
        <w:t>交货通知</w:t>
      </w:r>
      <w:r>
        <w:rPr>
          <w:rFonts w:hint="eastAsia" w:ascii="宋体" w:hAnsi="宋体" w:cs="宋体"/>
          <w:b/>
          <w:kern w:val="2"/>
          <w:sz w:val="24"/>
          <w:szCs w:val="24"/>
          <w:highlight w:val="none"/>
        </w:rPr>
        <w:t>书</w:t>
      </w:r>
      <w:r>
        <w:rPr>
          <w:rFonts w:ascii="宋体" w:hAnsi="宋体" w:cs="宋体"/>
          <w:b/>
          <w:kern w:val="2"/>
          <w:sz w:val="24"/>
          <w:szCs w:val="24"/>
          <w:highlight w:val="none"/>
        </w:rPr>
        <w:t xml:space="preserve"> （格式）</w:t>
      </w:r>
    </w:p>
    <w:p>
      <w:pPr>
        <w:pStyle w:val="13"/>
        <w:spacing w:line="240" w:lineRule="auto"/>
        <w:ind w:left="724" w:leftChars="200" w:right="-28" w:hanging="304" w:hangingChars="144"/>
        <w:jc w:val="center"/>
        <w:rPr>
          <w:rFonts w:hAnsi="宋体"/>
          <w:sz w:val="21"/>
          <w:szCs w:val="21"/>
          <w:highlight w:val="none"/>
        </w:rPr>
      </w:pPr>
      <w:r>
        <w:rPr>
          <w:rFonts w:hAnsi="宋体"/>
          <w:b/>
          <w:kern w:val="2"/>
          <w:sz w:val="21"/>
          <w:szCs w:val="21"/>
          <w:highlight w:val="none"/>
        </w:rPr>
        <w:t xml:space="preserve">采购项目 </w:t>
      </w:r>
      <w:r>
        <w:rPr>
          <w:rFonts w:hint="eastAsia" w:hAnsi="宋体"/>
          <w:b/>
          <w:kern w:val="2"/>
          <w:sz w:val="21"/>
          <w:szCs w:val="21"/>
          <w:highlight w:val="none"/>
        </w:rPr>
        <w:t xml:space="preserve"> </w:t>
      </w:r>
      <w:r>
        <w:rPr>
          <w:rFonts w:hAnsi="宋体"/>
          <w:b/>
          <w:kern w:val="2"/>
          <w:sz w:val="21"/>
          <w:szCs w:val="21"/>
          <w:highlight w:val="none"/>
        </w:rPr>
        <w:t xml:space="preserve">号线 第 </w:t>
      </w:r>
      <w:r>
        <w:rPr>
          <w:rFonts w:hint="eastAsia" w:hAnsi="宋体"/>
          <w:b/>
          <w:kern w:val="2"/>
          <w:sz w:val="21"/>
          <w:szCs w:val="21"/>
          <w:highlight w:val="none"/>
        </w:rPr>
        <w:t xml:space="preserve"> </w:t>
      </w:r>
      <w:r>
        <w:rPr>
          <w:rFonts w:hAnsi="宋体"/>
          <w:b/>
          <w:kern w:val="2"/>
          <w:sz w:val="21"/>
          <w:szCs w:val="21"/>
          <w:highlight w:val="none"/>
        </w:rPr>
        <w:t>批 交货通知</w:t>
      </w:r>
    </w:p>
    <w:p>
      <w:pPr>
        <w:pStyle w:val="13"/>
        <w:snapToGrid w:val="0"/>
        <w:spacing w:beforeLines="50" w:after="120" w:afterLines="50" w:afterAutospacing="0" w:line="240" w:lineRule="auto"/>
        <w:ind w:left="0" w:right="-28" w:firstLine="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供应商：</w:t>
      </w:r>
    </w:p>
    <w:p>
      <w:pPr>
        <w:pStyle w:val="13"/>
        <w:snapToGrid w:val="0"/>
        <w:spacing w:beforeLines="50" w:after="120" w:afterLines="50" w:afterAutospacing="0" w:line="240" w:lineRule="auto"/>
        <w:ind w:left="0" w:right="-28" w:firstLine="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供应商联系人及电话：</w:t>
      </w:r>
    </w:p>
    <w:p>
      <w:pPr>
        <w:pStyle w:val="13"/>
        <w:snapToGrid w:val="0"/>
        <w:spacing w:beforeLines="50" w:after="120" w:afterLines="50" w:afterAutospacing="0" w:line="240" w:lineRule="auto"/>
        <w:ind w:left="0" w:right="-28" w:firstLine="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交货通知号：</w:t>
      </w:r>
    </w:p>
    <w:p>
      <w:pPr>
        <w:pStyle w:val="13"/>
        <w:snapToGrid w:val="0"/>
        <w:spacing w:beforeLines="50" w:after="120" w:afterLines="50" w:afterAutospacing="0" w:line="240" w:lineRule="auto"/>
        <w:ind w:left="0" w:right="-28" w:firstLine="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交货地点：</w:t>
      </w:r>
    </w:p>
    <w:p>
      <w:pPr>
        <w:pStyle w:val="13"/>
        <w:snapToGrid w:val="0"/>
        <w:spacing w:beforeLines="50" w:after="120" w:afterLines="50" w:afterAutospacing="0" w:line="240" w:lineRule="auto"/>
        <w:ind w:left="0" w:right="-28" w:firstLine="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收货联系人及电话：</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0" w:firstLine="0"/>
              <w:jc w:val="center"/>
              <w:textAlignment w:val="center"/>
              <w:rPr>
                <w:rFonts w:asciiTheme="minorEastAsia" w:hAnsiTheme="minorEastAsia" w:eastAsiaTheme="minorEastAsia" w:cstheme="minorEastAsia"/>
                <w:kern w:val="2"/>
                <w:highlight w:val="none"/>
              </w:rPr>
            </w:pPr>
            <w:r>
              <w:rPr>
                <w:rFonts w:hint="eastAsia" w:asciiTheme="minorEastAsia" w:hAnsiTheme="minorEastAsia" w:eastAsiaTheme="minorEastAsia" w:cstheme="minorEastAsia"/>
                <w:highlight w:val="none"/>
              </w:rPr>
              <w:t>合同序号</w:t>
            </w:r>
          </w:p>
        </w:tc>
        <w:tc>
          <w:tcPr>
            <w:tcW w:w="1161" w:type="dxa"/>
            <w:vAlign w:val="center"/>
          </w:tcPr>
          <w:p>
            <w:pPr>
              <w:spacing w:before="0" w:after="0" w:afterAutospacing="0" w:line="240" w:lineRule="auto"/>
              <w:ind w:left="0" w:right="0" w:firstLine="0"/>
              <w:jc w:val="center"/>
              <w:textAlignment w:val="center"/>
              <w:rPr>
                <w:rFonts w:asciiTheme="minorEastAsia" w:hAnsiTheme="minorEastAsia" w:eastAsiaTheme="minorEastAsia" w:cstheme="minorEastAsia"/>
                <w:kern w:val="2"/>
                <w:highlight w:val="none"/>
              </w:rPr>
            </w:pPr>
            <w:r>
              <w:rPr>
                <w:rFonts w:hint="eastAsia" w:asciiTheme="minorEastAsia" w:hAnsiTheme="minorEastAsia" w:eastAsiaTheme="minorEastAsia" w:cstheme="minorEastAsia"/>
                <w:highlight w:val="none"/>
              </w:rPr>
              <w:t>系统需求计划号</w:t>
            </w:r>
          </w:p>
        </w:tc>
        <w:tc>
          <w:tcPr>
            <w:tcW w:w="1161" w:type="dxa"/>
            <w:vAlign w:val="center"/>
          </w:tcPr>
          <w:p>
            <w:pPr>
              <w:spacing w:before="0" w:after="0" w:afterAutospacing="0" w:line="240" w:lineRule="auto"/>
              <w:ind w:left="0" w:right="0" w:firstLine="0"/>
              <w:jc w:val="center"/>
              <w:textAlignment w:val="center"/>
              <w:rPr>
                <w:rFonts w:asciiTheme="minorEastAsia" w:hAnsiTheme="minorEastAsia" w:eastAsiaTheme="minorEastAsia" w:cstheme="minorEastAsia"/>
                <w:kern w:val="2"/>
                <w:highlight w:val="none"/>
              </w:rPr>
            </w:pPr>
            <w:r>
              <w:rPr>
                <w:rFonts w:hint="eastAsia" w:asciiTheme="minorEastAsia" w:hAnsiTheme="minorEastAsia" w:eastAsiaTheme="minorEastAsia" w:cstheme="minorEastAsia"/>
                <w:highlight w:val="none"/>
              </w:rPr>
              <w:t>货物名称</w:t>
            </w:r>
          </w:p>
        </w:tc>
        <w:tc>
          <w:tcPr>
            <w:tcW w:w="1161" w:type="dxa"/>
            <w:vAlign w:val="center"/>
          </w:tcPr>
          <w:p>
            <w:pPr>
              <w:spacing w:before="0" w:after="0" w:afterAutospacing="0" w:line="240" w:lineRule="auto"/>
              <w:ind w:left="0" w:right="0" w:firstLine="0"/>
              <w:jc w:val="center"/>
              <w:textAlignment w:val="center"/>
              <w:rPr>
                <w:rFonts w:asciiTheme="minorEastAsia" w:hAnsiTheme="minorEastAsia" w:eastAsiaTheme="minorEastAsia" w:cstheme="minorEastAsia"/>
                <w:kern w:val="2"/>
                <w:highlight w:val="none"/>
              </w:rPr>
            </w:pPr>
            <w:r>
              <w:rPr>
                <w:rFonts w:hint="eastAsia" w:asciiTheme="minorEastAsia" w:hAnsiTheme="minorEastAsia" w:eastAsiaTheme="minorEastAsia" w:cstheme="minorEastAsia"/>
                <w:highlight w:val="none"/>
              </w:rPr>
              <w:t>单位</w:t>
            </w:r>
          </w:p>
        </w:tc>
        <w:tc>
          <w:tcPr>
            <w:tcW w:w="1161" w:type="dxa"/>
            <w:vAlign w:val="center"/>
          </w:tcPr>
          <w:p>
            <w:pPr>
              <w:spacing w:before="0" w:after="0" w:afterAutospacing="0" w:line="240" w:lineRule="auto"/>
              <w:ind w:left="0" w:right="0" w:firstLine="0"/>
              <w:jc w:val="center"/>
              <w:textAlignment w:val="center"/>
              <w:rPr>
                <w:rFonts w:asciiTheme="minorEastAsia" w:hAnsiTheme="minorEastAsia" w:eastAsiaTheme="minorEastAsia" w:cstheme="minorEastAsia"/>
                <w:kern w:val="2"/>
                <w:highlight w:val="none"/>
              </w:rPr>
            </w:pPr>
            <w:r>
              <w:rPr>
                <w:rFonts w:hint="eastAsia" w:asciiTheme="minorEastAsia" w:hAnsiTheme="minorEastAsia" w:eastAsiaTheme="minorEastAsia" w:cstheme="minorEastAsia"/>
                <w:highlight w:val="none"/>
              </w:rPr>
              <w:t>合同数量</w:t>
            </w:r>
          </w:p>
        </w:tc>
        <w:tc>
          <w:tcPr>
            <w:tcW w:w="1161" w:type="dxa"/>
            <w:vAlign w:val="center"/>
          </w:tcPr>
          <w:p>
            <w:pPr>
              <w:spacing w:before="0" w:after="0" w:afterAutospacing="0" w:line="240" w:lineRule="auto"/>
              <w:ind w:left="0" w:right="0" w:firstLine="0"/>
              <w:jc w:val="center"/>
              <w:textAlignment w:val="center"/>
              <w:rPr>
                <w:rFonts w:asciiTheme="minorEastAsia" w:hAnsiTheme="minorEastAsia" w:eastAsiaTheme="minorEastAsia" w:cstheme="minorEastAsia"/>
                <w:kern w:val="2"/>
                <w:highlight w:val="none"/>
              </w:rPr>
            </w:pPr>
            <w:r>
              <w:rPr>
                <w:rFonts w:hint="eastAsia" w:asciiTheme="minorEastAsia" w:hAnsiTheme="minorEastAsia" w:eastAsiaTheme="minorEastAsia" w:cstheme="minorEastAsia"/>
                <w:highlight w:val="none"/>
              </w:rPr>
              <w:t>交货数量</w:t>
            </w:r>
          </w:p>
        </w:tc>
        <w:tc>
          <w:tcPr>
            <w:tcW w:w="1161" w:type="dxa"/>
            <w:vAlign w:val="center"/>
          </w:tcPr>
          <w:p>
            <w:pPr>
              <w:spacing w:before="0" w:after="0" w:afterAutospacing="0" w:line="240" w:lineRule="auto"/>
              <w:ind w:left="0" w:right="0" w:firstLine="0"/>
              <w:jc w:val="center"/>
              <w:textAlignment w:val="center"/>
              <w:rPr>
                <w:rFonts w:asciiTheme="minorEastAsia" w:hAnsiTheme="minorEastAsia" w:eastAsiaTheme="minorEastAsia" w:cstheme="minorEastAsia"/>
                <w:kern w:val="2"/>
                <w:highlight w:val="none"/>
              </w:rPr>
            </w:pPr>
            <w:r>
              <w:rPr>
                <w:rFonts w:hint="eastAsia" w:asciiTheme="minorEastAsia" w:hAnsiTheme="minorEastAsia" w:eastAsiaTheme="minorEastAsia" w:cstheme="minorEastAsia"/>
                <w:highlight w:val="none"/>
              </w:rPr>
              <w:t>交货时间</w:t>
            </w:r>
          </w:p>
        </w:tc>
        <w:tc>
          <w:tcPr>
            <w:tcW w:w="1161" w:type="dxa"/>
            <w:vAlign w:val="center"/>
          </w:tcPr>
          <w:p>
            <w:pPr>
              <w:spacing w:before="0" w:after="0" w:afterAutospacing="0" w:line="240" w:lineRule="auto"/>
              <w:ind w:left="0" w:right="0" w:firstLine="0"/>
              <w:jc w:val="center"/>
              <w:textAlignment w:val="center"/>
              <w:rPr>
                <w:rFonts w:asciiTheme="minorEastAsia" w:hAnsiTheme="minorEastAsia" w:eastAsiaTheme="minorEastAsia" w:cstheme="minorEastAsia"/>
                <w:kern w:val="2"/>
                <w:highlight w:val="none"/>
              </w:rPr>
            </w:pPr>
            <w:r>
              <w:rPr>
                <w:rFonts w:hint="eastAsia" w:asciiTheme="minorEastAsia" w:hAnsiTheme="minorEastAsia" w:eastAsiaTheme="minorEastAsia" w:cstheme="minor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ind w:left="0" w:right="0" w:firstLine="0"/>
              <w:jc w:val="center"/>
              <w:textAlignment w:val="center"/>
              <w:rPr>
                <w:rFonts w:asciiTheme="minorEastAsia" w:hAnsiTheme="minorEastAsia" w:eastAsiaTheme="minorEastAsia" w:cstheme="minorEastAsia"/>
                <w:b/>
                <w:kern w:val="2"/>
                <w:highlight w:val="none"/>
              </w:rPr>
            </w:pPr>
            <w:r>
              <w:rPr>
                <w:rFonts w:hint="eastAsia" w:asciiTheme="minorEastAsia" w:hAnsiTheme="minorEastAsia" w:eastAsiaTheme="minorEastAsia" w:cstheme="minorEastAsia"/>
                <w:highlight w:val="none"/>
              </w:rPr>
              <w:t>合计</w:t>
            </w:r>
          </w:p>
        </w:tc>
        <w:tc>
          <w:tcPr>
            <w:tcW w:w="1161" w:type="dxa"/>
            <w:vAlign w:val="center"/>
          </w:tcPr>
          <w:p>
            <w:pPr>
              <w:spacing w:before="0" w:after="0" w:afterAutospacing="0"/>
              <w:ind w:left="0" w:right="0" w:firstLine="0"/>
              <w:jc w:val="center"/>
              <w:textAlignment w:val="center"/>
              <w:rPr>
                <w:rFonts w:asciiTheme="minorEastAsia" w:hAnsiTheme="minorEastAsia" w:eastAsiaTheme="minorEastAsia" w:cstheme="minorEastAsia"/>
                <w:highlight w:val="none"/>
              </w:rPr>
            </w:pPr>
          </w:p>
        </w:tc>
        <w:tc>
          <w:tcPr>
            <w:tcW w:w="1161" w:type="dxa"/>
            <w:vAlign w:val="center"/>
          </w:tcPr>
          <w:p>
            <w:pPr>
              <w:spacing w:before="0" w:after="0" w:afterAutospacing="0"/>
              <w:ind w:right="0"/>
              <w:jc w:val="center"/>
              <w:textAlignment w:val="center"/>
              <w:rPr>
                <w:rFonts w:asciiTheme="minorEastAsia" w:hAnsiTheme="minorEastAsia" w:eastAsiaTheme="minorEastAsia" w:cstheme="minorEastAsia"/>
                <w:highlight w:val="none"/>
              </w:rPr>
            </w:pPr>
          </w:p>
        </w:tc>
        <w:tc>
          <w:tcPr>
            <w:tcW w:w="1161" w:type="dxa"/>
            <w:vAlign w:val="center"/>
          </w:tcPr>
          <w:p>
            <w:pPr>
              <w:widowControl w:val="0"/>
              <w:spacing w:before="0" w:after="0" w:afterAutospacing="0"/>
              <w:ind w:right="0"/>
              <w:jc w:val="center"/>
              <w:rPr>
                <w:rFonts w:asciiTheme="minorEastAsia" w:hAnsiTheme="minorEastAsia" w:eastAsiaTheme="minorEastAsia" w:cstheme="minorEastAsia"/>
                <w:highlight w:val="none"/>
              </w:rPr>
            </w:pPr>
          </w:p>
        </w:tc>
        <w:tc>
          <w:tcPr>
            <w:tcW w:w="1161" w:type="dxa"/>
            <w:vAlign w:val="center"/>
          </w:tcPr>
          <w:p>
            <w:pPr>
              <w:widowControl w:val="0"/>
              <w:spacing w:before="0" w:after="0" w:afterAutospacing="0"/>
              <w:ind w:right="0"/>
              <w:jc w:val="center"/>
              <w:rPr>
                <w:rFonts w:asciiTheme="minorEastAsia" w:hAnsiTheme="minorEastAsia" w:eastAsiaTheme="minorEastAsia" w:cstheme="minorEastAsia"/>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c>
          <w:tcPr>
            <w:tcW w:w="1161" w:type="dxa"/>
          </w:tcPr>
          <w:p>
            <w:pPr>
              <w:pStyle w:val="13"/>
              <w:spacing w:line="240" w:lineRule="auto"/>
              <w:ind w:right="-28"/>
              <w:rPr>
                <w:rFonts w:asciiTheme="minorEastAsia" w:hAnsiTheme="minorEastAsia" w:eastAsiaTheme="minorEastAsia" w:cstheme="minorEastAsia"/>
                <w:sz w:val="21"/>
                <w:szCs w:val="21"/>
                <w:highlight w:val="none"/>
              </w:rPr>
            </w:pPr>
          </w:p>
        </w:tc>
      </w:tr>
    </w:tbl>
    <w:p>
      <w:pPr>
        <w:pStyle w:val="13"/>
        <w:spacing w:line="240" w:lineRule="auto"/>
        <w:ind w:left="722" w:leftChars="200" w:right="-28" w:hanging="302" w:hangingChars="144"/>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说明：</w:t>
      </w:r>
    </w:p>
    <w:p>
      <w:pPr>
        <w:pStyle w:val="13"/>
        <w:spacing w:line="240" w:lineRule="auto"/>
        <w:ind w:left="722" w:leftChars="200" w:right="-28" w:hanging="302" w:hangingChars="144"/>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1.本通知未列明的性能参数等其他要求详见合同。</w:t>
      </w:r>
    </w:p>
    <w:p>
      <w:pPr>
        <w:pStyle w:val="13"/>
        <w:spacing w:line="240" w:lineRule="auto"/>
        <w:ind w:left="722" w:leftChars="200" w:right="-28" w:hanging="302" w:hangingChars="144"/>
        <w:rPr>
          <w:rFonts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2.本通知加盖</w:t>
      </w:r>
      <w:r>
        <w:rPr>
          <w:rFonts w:hint="eastAsia" w:asciiTheme="minorEastAsia" w:hAnsiTheme="minorEastAsia" w:eastAsiaTheme="minorEastAsia" w:cstheme="minorEastAsia"/>
          <w:sz w:val="21"/>
          <w:szCs w:val="21"/>
          <w:highlight w:val="none"/>
        </w:rPr>
        <w:t>南宁轨道交通运营有限公司工会委员会</w:t>
      </w:r>
      <w:r>
        <w:rPr>
          <w:rFonts w:hint="eastAsia" w:asciiTheme="minorEastAsia" w:hAnsiTheme="minorEastAsia" w:eastAsiaTheme="minorEastAsia" w:cstheme="minorEastAsia"/>
          <w:kern w:val="2"/>
          <w:sz w:val="21"/>
          <w:szCs w:val="21"/>
          <w:highlight w:val="none"/>
        </w:rPr>
        <w:t>XX部印章后有效，送货时携带纸质版一份。</w:t>
      </w:r>
    </w:p>
    <w:p>
      <w:pPr>
        <w:pStyle w:val="13"/>
        <w:spacing w:line="240" w:lineRule="auto"/>
        <w:ind w:left="722" w:leftChars="200" w:right="-28" w:hanging="302" w:hangingChars="144"/>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rPr>
        <w:t>3.本通知如有涂改须经甲方签名认可，否则无效。</w:t>
      </w:r>
    </w:p>
    <w:p>
      <w:pPr>
        <w:pStyle w:val="13"/>
        <w:spacing w:line="240" w:lineRule="auto"/>
        <w:ind w:left="722" w:leftChars="200" w:right="-28" w:hanging="302" w:hangingChars="144"/>
        <w:jc w:val="righ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南宁轨道交通运营有限公司工会委员会XX部</w:t>
      </w:r>
    </w:p>
    <w:p>
      <w:pPr>
        <w:spacing w:before="0" w:after="0" w:afterAutospacing="0" w:line="240" w:lineRule="auto"/>
        <w:ind w:right="-57" w:rightChars="-27"/>
        <w:jc w:val="right"/>
        <w:textAlignment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通知日期：      年    月    日</w:t>
      </w:r>
    </w:p>
    <w:p>
      <w:pPr>
        <w:rPr>
          <w:rFonts w:asciiTheme="minorEastAsia" w:hAnsiTheme="minorEastAsia" w:eastAsiaTheme="minorEastAsia" w:cstheme="minorEastAsia"/>
          <w:highlight w:val="none"/>
        </w:rPr>
      </w:pPr>
    </w:p>
    <w:p>
      <w:pPr>
        <w:pStyle w:val="13"/>
        <w:spacing w:line="240" w:lineRule="auto"/>
        <w:ind w:left="708" w:leftChars="200" w:right="-28" w:hanging="288" w:hangingChars="144"/>
        <w:rPr>
          <w:rFonts w:hAnsi="宋体"/>
          <w:highlight w:val="none"/>
        </w:rPr>
      </w:pPr>
    </w:p>
    <w:p>
      <w:pPr>
        <w:pStyle w:val="51"/>
        <w:pageBreakBefore/>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
        <w:spacing w:before="40" w:after="40" w:line="240" w:lineRule="auto"/>
        <w:jc w:val="center"/>
        <w:rPr>
          <w:rFonts w:ascii="Times New Roman" w:hAnsi="Times New Roman" w:eastAsia="宋体"/>
          <w:highlight w:val="none"/>
        </w:rPr>
      </w:pPr>
      <w:bookmarkStart w:id="1317" w:name="_Toc21089"/>
      <w:bookmarkStart w:id="1318" w:name="_Toc11620"/>
      <w:bookmarkStart w:id="1319" w:name="_Toc21062"/>
      <w:bookmarkStart w:id="1320" w:name="_Toc7611"/>
      <w:bookmarkStart w:id="1321" w:name="_Toc31984"/>
      <w:bookmarkStart w:id="1322" w:name="_Toc8409"/>
      <w:bookmarkStart w:id="1323" w:name="_Toc19999"/>
      <w:bookmarkStart w:id="1324" w:name="_Toc92268652"/>
      <w:bookmarkStart w:id="1325" w:name="_Toc7947"/>
      <w:bookmarkStart w:id="1326" w:name="_Toc400"/>
      <w:bookmarkStart w:id="1327" w:name="_Toc4002"/>
      <w:bookmarkStart w:id="1328" w:name="_Toc31674"/>
      <w:bookmarkStart w:id="1329" w:name="_Toc28181"/>
      <w:bookmarkStart w:id="1330" w:name="_Toc28540"/>
      <w:bookmarkStart w:id="1331" w:name="_Toc4390"/>
      <w:bookmarkStart w:id="1332" w:name="_Toc4971"/>
      <w:bookmarkStart w:id="1333" w:name="_Toc24244"/>
      <w:bookmarkStart w:id="1334" w:name="_Toc12449"/>
      <w:bookmarkStart w:id="1335" w:name="_Toc9137"/>
      <w:bookmarkStart w:id="1336" w:name="_Toc14945"/>
      <w:r>
        <w:rPr>
          <w:rFonts w:ascii="Times New Roman" w:hAnsi="Times New Roman" w:eastAsia="宋体"/>
          <w:highlight w:val="none"/>
        </w:rPr>
        <w:t>第</w:t>
      </w:r>
      <w:r>
        <w:rPr>
          <w:rFonts w:hint="eastAsia" w:ascii="Times New Roman" w:hAnsi="Times New Roman" w:eastAsia="宋体"/>
          <w:highlight w:val="none"/>
        </w:rPr>
        <w:t>七</w:t>
      </w:r>
      <w:r>
        <w:rPr>
          <w:rFonts w:ascii="Times New Roman" w:hAnsi="Times New Roman" w:eastAsia="宋体"/>
          <w:highlight w:val="none"/>
        </w:rPr>
        <w:t>部分</w:t>
      </w:r>
      <w:r>
        <w:rPr>
          <w:rFonts w:hint="eastAsia" w:ascii="Times New Roman" w:hAnsi="Times New Roman" w:eastAsia="宋体"/>
          <w:highlight w:val="none"/>
        </w:rPr>
        <w:t xml:space="preserve"> 招标文件</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51"/>
        <w:adjustRightInd/>
        <w:spacing w:before="0" w:after="0" w:line="360" w:lineRule="auto"/>
        <w:ind w:left="0" w:right="0"/>
        <w:rPr>
          <w:rFonts w:ascii="宋体" w:hAnsi="宋体"/>
          <w:sz w:val="21"/>
          <w:szCs w:val="21"/>
          <w:highlight w:val="none"/>
        </w:rPr>
      </w:pPr>
    </w:p>
    <w:p>
      <w:pPr>
        <w:snapToGrid w:val="0"/>
        <w:jc w:val="center"/>
        <w:rPr>
          <w:rFonts w:ascii="宋体" w:hAnsi="宋体"/>
          <w:b/>
          <w:sz w:val="28"/>
          <w:szCs w:val="28"/>
          <w:highlight w:val="none"/>
        </w:rPr>
      </w:pPr>
      <w:r>
        <w:rPr>
          <w:rFonts w:hint="eastAsia" w:ascii="宋体" w:hAnsi="宋体"/>
          <w:b/>
          <w:sz w:val="28"/>
          <w:szCs w:val="28"/>
          <w:highlight w:val="none"/>
        </w:rPr>
        <w:t>（另册）</w:t>
      </w:r>
    </w:p>
    <w:p>
      <w:pPr>
        <w:pStyle w:val="51"/>
        <w:adjustRightInd/>
        <w:spacing w:before="0" w:after="0" w:line="360" w:lineRule="auto"/>
        <w:ind w:left="0" w:right="0"/>
        <w:rPr>
          <w:rFonts w:ascii="宋体" w:hAnsi="宋体"/>
          <w:sz w:val="21"/>
          <w:szCs w:val="21"/>
          <w:highlight w:val="none"/>
        </w:rPr>
      </w:pPr>
    </w:p>
    <w:p>
      <w:pPr>
        <w:pStyle w:val="51"/>
        <w:pageBreakBefore/>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
        <w:spacing w:before="40" w:after="40" w:line="240" w:lineRule="auto"/>
        <w:jc w:val="center"/>
        <w:rPr>
          <w:rFonts w:ascii="Times New Roman" w:hAnsi="Times New Roman" w:eastAsia="宋体"/>
          <w:highlight w:val="none"/>
        </w:rPr>
      </w:pPr>
      <w:bookmarkStart w:id="1337" w:name="_Toc6886"/>
      <w:bookmarkStart w:id="1338" w:name="_Toc30461"/>
      <w:bookmarkStart w:id="1339" w:name="_Toc21928"/>
      <w:bookmarkStart w:id="1340" w:name="_Toc21475"/>
      <w:bookmarkStart w:id="1341" w:name="_Toc25835"/>
      <w:bookmarkStart w:id="1342" w:name="_Toc20173"/>
      <w:bookmarkStart w:id="1343" w:name="_Toc92268653"/>
      <w:bookmarkStart w:id="1344" w:name="_Toc30264"/>
      <w:bookmarkStart w:id="1345" w:name="_Toc17114"/>
      <w:bookmarkStart w:id="1346" w:name="_Toc30443"/>
      <w:bookmarkStart w:id="1347" w:name="_Toc21892"/>
      <w:bookmarkStart w:id="1348" w:name="_Toc26780"/>
      <w:bookmarkStart w:id="1349" w:name="_Toc2086"/>
      <w:bookmarkStart w:id="1350" w:name="_Toc4044"/>
      <w:bookmarkStart w:id="1351" w:name="_Toc26808"/>
      <w:bookmarkStart w:id="1352" w:name="_Toc16960"/>
      <w:bookmarkStart w:id="1353" w:name="_Toc9454"/>
      <w:bookmarkStart w:id="1354" w:name="_Toc26263"/>
      <w:bookmarkStart w:id="1355" w:name="_Toc28023"/>
      <w:bookmarkStart w:id="1356" w:name="_Toc12525"/>
      <w:r>
        <w:rPr>
          <w:rFonts w:ascii="Times New Roman" w:hAnsi="Times New Roman" w:eastAsia="宋体"/>
          <w:highlight w:val="none"/>
        </w:rPr>
        <w:t>第</w:t>
      </w:r>
      <w:r>
        <w:rPr>
          <w:rFonts w:hint="eastAsia" w:ascii="Times New Roman" w:hAnsi="Times New Roman" w:eastAsia="宋体"/>
          <w:highlight w:val="none"/>
        </w:rPr>
        <w:t>八</w:t>
      </w:r>
      <w:r>
        <w:rPr>
          <w:rFonts w:ascii="Times New Roman" w:hAnsi="Times New Roman" w:eastAsia="宋体"/>
          <w:highlight w:val="none"/>
        </w:rPr>
        <w:t>部分</w:t>
      </w:r>
      <w:r>
        <w:rPr>
          <w:rFonts w:hint="eastAsia" w:ascii="Times New Roman" w:hAnsi="Times New Roman" w:eastAsia="宋体"/>
          <w:highlight w:val="none"/>
        </w:rPr>
        <w:t xml:space="preserve"> 投标文件</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51"/>
        <w:adjustRightInd/>
        <w:spacing w:before="0" w:after="0" w:line="360" w:lineRule="auto"/>
        <w:ind w:left="0" w:right="0"/>
        <w:rPr>
          <w:rFonts w:ascii="宋体" w:hAnsi="宋体"/>
          <w:sz w:val="21"/>
          <w:szCs w:val="21"/>
          <w:highlight w:val="none"/>
        </w:rPr>
      </w:pPr>
    </w:p>
    <w:p>
      <w:pPr>
        <w:snapToGrid w:val="0"/>
        <w:jc w:val="center"/>
        <w:rPr>
          <w:rFonts w:ascii="宋体" w:hAnsi="宋体"/>
          <w:b/>
          <w:sz w:val="28"/>
          <w:szCs w:val="28"/>
          <w:highlight w:val="none"/>
        </w:rPr>
      </w:pPr>
      <w:r>
        <w:rPr>
          <w:rFonts w:hint="eastAsia" w:ascii="宋体" w:hAnsi="宋体"/>
          <w:b/>
          <w:sz w:val="28"/>
          <w:szCs w:val="28"/>
          <w:highlight w:val="none"/>
        </w:rPr>
        <w:t>（另册）</w:t>
      </w: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51"/>
        <w:adjustRightInd/>
        <w:spacing w:before="0" w:after="0" w:line="360" w:lineRule="auto"/>
        <w:ind w:left="0" w:right="0"/>
        <w:rPr>
          <w:rFonts w:ascii="宋体" w:hAnsi="宋体"/>
          <w:sz w:val="21"/>
          <w:szCs w:val="21"/>
          <w:highlight w:val="none"/>
        </w:rPr>
      </w:pPr>
    </w:p>
    <w:p>
      <w:pPr>
        <w:pStyle w:val="13"/>
        <w:rPr>
          <w:rFonts w:hAnsi="宋体"/>
          <w:highlight w:val="none"/>
        </w:rPr>
      </w:pPr>
    </w:p>
    <w:p>
      <w:pPr>
        <w:rPr>
          <w:highlight w:val="none"/>
        </w:rPr>
      </w:pPr>
    </w:p>
    <w:p>
      <w:pPr>
        <w:pStyle w:val="13"/>
        <w:ind w:left="0" w:right="-57" w:firstLine="0"/>
        <w:jc w:val="center"/>
        <w:rPr>
          <w:rStyle w:val="41"/>
          <w:rFonts w:ascii="宋体" w:hAnsi="宋体" w:eastAsia="宋体"/>
          <w:highlight w:val="none"/>
        </w:rPr>
      </w:pPr>
      <w:bookmarkStart w:id="1357" w:name="_Toc17053"/>
      <w:bookmarkStart w:id="1358" w:name="_Toc32598"/>
      <w:bookmarkStart w:id="1359" w:name="_Toc30995"/>
      <w:bookmarkStart w:id="1360" w:name="_Toc19183"/>
      <w:bookmarkStart w:id="1361" w:name="_Toc13977"/>
      <w:bookmarkStart w:id="1362" w:name="_Toc7107"/>
      <w:bookmarkStart w:id="1363" w:name="_Toc18374"/>
      <w:bookmarkStart w:id="1364" w:name="_Toc24401"/>
      <w:bookmarkStart w:id="1365" w:name="_Toc21299"/>
      <w:bookmarkStart w:id="1366" w:name="_Toc7757"/>
      <w:bookmarkStart w:id="1367" w:name="_Toc6236"/>
      <w:bookmarkStart w:id="1368" w:name="_Toc11081"/>
      <w:bookmarkStart w:id="1369" w:name="_Toc31793"/>
      <w:bookmarkStart w:id="1370" w:name="_Toc4088"/>
      <w:bookmarkStart w:id="1371" w:name="_Toc3823"/>
      <w:bookmarkStart w:id="1372" w:name="_Toc29043"/>
      <w:bookmarkStart w:id="1373" w:name="_Toc18868"/>
    </w:p>
    <w:p>
      <w:pPr>
        <w:pStyle w:val="13"/>
        <w:ind w:left="0" w:right="-57" w:firstLine="0"/>
        <w:jc w:val="center"/>
        <w:rPr>
          <w:rStyle w:val="41"/>
          <w:rFonts w:ascii="宋体" w:hAnsi="宋体" w:eastAsia="宋体"/>
          <w:highlight w:val="none"/>
        </w:rPr>
      </w:pPr>
    </w:p>
    <w:p>
      <w:pPr>
        <w:pStyle w:val="13"/>
        <w:ind w:left="0" w:right="-57" w:firstLine="0"/>
        <w:jc w:val="center"/>
        <w:rPr>
          <w:rStyle w:val="41"/>
          <w:rFonts w:ascii="宋体" w:hAnsi="宋体" w:eastAsia="宋体"/>
          <w:highlight w:val="none"/>
        </w:rPr>
      </w:pPr>
    </w:p>
    <w:p>
      <w:pPr>
        <w:pStyle w:val="13"/>
        <w:ind w:left="0" w:right="-57" w:firstLine="0"/>
        <w:jc w:val="center"/>
        <w:outlineLvl w:val="0"/>
        <w:rPr>
          <w:rStyle w:val="41"/>
          <w:rFonts w:ascii="宋体" w:hAnsi="宋体" w:eastAsia="宋体"/>
          <w:highlight w:val="none"/>
        </w:rPr>
      </w:pPr>
      <w:bookmarkStart w:id="1374" w:name="_Toc6988"/>
      <w:bookmarkStart w:id="1375" w:name="_Toc20308"/>
      <w:r>
        <w:rPr>
          <w:rStyle w:val="41"/>
          <w:rFonts w:hint="eastAsia" w:ascii="宋体" w:hAnsi="宋体" w:eastAsia="宋体"/>
          <w:highlight w:val="none"/>
        </w:rPr>
        <w:t>第五章 投标文件格式</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keepNext/>
        <w:keepLines/>
        <w:spacing w:before="60" w:after="60" w:line="413" w:lineRule="auto"/>
        <w:rPr>
          <w:highlight w:val="none"/>
        </w:rPr>
      </w:pPr>
      <w:bookmarkStart w:id="1376" w:name="_Toc17102"/>
      <w:bookmarkStart w:id="1377" w:name="_Toc24805"/>
      <w:bookmarkStart w:id="1378" w:name="_Toc13264"/>
      <w:bookmarkStart w:id="1379" w:name="_Toc27293"/>
      <w:bookmarkStart w:id="1380" w:name="_Toc6726"/>
      <w:bookmarkStart w:id="1381" w:name="_Toc30963"/>
      <w:bookmarkStart w:id="1382" w:name="_Toc29597"/>
      <w:bookmarkStart w:id="1383" w:name="_Toc11413"/>
      <w:bookmarkStart w:id="1384" w:name="_Toc20064"/>
      <w:bookmarkStart w:id="1385" w:name="_Toc23972"/>
      <w:bookmarkStart w:id="1386" w:name="_Toc29624"/>
      <w:bookmarkStart w:id="1387" w:name="_Toc22028"/>
      <w:bookmarkStart w:id="1388" w:name="_Toc26049"/>
      <w:bookmarkStart w:id="1389" w:name="_Toc3629"/>
      <w:bookmarkStart w:id="1390" w:name="_Toc23683"/>
      <w:bookmarkStart w:id="1391" w:name="_Toc25296"/>
      <w:bookmarkStart w:id="1392" w:name="_Toc361"/>
      <w:bookmarkStart w:id="1393" w:name="_Toc3396"/>
      <w:bookmarkStart w:id="1394" w:name="_Toc16671"/>
      <w:bookmarkStart w:id="1395" w:name="_Toc414290520"/>
      <w:bookmarkStart w:id="1396" w:name="_Toc25325"/>
      <w:bookmarkStart w:id="1397" w:name="_Toc31624"/>
      <w:bookmarkStart w:id="1398" w:name="_Toc4873"/>
      <w:bookmarkStart w:id="1399" w:name="_Toc4027"/>
      <w:bookmarkStart w:id="1400" w:name="_Toc30705"/>
      <w:bookmarkStart w:id="1401" w:name="_Toc19412"/>
      <w:bookmarkStart w:id="1402" w:name="_Toc23261"/>
      <w:bookmarkStart w:id="1403" w:name="_Toc6941"/>
      <w:bookmarkStart w:id="1404" w:name="_Toc24824"/>
      <w:bookmarkStart w:id="1405" w:name="_Toc32185"/>
      <w:bookmarkStart w:id="1406" w:name="_Toc492478802"/>
      <w:bookmarkStart w:id="1407" w:name="_Toc22709"/>
      <w:bookmarkStart w:id="1408" w:name="_Toc24453"/>
      <w:bookmarkStart w:id="1409" w:name="_Toc21274"/>
      <w:bookmarkStart w:id="1410" w:name="_Toc12983549"/>
      <w:bookmarkStart w:id="1411" w:name="_Toc12984805"/>
      <w:bookmarkStart w:id="1412" w:name="_Toc31535"/>
    </w:p>
    <w:p>
      <w:pPr>
        <w:keepNext/>
        <w:keepLines/>
        <w:spacing w:before="60" w:after="60" w:line="413" w:lineRule="auto"/>
        <w:rPr>
          <w:highlight w:val="none"/>
        </w:rPr>
      </w:pPr>
    </w:p>
    <w:p>
      <w:pPr>
        <w:keepNext/>
        <w:keepLines/>
        <w:spacing w:before="60" w:after="60" w:line="413" w:lineRule="auto"/>
        <w:rPr>
          <w:highlight w:val="none"/>
        </w:rPr>
      </w:pPr>
    </w:p>
    <w:p>
      <w:pPr>
        <w:keepNext/>
        <w:keepLines/>
        <w:spacing w:before="60" w:after="60" w:line="413" w:lineRule="auto"/>
        <w:rPr>
          <w:highlight w:val="none"/>
        </w:rPr>
      </w:pPr>
    </w:p>
    <w:p>
      <w:pPr>
        <w:keepNext/>
        <w:keepLines/>
        <w:spacing w:before="60" w:after="60" w:line="413" w:lineRule="auto"/>
        <w:rPr>
          <w:highlight w:val="none"/>
        </w:rPr>
      </w:pPr>
    </w:p>
    <w:bookmarkEnd w:id="1376"/>
    <w:bookmarkEnd w:id="1377"/>
    <w:p>
      <w:pPr>
        <w:keepNext/>
        <w:keepLines/>
        <w:spacing w:before="60" w:after="60" w:line="413" w:lineRule="auto"/>
        <w:outlineLvl w:val="1"/>
        <w:rPr>
          <w:highlight w:val="none"/>
        </w:rPr>
        <w:sectPr>
          <w:pgSz w:w="11905" w:h="16838"/>
          <w:pgMar w:top="1417" w:right="1417" w:bottom="1417" w:left="1417" w:header="454" w:footer="567" w:gutter="0"/>
          <w:pgNumType w:fmt="decimal"/>
          <w:cols w:space="720" w:num="1"/>
          <w:docGrid w:linePitch="312" w:charSpace="0"/>
        </w:sectPr>
      </w:pPr>
    </w:p>
    <w:p>
      <w:pPr>
        <w:pStyle w:val="2"/>
        <w:ind w:firstLine="480"/>
        <w:rPr>
          <w:rFonts w:eastAsia="宋体"/>
          <w:highlight w:val="none"/>
        </w:rPr>
      </w:pPr>
      <w:r>
        <w:rPr>
          <w:rFonts w:hint="eastAsia" w:eastAsia="宋体"/>
          <w:highlight w:val="none"/>
        </w:rPr>
        <w:t xml:space="preserve">                                                       正本/副本</w:t>
      </w:r>
    </w:p>
    <w:p>
      <w:pPr>
        <w:jc w:val="center"/>
        <w:rPr>
          <w:rFonts w:ascii="宋体" w:hAnsi="宋体"/>
          <w:sz w:val="28"/>
          <w:szCs w:val="28"/>
          <w:highlight w:val="none"/>
          <w:u w:val="single"/>
        </w:rPr>
      </w:pPr>
    </w:p>
    <w:p>
      <w:pPr>
        <w:jc w:val="center"/>
        <w:rPr>
          <w:rFonts w:ascii="宋体" w:hAnsi="宋体"/>
          <w:sz w:val="28"/>
          <w:szCs w:val="28"/>
          <w:highlight w:val="none"/>
        </w:rPr>
      </w:pPr>
      <w:r>
        <w:rPr>
          <w:rFonts w:ascii="宋体" w:hAnsi="宋体"/>
          <w:sz w:val="28"/>
          <w:szCs w:val="28"/>
          <w:highlight w:val="none"/>
          <w:u w:val="single"/>
        </w:rPr>
        <w:t>（项目名称）</w:t>
      </w:r>
      <w:r>
        <w:rPr>
          <w:rFonts w:hint="eastAsia" w:ascii="宋体" w:hAnsi="宋体"/>
          <w:sz w:val="28"/>
          <w:szCs w:val="28"/>
          <w:highlight w:val="none"/>
          <w:u w:val="single"/>
        </w:rPr>
        <w:t>项目</w:t>
      </w:r>
    </w:p>
    <w:p>
      <w:pPr>
        <w:spacing w:before="240" w:beforeLines="100"/>
        <w:jc w:val="center"/>
        <w:rPr>
          <w:rFonts w:ascii="宋体" w:hAnsi="宋体"/>
          <w:sz w:val="56"/>
          <w:szCs w:val="56"/>
          <w:highlight w:val="none"/>
        </w:rPr>
      </w:pPr>
      <w:r>
        <w:rPr>
          <w:rFonts w:ascii="宋体" w:hAnsi="宋体"/>
          <w:sz w:val="56"/>
          <w:szCs w:val="56"/>
          <w:highlight w:val="none"/>
        </w:rPr>
        <w:t>投  标  文  件</w:t>
      </w:r>
    </w:p>
    <w:p>
      <w:pPr>
        <w:jc w:val="center"/>
        <w:outlineLvl w:val="1"/>
        <w:rPr>
          <w:rFonts w:ascii="宋体" w:hAnsi="宋体"/>
          <w:sz w:val="36"/>
          <w:szCs w:val="36"/>
          <w:highlight w:val="none"/>
          <w:u w:val="single"/>
        </w:rPr>
      </w:pPr>
      <w:bookmarkStart w:id="1413" w:name="_Toc27985"/>
      <w:bookmarkStart w:id="1414" w:name="_Toc31977"/>
      <w:bookmarkStart w:id="1415" w:name="_Toc24010"/>
      <w:bookmarkStart w:id="1416" w:name="_Toc18051"/>
      <w:bookmarkStart w:id="1417" w:name="_Toc5776"/>
      <w:r>
        <w:rPr>
          <w:rFonts w:hint="eastAsia" w:ascii="宋体" w:hAnsi="宋体"/>
          <w:sz w:val="36"/>
          <w:szCs w:val="36"/>
          <w:highlight w:val="none"/>
          <w:u w:val="single"/>
        </w:rPr>
        <w:t>资格审查文件</w:t>
      </w:r>
      <w:bookmarkEnd w:id="1413"/>
      <w:bookmarkEnd w:id="1414"/>
      <w:bookmarkEnd w:id="1415"/>
      <w:bookmarkEnd w:id="1416"/>
      <w:bookmarkEnd w:id="1417"/>
    </w:p>
    <w:p>
      <w:pPr>
        <w:ind w:firstLine="2380" w:firstLineChars="850"/>
        <w:rPr>
          <w:rFonts w:ascii="宋体" w:hAnsi="宋体"/>
          <w:sz w:val="28"/>
          <w:szCs w:val="28"/>
          <w:highlight w:val="none"/>
        </w:rPr>
      </w:pPr>
    </w:p>
    <w:p>
      <w:pPr>
        <w:ind w:firstLine="2380" w:firstLineChars="850"/>
        <w:rPr>
          <w:rFonts w:ascii="宋体" w:hAnsi="宋体"/>
          <w:sz w:val="28"/>
          <w:szCs w:val="28"/>
          <w:highlight w:val="none"/>
          <w:u w:val="single"/>
        </w:rPr>
      </w:pPr>
      <w:r>
        <w:rPr>
          <w:rFonts w:hint="eastAsia" w:ascii="宋体" w:hAnsi="宋体"/>
          <w:sz w:val="28"/>
          <w:szCs w:val="28"/>
          <w:highlight w:val="none"/>
        </w:rPr>
        <w:t>项目</w:t>
      </w:r>
      <w:r>
        <w:rPr>
          <w:rFonts w:ascii="宋体" w:hAnsi="宋体"/>
          <w:sz w:val="28"/>
          <w:szCs w:val="28"/>
          <w:highlight w:val="none"/>
        </w:rPr>
        <w:t>编号：</w:t>
      </w:r>
      <w:r>
        <w:rPr>
          <w:rFonts w:hint="eastAsia" w:ascii="宋体" w:hAnsi="宋体"/>
          <w:sz w:val="28"/>
          <w:szCs w:val="28"/>
          <w:highlight w:val="none"/>
          <w:u w:val="single"/>
        </w:rPr>
        <w:t xml:space="preserve">                </w:t>
      </w:r>
    </w:p>
    <w:p>
      <w:pPr>
        <w:jc w:val="center"/>
        <w:rPr>
          <w:rFonts w:ascii="宋体" w:hAnsi="宋体"/>
          <w:sz w:val="32"/>
          <w:szCs w:val="32"/>
          <w:highlight w:val="none"/>
        </w:rPr>
      </w:pPr>
    </w:p>
    <w:p>
      <w:pPr>
        <w:jc w:val="center"/>
        <w:rPr>
          <w:rFonts w:ascii="宋体" w:hAnsi="宋体"/>
          <w:sz w:val="32"/>
          <w:szCs w:val="32"/>
          <w:highlight w:val="none"/>
        </w:rPr>
      </w:pPr>
    </w:p>
    <w:p>
      <w:pPr>
        <w:ind w:firstLine="1400" w:firstLineChars="500"/>
        <w:rPr>
          <w:rFonts w:ascii="宋体" w:hAnsi="宋体"/>
          <w:sz w:val="28"/>
          <w:szCs w:val="28"/>
          <w:highlight w:val="none"/>
        </w:rPr>
      </w:pPr>
      <w:r>
        <w:rPr>
          <w:rFonts w:ascii="宋体" w:hAnsi="宋体"/>
          <w:sz w:val="28"/>
          <w:szCs w:val="28"/>
          <w:highlight w:val="none"/>
        </w:rPr>
        <w:t>投标人：</w:t>
      </w:r>
      <w:r>
        <w:rPr>
          <w:rFonts w:hint="eastAsia" w:ascii="宋体" w:hAnsi="宋体"/>
          <w:sz w:val="28"/>
          <w:szCs w:val="28"/>
          <w:highlight w:val="none"/>
          <w:u w:val="single"/>
        </w:rPr>
        <w:t xml:space="preserve">                      </w:t>
      </w:r>
      <w:r>
        <w:rPr>
          <w:rFonts w:ascii="宋体" w:hAnsi="宋体"/>
          <w:sz w:val="28"/>
          <w:szCs w:val="28"/>
          <w:highlight w:val="none"/>
          <w:u w:val="single"/>
        </w:rPr>
        <w:t>（</w:t>
      </w:r>
      <w:r>
        <w:rPr>
          <w:rFonts w:ascii="宋体" w:hAnsi="宋体"/>
          <w:sz w:val="28"/>
          <w:szCs w:val="28"/>
          <w:highlight w:val="none"/>
        </w:rPr>
        <w:t>盖单位</w:t>
      </w:r>
      <w:r>
        <w:rPr>
          <w:rFonts w:hint="eastAsia" w:ascii="宋体" w:hAnsi="宋体"/>
          <w:sz w:val="28"/>
          <w:szCs w:val="28"/>
          <w:highlight w:val="none"/>
        </w:rPr>
        <w:t>公</w:t>
      </w:r>
      <w:r>
        <w:rPr>
          <w:rFonts w:ascii="宋体" w:hAnsi="宋体"/>
          <w:sz w:val="28"/>
          <w:szCs w:val="28"/>
          <w:highlight w:val="none"/>
        </w:rPr>
        <w:t>章）</w:t>
      </w:r>
    </w:p>
    <w:p>
      <w:pPr>
        <w:ind w:firstLine="1400" w:firstLineChars="500"/>
        <w:rPr>
          <w:rFonts w:ascii="宋体" w:hAnsi="宋体"/>
          <w:sz w:val="28"/>
          <w:szCs w:val="28"/>
          <w:highlight w:val="none"/>
        </w:rPr>
      </w:pPr>
      <w:r>
        <w:rPr>
          <w:rFonts w:hint="eastAsia" w:ascii="宋体" w:hAnsi="宋体"/>
          <w:sz w:val="28"/>
          <w:szCs w:val="28"/>
          <w:highlight w:val="none"/>
        </w:rPr>
        <w:t>法定代表人或其委托代理人</w:t>
      </w:r>
      <w:r>
        <w:rPr>
          <w:rFonts w:ascii="宋体" w:hAnsi="宋体"/>
          <w:sz w:val="28"/>
          <w:szCs w:val="28"/>
          <w:highlight w:val="none"/>
        </w:rPr>
        <w:t>：</w:t>
      </w:r>
      <w:r>
        <w:rPr>
          <w:rFonts w:hint="eastAsia" w:ascii="宋体" w:hAnsi="宋体"/>
          <w:sz w:val="28"/>
          <w:szCs w:val="28"/>
          <w:highlight w:val="none"/>
          <w:u w:val="single"/>
        </w:rPr>
        <w:t xml:space="preserve">     </w:t>
      </w:r>
      <w:r>
        <w:rPr>
          <w:rFonts w:ascii="宋体" w:hAnsi="宋体"/>
          <w:sz w:val="28"/>
          <w:szCs w:val="28"/>
          <w:highlight w:val="none"/>
        </w:rPr>
        <w:t>（签字</w:t>
      </w:r>
      <w:r>
        <w:rPr>
          <w:rFonts w:hint="eastAsia" w:ascii="宋体" w:hAnsi="宋体"/>
          <w:sz w:val="28"/>
          <w:szCs w:val="28"/>
          <w:highlight w:val="none"/>
        </w:rPr>
        <w:t>或盖章</w:t>
      </w:r>
      <w:r>
        <w:rPr>
          <w:rFonts w:ascii="宋体" w:hAnsi="宋体"/>
          <w:sz w:val="28"/>
          <w:szCs w:val="28"/>
          <w:highlight w:val="none"/>
        </w:rPr>
        <w:t>）</w:t>
      </w:r>
    </w:p>
    <w:p>
      <w:pPr>
        <w:rPr>
          <w:rFonts w:ascii="宋体" w:hAnsi="宋体"/>
          <w:sz w:val="28"/>
          <w:szCs w:val="28"/>
          <w:highlight w:val="none"/>
        </w:rPr>
      </w:pPr>
    </w:p>
    <w:p>
      <w:pPr>
        <w:ind w:left="0" w:firstLine="3640" w:firstLineChars="1300"/>
        <w:rPr>
          <w:rFonts w:ascii="宋体" w:hAnsi="宋体"/>
          <w:sz w:val="28"/>
          <w:szCs w:val="28"/>
          <w:highlight w:val="none"/>
        </w:rPr>
      </w:pPr>
      <w:r>
        <w:rPr>
          <w:rFonts w:ascii="宋体" w:hAnsi="宋体"/>
          <w:sz w:val="28"/>
          <w:szCs w:val="28"/>
          <w:highlight w:val="none"/>
        </w:rPr>
        <w:t>年</w:t>
      </w:r>
      <w:r>
        <w:rPr>
          <w:rFonts w:hint="eastAsia" w:ascii="宋体" w:hAnsi="宋体"/>
          <w:sz w:val="28"/>
          <w:szCs w:val="28"/>
          <w:highlight w:val="none"/>
        </w:rPr>
        <w:t xml:space="preserve"> </w:t>
      </w:r>
      <w:r>
        <w:rPr>
          <w:rFonts w:ascii="宋体" w:hAnsi="宋体"/>
          <w:sz w:val="28"/>
          <w:szCs w:val="28"/>
          <w:highlight w:val="none"/>
        </w:rPr>
        <w:t xml:space="preserve">  </w:t>
      </w:r>
      <w:r>
        <w:rPr>
          <w:rFonts w:hint="eastAsia" w:ascii="宋体" w:hAnsi="宋体"/>
          <w:sz w:val="28"/>
          <w:szCs w:val="28"/>
          <w:highlight w:val="none"/>
        </w:rPr>
        <w:t xml:space="preserve"> </w:t>
      </w:r>
      <w:r>
        <w:rPr>
          <w:rFonts w:ascii="宋体" w:hAnsi="宋体"/>
          <w:sz w:val="28"/>
          <w:szCs w:val="28"/>
          <w:highlight w:val="none"/>
        </w:rPr>
        <w:t>月</w:t>
      </w:r>
      <w:r>
        <w:rPr>
          <w:rFonts w:hint="eastAsia" w:ascii="宋体" w:hAnsi="宋体"/>
          <w:sz w:val="28"/>
          <w:szCs w:val="28"/>
          <w:highlight w:val="none"/>
        </w:rPr>
        <w:t xml:space="preserve">    日</w:t>
      </w:r>
    </w:p>
    <w:p>
      <w:pPr>
        <w:tabs>
          <w:tab w:val="left" w:pos="1134"/>
        </w:tabs>
        <w:spacing w:before="0" w:after="0" w:afterAutospacing="0"/>
        <w:ind w:left="0" w:right="0" w:firstLine="560" w:firstLineChars="200"/>
        <w:jc w:val="center"/>
        <w:rPr>
          <w:rFonts w:hAnsi="宋体"/>
          <w:b/>
          <w:sz w:val="28"/>
          <w:szCs w:val="28"/>
          <w:highlight w:val="none"/>
        </w:rPr>
      </w:pPr>
      <w:r>
        <w:rPr>
          <w:rFonts w:ascii="宋体" w:hAnsi="宋体"/>
          <w:sz w:val="28"/>
          <w:szCs w:val="28"/>
          <w:highlight w:val="none"/>
        </w:rPr>
        <w:br w:type="page"/>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Fonts w:hint="eastAsia" w:hAnsi="宋体"/>
          <w:b/>
          <w:sz w:val="28"/>
          <w:szCs w:val="28"/>
          <w:highlight w:val="none"/>
        </w:rPr>
        <w:t>目录</w:t>
      </w:r>
    </w:p>
    <w:p>
      <w:pPr>
        <w:tabs>
          <w:tab w:val="left" w:pos="1134"/>
        </w:tabs>
        <w:spacing w:before="0" w:after="0" w:afterAutospacing="0"/>
        <w:ind w:left="0" w:right="0" w:firstLine="420" w:firstLineChars="200"/>
        <w:rPr>
          <w:highlight w:val="none"/>
        </w:rPr>
      </w:pPr>
      <w:r>
        <w:rPr>
          <w:rFonts w:hint="eastAsia" w:hAnsi="宋体"/>
          <w:highlight w:val="none"/>
        </w:rPr>
        <w:t>（1）法定代表人授权书（格式见A1）及法定代表人资格证明书（格式见A2），法定代表人及委托代理人身份证复印件；（如无授权时，只需提供法定代表人资格证明书和法定代表人身份证复印件。）</w:t>
      </w:r>
    </w:p>
    <w:p>
      <w:pPr>
        <w:tabs>
          <w:tab w:val="left" w:pos="1134"/>
        </w:tabs>
        <w:spacing w:before="0" w:after="0" w:afterAutospacing="0"/>
        <w:ind w:left="0" w:right="0" w:firstLine="420" w:firstLineChars="200"/>
        <w:rPr>
          <w:rFonts w:hAnsi="宋体"/>
          <w:highlight w:val="none"/>
        </w:rPr>
      </w:pPr>
      <w:r>
        <w:rPr>
          <w:rFonts w:hint="eastAsia" w:hAnsi="宋体"/>
          <w:highlight w:val="none"/>
        </w:rPr>
        <w:t>（2）</w:t>
      </w:r>
      <w:r>
        <w:rPr>
          <w:rFonts w:hint="eastAsia"/>
          <w:highlight w:val="none"/>
        </w:rPr>
        <w:t>投标人有效的</w:t>
      </w:r>
      <w:r>
        <w:rPr>
          <w:rFonts w:hint="eastAsia" w:ascii="宋体" w:hAnsi="宋体"/>
          <w:highlight w:val="none"/>
        </w:rPr>
        <w:t>营业执照副本或事业单位法人证书等证明文件复印件</w:t>
      </w:r>
      <w:r>
        <w:rPr>
          <w:rFonts w:hint="eastAsia" w:hAnsi="宋体"/>
          <w:highlight w:val="none"/>
        </w:rPr>
        <w:t>；</w:t>
      </w:r>
    </w:p>
    <w:p>
      <w:pPr>
        <w:tabs>
          <w:tab w:val="left" w:pos="1134"/>
        </w:tabs>
        <w:spacing w:before="0" w:after="0" w:afterAutospacing="0"/>
        <w:ind w:left="0" w:right="0" w:firstLine="420" w:firstLineChars="200"/>
        <w:rPr>
          <w:highlight w:val="none"/>
        </w:rPr>
      </w:pPr>
      <w:r>
        <w:rPr>
          <w:rFonts w:hint="eastAsia"/>
          <w:highlight w:val="none"/>
        </w:rPr>
        <w:t>（3）投标人须具有有效的《食品经营许可证》</w:t>
      </w:r>
      <w:r>
        <w:rPr>
          <w:rFonts w:hint="eastAsia" w:ascii="宋体" w:hAnsi="宋体"/>
          <w:b/>
          <w:highlight w:val="none"/>
        </w:rPr>
        <w:t>（如《食品经营许可证》为下属门店或机构的，则由投标人出具相关证明）</w:t>
      </w:r>
      <w:r>
        <w:rPr>
          <w:rFonts w:hint="eastAsia"/>
          <w:highlight w:val="none"/>
        </w:rPr>
        <w:t>或仅销售预包装食品经营者备案等类似证明材料；</w:t>
      </w:r>
    </w:p>
    <w:p>
      <w:pPr>
        <w:spacing w:before="0" w:after="0" w:afterAutospacing="0"/>
        <w:ind w:left="0" w:right="0" w:firstLine="420" w:firstLineChars="200"/>
        <w:rPr>
          <w:rFonts w:hAnsi="宋体"/>
          <w:highlight w:val="none"/>
        </w:rPr>
      </w:pPr>
      <w:r>
        <w:rPr>
          <w:rFonts w:hint="eastAsia" w:hAnsi="宋体"/>
          <w:highlight w:val="none"/>
        </w:rPr>
        <w:t>（4）</w:t>
      </w:r>
      <w:r>
        <w:rPr>
          <w:rFonts w:hAnsi="宋体"/>
          <w:highlight w:val="none"/>
        </w:rPr>
        <w:t>承诺书（格式见</w:t>
      </w:r>
      <w:r>
        <w:rPr>
          <w:highlight w:val="none"/>
        </w:rPr>
        <w:t>A</w:t>
      </w:r>
      <w:r>
        <w:rPr>
          <w:rFonts w:hint="eastAsia"/>
          <w:highlight w:val="none"/>
        </w:rPr>
        <w:t>3</w:t>
      </w:r>
      <w:r>
        <w:rPr>
          <w:rFonts w:hAnsi="宋体"/>
          <w:highlight w:val="none"/>
        </w:rPr>
        <w:t>）；</w:t>
      </w:r>
    </w:p>
    <w:p>
      <w:pPr>
        <w:spacing w:before="0" w:after="0" w:afterAutospacing="0"/>
        <w:ind w:left="0" w:right="0" w:firstLine="420" w:firstLineChars="200"/>
        <w:rPr>
          <w:rFonts w:hAnsi="宋体"/>
          <w:highlight w:val="none"/>
        </w:rPr>
      </w:pPr>
      <w:r>
        <w:rPr>
          <w:rFonts w:hint="eastAsia" w:hAnsi="宋体"/>
          <w:highlight w:val="none"/>
        </w:rPr>
        <w:t>（5）投标人认为应提交的其他投标资料（如有）。</w:t>
      </w:r>
    </w:p>
    <w:p>
      <w:pPr>
        <w:spacing w:before="0" w:after="0" w:afterAutospacing="0"/>
        <w:ind w:left="0" w:right="0" w:firstLine="420" w:firstLineChars="200"/>
        <w:rPr>
          <w:rFonts w:hAnsi="宋体"/>
          <w:highlight w:val="none"/>
        </w:rPr>
        <w:sectPr>
          <w:pgSz w:w="11905" w:h="16838"/>
          <w:pgMar w:top="1417" w:right="1417" w:bottom="1417" w:left="1417" w:header="454" w:footer="567" w:gutter="0"/>
          <w:pgNumType w:fmt="decimal"/>
          <w:cols w:space="720" w:num="1"/>
          <w:docGrid w:linePitch="312" w:charSpace="0"/>
        </w:sectPr>
      </w:pPr>
      <w:r>
        <w:rPr>
          <w:rFonts w:hint="eastAsia" w:hAnsi="宋体"/>
          <w:highlight w:val="none"/>
        </w:rPr>
        <w:t>注：以上提供的复印件必须加盖投标人公章。</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ageBreakBefore/>
        <w:numPr>
          <w:ilvl w:val="255"/>
          <w:numId w:val="0"/>
        </w:numPr>
        <w:snapToGrid w:val="0"/>
        <w:spacing w:before="0" w:after="0" w:afterAutospacing="0" w:line="240" w:lineRule="auto"/>
        <w:ind w:right="0"/>
        <w:jc w:val="left"/>
        <w:outlineLvl w:val="2"/>
        <w:rPr>
          <w:rFonts w:ascii="宋体" w:hAnsi="宋体"/>
          <w:b/>
          <w:highlight w:val="none"/>
        </w:rPr>
      </w:pPr>
      <w:bookmarkStart w:id="1418" w:name="_Toc7057"/>
      <w:bookmarkStart w:id="1419" w:name="_Toc15696"/>
      <w:bookmarkStart w:id="1420" w:name="_Toc4125"/>
      <w:bookmarkStart w:id="1421" w:name="_Toc8868"/>
      <w:bookmarkStart w:id="1422" w:name="_Toc9658"/>
      <w:bookmarkStart w:id="1423" w:name="_Toc32455"/>
      <w:bookmarkStart w:id="1424" w:name="_Toc10789"/>
      <w:bookmarkStart w:id="1425" w:name="_Toc956"/>
      <w:bookmarkStart w:id="1426" w:name="_Toc10238"/>
      <w:bookmarkStart w:id="1427" w:name="_Toc13389"/>
      <w:bookmarkStart w:id="1428" w:name="_Toc20671"/>
      <w:bookmarkStart w:id="1429" w:name="_Toc24436"/>
      <w:bookmarkStart w:id="1430" w:name="_Toc12984807"/>
      <w:bookmarkStart w:id="1431" w:name="_Toc20029"/>
      <w:bookmarkStart w:id="1432" w:name="_Toc3499"/>
      <w:bookmarkStart w:id="1433" w:name="_Toc414290522"/>
      <w:bookmarkStart w:id="1434" w:name="_Toc375564351"/>
      <w:bookmarkStart w:id="1435" w:name="_Toc492478804"/>
      <w:bookmarkStart w:id="1436" w:name="_Toc16089"/>
      <w:bookmarkStart w:id="1437" w:name="_Toc10433"/>
      <w:bookmarkStart w:id="1438" w:name="_Toc20283"/>
      <w:bookmarkStart w:id="1439" w:name="_Toc22533"/>
      <w:r>
        <w:rPr>
          <w:rFonts w:hint="eastAsia" w:ascii="宋体" w:hAnsi="宋体"/>
          <w:b/>
          <w:highlight w:val="none"/>
        </w:rPr>
        <w:t xml:space="preserve">A1 </w:t>
      </w:r>
      <w:r>
        <w:rPr>
          <w:rFonts w:ascii="宋体" w:hAnsi="宋体"/>
          <w:b/>
          <w:highlight w:val="none"/>
        </w:rPr>
        <w:t>法定代表人授权书格式</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spacing w:before="240" w:after="240"/>
        <w:ind w:right="0" w:firstLine="0"/>
        <w:jc w:val="center"/>
        <w:rPr>
          <w:rFonts w:ascii="宋体" w:hAnsi="宋体"/>
          <w:b/>
          <w:sz w:val="32"/>
          <w:szCs w:val="32"/>
          <w:highlight w:val="none"/>
        </w:rPr>
      </w:pPr>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法定代表人授权书</w:t>
      </w:r>
    </w:p>
    <w:p>
      <w:pPr>
        <w:spacing w:before="0" w:after="0" w:afterAutospacing="0"/>
        <w:ind w:left="619" w:right="0" w:hanging="619" w:hangingChars="295"/>
        <w:rPr>
          <w:rFonts w:ascii="宋体" w:hAnsi="宋体"/>
          <w:highlight w:val="none"/>
        </w:rPr>
      </w:pPr>
      <w:r>
        <w:rPr>
          <w:rFonts w:ascii="宋体" w:hAnsi="宋体"/>
          <w:highlight w:val="none"/>
        </w:rPr>
        <w:t>致：</w:t>
      </w:r>
      <w:r>
        <w:rPr>
          <w:rFonts w:hint="eastAsia" w:ascii="宋体" w:hAnsi="宋体"/>
          <w:highlight w:val="none"/>
          <w:u w:val="single"/>
        </w:rPr>
        <w:t>南宁轨道交通运营有限公司工会委员会</w:t>
      </w:r>
    </w:p>
    <w:p>
      <w:pPr>
        <w:tabs>
          <w:tab w:val="left" w:pos="8364"/>
        </w:tabs>
        <w:snapToGrid w:val="0"/>
        <w:spacing w:before="0" w:after="0" w:afterAutospacing="0"/>
        <w:ind w:left="0" w:right="0" w:firstLine="420" w:firstLineChars="200"/>
        <w:jc w:val="left"/>
        <w:rPr>
          <w:rFonts w:ascii="宋体" w:hAnsi="宋体"/>
          <w:highlight w:val="none"/>
        </w:rPr>
      </w:pPr>
      <w:r>
        <w:rPr>
          <w:rFonts w:ascii="宋体" w:hAnsi="宋体"/>
          <w:highlight w:val="none"/>
        </w:rPr>
        <w:t>本授权书声明：注册于</w:t>
      </w:r>
      <w:r>
        <w:rPr>
          <w:rFonts w:ascii="宋体" w:hAnsi="宋体"/>
          <w:highlight w:val="none"/>
          <w:u w:val="single"/>
        </w:rPr>
        <w:t>(国家或地区)</w:t>
      </w:r>
      <w:r>
        <w:rPr>
          <w:rFonts w:ascii="宋体" w:hAnsi="宋体"/>
          <w:highlight w:val="none"/>
        </w:rPr>
        <w:t>的</w:t>
      </w:r>
      <w:r>
        <w:rPr>
          <w:rFonts w:ascii="宋体" w:hAnsi="宋体"/>
          <w:highlight w:val="none"/>
          <w:u w:val="single"/>
        </w:rPr>
        <w:t>（投标人名称）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w:t>
      </w:r>
      <w:r>
        <w:rPr>
          <w:rFonts w:hint="eastAsia" w:ascii="宋体" w:hAnsi="宋体"/>
          <w:highlight w:val="none"/>
          <w:u w:val="single"/>
        </w:rPr>
        <w:t>委托代理人</w:t>
      </w:r>
      <w:r>
        <w:rPr>
          <w:rFonts w:ascii="宋体" w:hAnsi="宋体"/>
          <w:highlight w:val="none"/>
          <w:u w:val="single"/>
        </w:rPr>
        <w:t>的姓名、职务）</w:t>
      </w:r>
      <w:r>
        <w:rPr>
          <w:rFonts w:ascii="宋体" w:hAnsi="宋体"/>
          <w:highlight w:val="none"/>
        </w:rPr>
        <w:t>为本公司的合法代理人，就</w:t>
      </w:r>
      <w:r>
        <w:rPr>
          <w:rFonts w:hint="eastAsia" w:ascii="宋体" w:hAnsi="宋体"/>
          <w:highlight w:val="none"/>
          <w:u w:val="single"/>
        </w:rPr>
        <w:t xml:space="preserve">       （项目名称）                       </w:t>
      </w:r>
      <w:r>
        <w:rPr>
          <w:rFonts w:ascii="宋体" w:hAnsi="宋体"/>
          <w:highlight w:val="none"/>
        </w:rPr>
        <w:t>项目</w:t>
      </w:r>
      <w:r>
        <w:rPr>
          <w:rFonts w:hint="eastAsia" w:ascii="宋体" w:hAnsi="宋体"/>
          <w:highlight w:val="none"/>
        </w:rPr>
        <w:t>（项目编号：        ）</w:t>
      </w:r>
      <w:r>
        <w:rPr>
          <w:rFonts w:ascii="宋体" w:hAnsi="宋体"/>
          <w:highlight w:val="none"/>
        </w:rPr>
        <w:t>的货物和服务的投标和合同执行，作为投标人代表以本公司的名义处理一切与之有关的事宜。</w:t>
      </w:r>
    </w:p>
    <w:p>
      <w:pPr>
        <w:tabs>
          <w:tab w:val="left" w:pos="8364"/>
        </w:tabs>
        <w:snapToGrid w:val="0"/>
        <w:spacing w:before="0" w:after="0" w:afterAutospacing="0"/>
        <w:ind w:left="0" w:right="0" w:firstLine="420" w:firstLineChars="200"/>
        <w:jc w:val="left"/>
        <w:rPr>
          <w:rFonts w:ascii="宋体" w:hAnsi="宋体"/>
          <w:highlight w:val="none"/>
        </w:rPr>
      </w:pPr>
      <w:r>
        <w:rPr>
          <w:rFonts w:ascii="宋体" w:hAnsi="宋体"/>
          <w:highlight w:val="none"/>
        </w:rPr>
        <w:t>本授权书于</w:t>
      </w:r>
      <w:r>
        <w:rPr>
          <w:rFonts w:hint="eastAsia" w:ascii="宋体" w:hAnsi="宋体"/>
          <w:highlight w:val="none"/>
          <w:u w:val="single"/>
        </w:rPr>
        <w:t>（填写）</w:t>
      </w:r>
      <w:r>
        <w:rPr>
          <w:rFonts w:ascii="宋体" w:hAnsi="宋体"/>
          <w:highlight w:val="none"/>
        </w:rPr>
        <w:t>年</w:t>
      </w:r>
      <w:r>
        <w:rPr>
          <w:rFonts w:hint="eastAsia" w:ascii="宋体" w:hAnsi="宋体"/>
          <w:highlight w:val="none"/>
          <w:u w:val="single"/>
        </w:rPr>
        <w:t>（填写）</w:t>
      </w:r>
      <w:r>
        <w:rPr>
          <w:rFonts w:ascii="宋体" w:hAnsi="宋体"/>
          <w:highlight w:val="none"/>
        </w:rPr>
        <w:t>月</w:t>
      </w:r>
      <w:r>
        <w:rPr>
          <w:rFonts w:hint="eastAsia" w:ascii="宋体" w:hAnsi="宋体"/>
          <w:highlight w:val="none"/>
          <w:u w:val="single"/>
        </w:rPr>
        <w:t>（填写）</w:t>
      </w:r>
      <w:r>
        <w:rPr>
          <w:rFonts w:ascii="宋体" w:hAnsi="宋体"/>
          <w:highlight w:val="none"/>
        </w:rPr>
        <w:t>日签字生效，特此声明。</w:t>
      </w:r>
    </w:p>
    <w:p>
      <w:pPr>
        <w:tabs>
          <w:tab w:val="left" w:pos="8364"/>
        </w:tabs>
        <w:snapToGrid w:val="0"/>
        <w:spacing w:before="0" w:after="0" w:afterAutospacing="0"/>
        <w:ind w:left="0" w:right="0" w:firstLine="420" w:firstLineChars="200"/>
        <w:jc w:val="left"/>
        <w:rPr>
          <w:rFonts w:ascii="宋体" w:hAnsi="宋体"/>
          <w:highlight w:val="none"/>
        </w:rPr>
      </w:pPr>
    </w:p>
    <w:p>
      <w:pPr>
        <w:tabs>
          <w:tab w:val="left" w:pos="8364"/>
        </w:tabs>
        <w:snapToGrid w:val="0"/>
        <w:spacing w:before="0" w:after="0" w:afterAutospacing="0"/>
        <w:ind w:left="0" w:right="0" w:firstLine="420" w:firstLineChars="200"/>
        <w:jc w:val="left"/>
        <w:rPr>
          <w:rFonts w:ascii="宋体" w:hAnsi="宋体"/>
          <w:highlight w:val="none"/>
          <w:u w:val="single"/>
        </w:rPr>
      </w:pPr>
      <w:r>
        <w:rPr>
          <w:rFonts w:ascii="宋体" w:hAnsi="宋体"/>
          <w:highlight w:val="none"/>
        </w:rPr>
        <w:t>法定代表人签字或盖章：</w:t>
      </w:r>
      <w:r>
        <w:rPr>
          <w:rFonts w:hint="eastAsia" w:ascii="宋体" w:hAnsi="宋体"/>
          <w:highlight w:val="none"/>
          <w:u w:val="single"/>
        </w:rPr>
        <w:t xml:space="preserve">             </w:t>
      </w:r>
    </w:p>
    <w:p>
      <w:pPr>
        <w:tabs>
          <w:tab w:val="left" w:pos="8364"/>
        </w:tabs>
        <w:snapToGrid w:val="0"/>
        <w:spacing w:before="0" w:after="0" w:afterAutospacing="0"/>
        <w:ind w:left="0" w:right="0" w:firstLine="420" w:firstLineChars="200"/>
        <w:jc w:val="left"/>
        <w:rPr>
          <w:rFonts w:ascii="宋体" w:hAnsi="宋体"/>
          <w:highlight w:val="none"/>
          <w:u w:val="single"/>
        </w:rPr>
      </w:pPr>
      <w:r>
        <w:rPr>
          <w:rFonts w:ascii="宋体" w:hAnsi="宋体"/>
          <w:highlight w:val="none"/>
        </w:rPr>
        <w:t>职务：</w:t>
      </w:r>
    </w:p>
    <w:p>
      <w:pPr>
        <w:tabs>
          <w:tab w:val="left" w:pos="8364"/>
        </w:tabs>
        <w:snapToGrid w:val="0"/>
        <w:spacing w:before="0" w:after="0" w:afterAutospacing="0"/>
        <w:ind w:left="0" w:right="0" w:firstLine="420" w:firstLineChars="200"/>
        <w:jc w:val="left"/>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spacing w:before="0" w:after="0" w:afterAutospacing="0"/>
        <w:ind w:left="0" w:right="0" w:firstLine="420" w:firstLineChars="200"/>
        <w:jc w:val="left"/>
        <w:rPr>
          <w:rFonts w:ascii="宋体" w:hAnsi="宋体"/>
          <w:highlight w:val="none"/>
          <w:u w:val="single"/>
        </w:rPr>
      </w:pPr>
      <w:r>
        <w:rPr>
          <w:rFonts w:ascii="宋体" w:hAnsi="宋体"/>
          <w:highlight w:val="none"/>
        </w:rPr>
        <w:t>地址：</w:t>
      </w:r>
    </w:p>
    <w:p>
      <w:pPr>
        <w:tabs>
          <w:tab w:val="left" w:pos="8364"/>
        </w:tabs>
        <w:snapToGrid w:val="0"/>
        <w:spacing w:before="0" w:after="0" w:afterAutospacing="0"/>
        <w:ind w:left="0" w:right="0" w:firstLine="420" w:firstLineChars="200"/>
        <w:jc w:val="left"/>
        <w:rPr>
          <w:rFonts w:ascii="宋体" w:hAnsi="宋体"/>
          <w:highlight w:val="none"/>
        </w:rPr>
      </w:pPr>
    </w:p>
    <w:p>
      <w:pPr>
        <w:tabs>
          <w:tab w:val="left" w:pos="8364"/>
        </w:tabs>
        <w:snapToGrid w:val="0"/>
        <w:spacing w:before="0" w:after="0" w:afterAutospacing="0"/>
        <w:ind w:left="0" w:right="0" w:firstLine="420" w:firstLineChars="200"/>
        <w:jc w:val="left"/>
        <w:rPr>
          <w:rFonts w:ascii="宋体" w:hAnsi="宋体"/>
          <w:highlight w:val="none"/>
          <w:u w:val="single"/>
        </w:rPr>
      </w:pPr>
      <w:r>
        <w:rPr>
          <w:rFonts w:ascii="宋体" w:hAnsi="宋体"/>
          <w:highlight w:val="none"/>
        </w:rPr>
        <w:t>投标人代表（</w:t>
      </w:r>
      <w:r>
        <w:rPr>
          <w:rFonts w:hint="eastAsia" w:ascii="宋体" w:hAnsi="宋体"/>
          <w:highlight w:val="none"/>
        </w:rPr>
        <w:t>委托代理人</w:t>
      </w:r>
      <w:r>
        <w:rPr>
          <w:rFonts w:ascii="宋体" w:hAnsi="宋体"/>
          <w:highlight w:val="none"/>
        </w:rPr>
        <w:t>）签字或盖章：</w:t>
      </w:r>
      <w:r>
        <w:rPr>
          <w:rFonts w:hint="eastAsia" w:ascii="宋体" w:hAnsi="宋体"/>
          <w:highlight w:val="none"/>
          <w:u w:val="single"/>
        </w:rPr>
        <w:t xml:space="preserve">            </w:t>
      </w:r>
    </w:p>
    <w:p>
      <w:pPr>
        <w:tabs>
          <w:tab w:val="left" w:pos="8364"/>
        </w:tabs>
        <w:snapToGrid w:val="0"/>
        <w:spacing w:before="0" w:after="0" w:afterAutospacing="0"/>
        <w:ind w:left="0" w:right="0" w:firstLine="420" w:firstLineChars="200"/>
        <w:jc w:val="left"/>
        <w:rPr>
          <w:rFonts w:ascii="宋体" w:hAnsi="宋体"/>
          <w:highlight w:val="none"/>
          <w:u w:val="single"/>
        </w:rPr>
      </w:pPr>
      <w:r>
        <w:rPr>
          <w:rFonts w:ascii="宋体" w:hAnsi="宋体"/>
          <w:highlight w:val="none"/>
        </w:rPr>
        <w:t>职务：</w:t>
      </w:r>
    </w:p>
    <w:p>
      <w:pPr>
        <w:tabs>
          <w:tab w:val="left" w:pos="8364"/>
        </w:tabs>
        <w:snapToGrid w:val="0"/>
        <w:spacing w:before="0" w:after="0" w:afterAutospacing="0"/>
        <w:ind w:left="0" w:right="0" w:firstLine="420" w:firstLineChars="200"/>
        <w:jc w:val="left"/>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spacing w:before="0" w:after="0" w:afterAutospacing="0"/>
        <w:ind w:left="0" w:right="0" w:firstLine="420" w:firstLineChars="200"/>
        <w:jc w:val="left"/>
        <w:rPr>
          <w:rFonts w:ascii="宋体" w:hAnsi="宋体"/>
          <w:highlight w:val="none"/>
          <w:u w:val="single"/>
        </w:rPr>
      </w:pPr>
      <w:r>
        <w:rPr>
          <w:rFonts w:ascii="宋体" w:hAnsi="宋体"/>
          <w:highlight w:val="none"/>
        </w:rPr>
        <w:t>地址：</w:t>
      </w:r>
    </w:p>
    <w:p>
      <w:pPr>
        <w:spacing w:before="0" w:after="0" w:afterAutospacing="0"/>
        <w:ind w:left="0" w:right="0" w:firstLine="422" w:firstLineChars="200"/>
        <w:jc w:val="left"/>
        <w:rPr>
          <w:rFonts w:ascii="宋体" w:hAnsi="宋体"/>
          <w:b/>
          <w:highlight w:val="none"/>
        </w:rPr>
      </w:pPr>
      <w:r>
        <w:rPr>
          <w:rFonts w:hint="eastAsia" w:ascii="宋体" w:hAnsi="宋体"/>
          <w:b/>
          <w:highlight w:val="none"/>
        </w:rPr>
        <w:t>附：委托代理人身份证复印件</w:t>
      </w:r>
    </w:p>
    <w:p>
      <w:pPr>
        <w:tabs>
          <w:tab w:val="left" w:pos="8364"/>
        </w:tabs>
        <w:snapToGrid w:val="0"/>
        <w:spacing w:afterAutospacing="0"/>
        <w:ind w:left="0" w:right="0" w:firstLine="420" w:firstLineChars="200"/>
        <w:jc w:val="left"/>
        <w:rPr>
          <w:rFonts w:ascii="宋体" w:hAnsi="宋体"/>
          <w:highlight w:val="none"/>
          <w:u w:val="single"/>
        </w:rPr>
      </w:pPr>
    </w:p>
    <w:p>
      <w:pPr>
        <w:pageBreakBefore/>
        <w:numPr>
          <w:ilvl w:val="255"/>
          <w:numId w:val="0"/>
        </w:numPr>
        <w:snapToGrid w:val="0"/>
        <w:spacing w:before="0" w:line="240" w:lineRule="auto"/>
        <w:ind w:right="0"/>
        <w:jc w:val="left"/>
        <w:outlineLvl w:val="2"/>
        <w:rPr>
          <w:rFonts w:ascii="宋体" w:hAnsi="宋体"/>
          <w:b/>
          <w:highlight w:val="none"/>
        </w:rPr>
      </w:pPr>
      <w:bookmarkStart w:id="1440" w:name="_Toc17964"/>
      <w:bookmarkStart w:id="1441" w:name="_Toc26713"/>
      <w:bookmarkStart w:id="1442" w:name="_Toc7273"/>
      <w:bookmarkStart w:id="1443" w:name="_Toc19744"/>
      <w:bookmarkStart w:id="1444" w:name="_Toc9757"/>
      <w:bookmarkStart w:id="1445" w:name="_Toc492478805"/>
      <w:bookmarkStart w:id="1446" w:name="_Toc12984808"/>
      <w:bookmarkStart w:id="1447" w:name="_Toc375564352"/>
      <w:bookmarkStart w:id="1448" w:name="_Toc9583"/>
      <w:bookmarkStart w:id="1449" w:name="_Toc7753"/>
      <w:bookmarkStart w:id="1450" w:name="_Toc13606"/>
      <w:bookmarkStart w:id="1451" w:name="_Toc15572"/>
      <w:bookmarkStart w:id="1452" w:name="_Toc414290523"/>
      <w:bookmarkStart w:id="1453" w:name="_Toc31808"/>
      <w:bookmarkStart w:id="1454" w:name="_Toc8654"/>
      <w:bookmarkStart w:id="1455" w:name="_Toc13634"/>
      <w:bookmarkStart w:id="1456" w:name="_Toc27722"/>
      <w:bookmarkStart w:id="1457" w:name="_Toc24322"/>
      <w:bookmarkStart w:id="1458" w:name="_Toc20436"/>
      <w:bookmarkStart w:id="1459" w:name="_Toc13798"/>
      <w:bookmarkStart w:id="1460" w:name="_Toc27657"/>
      <w:bookmarkStart w:id="1461" w:name="_Toc15980"/>
      <w:r>
        <w:rPr>
          <w:rFonts w:hint="eastAsia" w:ascii="宋体" w:hAnsi="宋体"/>
          <w:b/>
          <w:highlight w:val="none"/>
        </w:rPr>
        <w:t xml:space="preserve">A2 </w:t>
      </w:r>
      <w:r>
        <w:rPr>
          <w:rFonts w:ascii="宋体" w:hAnsi="宋体"/>
          <w:b/>
          <w:highlight w:val="none"/>
        </w:rPr>
        <w:t>法定代表人资格证明书格式</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ind w:right="0" w:firstLine="200"/>
        <w:rPr>
          <w:rFonts w:ascii="宋体" w:hAnsi="宋体"/>
          <w:highlight w:val="none"/>
        </w:rPr>
      </w:pPr>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法定代表人资格证明书</w:t>
      </w:r>
    </w:p>
    <w:p>
      <w:pPr>
        <w:ind w:right="0" w:firstLine="200"/>
        <w:rPr>
          <w:rFonts w:ascii="宋体" w:hAnsi="宋体"/>
          <w:highlight w:val="none"/>
          <w:u w:val="single"/>
        </w:rPr>
      </w:pPr>
      <w:r>
        <w:rPr>
          <w:rFonts w:ascii="宋体" w:hAnsi="宋体"/>
          <w:highlight w:val="none"/>
        </w:rPr>
        <w:t>单位名称：</w:t>
      </w:r>
    </w:p>
    <w:p>
      <w:pPr>
        <w:ind w:right="0" w:firstLine="200"/>
        <w:rPr>
          <w:rFonts w:ascii="宋体" w:hAnsi="宋体"/>
          <w:highlight w:val="none"/>
          <w:u w:val="single"/>
        </w:rPr>
      </w:pPr>
      <w:r>
        <w:rPr>
          <w:rFonts w:ascii="宋体" w:hAnsi="宋体"/>
          <w:highlight w:val="none"/>
        </w:rPr>
        <w:t>地址：</w:t>
      </w:r>
    </w:p>
    <w:p>
      <w:pPr>
        <w:ind w:right="0" w:firstLine="200"/>
        <w:rPr>
          <w:rFonts w:ascii="宋体" w:hAnsi="宋体"/>
          <w:highlight w:val="none"/>
          <w:u w:val="single"/>
        </w:rPr>
      </w:pPr>
      <w:r>
        <w:rPr>
          <w:rFonts w:ascii="宋体" w:hAnsi="宋体"/>
          <w:highlight w:val="none"/>
        </w:rPr>
        <w:t>姓名：</w:t>
      </w:r>
      <w:r>
        <w:rPr>
          <w:rFonts w:hint="eastAsia" w:ascii="宋体" w:hAnsi="宋体"/>
          <w:highlight w:val="none"/>
        </w:rPr>
        <w:t xml:space="preserve">         </w:t>
      </w:r>
      <w:r>
        <w:rPr>
          <w:rFonts w:ascii="宋体" w:hAnsi="宋体"/>
          <w:highlight w:val="none"/>
        </w:rPr>
        <w:t>性别：</w:t>
      </w:r>
      <w:r>
        <w:rPr>
          <w:rFonts w:hint="eastAsia" w:ascii="宋体" w:hAnsi="宋体"/>
          <w:highlight w:val="none"/>
        </w:rPr>
        <w:t xml:space="preserve">       </w:t>
      </w:r>
      <w:r>
        <w:rPr>
          <w:rFonts w:ascii="宋体" w:hAnsi="宋体"/>
          <w:highlight w:val="none"/>
        </w:rPr>
        <w:t>年龄：</w:t>
      </w:r>
      <w:r>
        <w:rPr>
          <w:rFonts w:hint="eastAsia" w:ascii="宋体" w:hAnsi="宋体"/>
          <w:highlight w:val="none"/>
        </w:rPr>
        <w:t xml:space="preserve">           </w:t>
      </w:r>
      <w:r>
        <w:rPr>
          <w:rFonts w:ascii="宋体" w:hAnsi="宋体"/>
          <w:highlight w:val="none"/>
        </w:rPr>
        <w:t>职务：</w:t>
      </w:r>
    </w:p>
    <w:p>
      <w:pPr>
        <w:ind w:right="0" w:firstLine="200"/>
        <w:rPr>
          <w:rFonts w:ascii="宋体" w:hAnsi="宋体"/>
          <w:highlight w:val="none"/>
        </w:rPr>
      </w:pPr>
      <w:r>
        <w:rPr>
          <w:rFonts w:ascii="宋体" w:hAnsi="宋体"/>
          <w:highlight w:val="none"/>
        </w:rPr>
        <w:t>系</w:t>
      </w:r>
      <w:r>
        <w:rPr>
          <w:rFonts w:hint="eastAsia" w:ascii="宋体" w:hAnsi="宋体"/>
          <w:highlight w:val="none"/>
          <w:u w:val="single"/>
        </w:rPr>
        <w:t xml:space="preserve">   （填写）       </w:t>
      </w:r>
      <w:r>
        <w:rPr>
          <w:rFonts w:ascii="宋体" w:hAnsi="宋体"/>
          <w:highlight w:val="none"/>
        </w:rPr>
        <w:t>的法定代表人。</w:t>
      </w:r>
    </w:p>
    <w:p>
      <w:pPr>
        <w:ind w:right="0" w:firstLine="200"/>
        <w:rPr>
          <w:rFonts w:ascii="宋体" w:hAnsi="宋体"/>
          <w:highlight w:val="none"/>
        </w:rPr>
      </w:pPr>
      <w:r>
        <w:rPr>
          <w:rFonts w:ascii="宋体" w:hAnsi="宋体"/>
          <w:highlight w:val="none"/>
        </w:rPr>
        <w:t>特此证明。</w:t>
      </w:r>
    </w:p>
    <w:p>
      <w:pPr>
        <w:ind w:right="0" w:firstLine="200"/>
        <w:rPr>
          <w:rFonts w:ascii="宋体" w:hAnsi="宋体"/>
          <w:highlight w:val="none"/>
        </w:rPr>
      </w:pPr>
    </w:p>
    <w:p>
      <w:pPr>
        <w:ind w:right="0" w:firstLine="200"/>
        <w:rPr>
          <w:rFonts w:ascii="宋体" w:hAnsi="宋体"/>
          <w:highlight w:val="none"/>
          <w:u w:val="single"/>
        </w:rPr>
      </w:pPr>
      <w:r>
        <w:rPr>
          <w:rFonts w:ascii="宋体" w:hAnsi="宋体"/>
          <w:highlight w:val="none"/>
        </w:rPr>
        <w:t>投标人：（盖章）</w:t>
      </w:r>
    </w:p>
    <w:p>
      <w:pPr>
        <w:ind w:right="0" w:firstLine="200"/>
        <w:rPr>
          <w:rFonts w:ascii="宋体" w:hAnsi="宋体"/>
          <w:highlight w:val="none"/>
        </w:rPr>
      </w:pPr>
      <w:r>
        <w:rPr>
          <w:rFonts w:ascii="宋体" w:hAnsi="宋体"/>
          <w:highlight w:val="none"/>
        </w:rPr>
        <w:t>日期：</w:t>
      </w:r>
      <w:r>
        <w:rPr>
          <w:rFonts w:hint="eastAsia" w:ascii="宋体" w:hAnsi="宋体"/>
          <w:highlight w:val="none"/>
        </w:rPr>
        <w:t xml:space="preserve">  </w:t>
      </w:r>
      <w:r>
        <w:rPr>
          <w:rFonts w:ascii="宋体" w:hAnsi="宋体"/>
          <w:highlight w:val="none"/>
        </w:rPr>
        <w:t>年</w:t>
      </w:r>
      <w:r>
        <w:rPr>
          <w:rFonts w:hint="eastAsia" w:ascii="宋体" w:hAnsi="宋体"/>
          <w:highlight w:val="none"/>
        </w:rPr>
        <w:t xml:space="preserve">   </w:t>
      </w:r>
      <w:r>
        <w:rPr>
          <w:rFonts w:ascii="宋体" w:hAnsi="宋体"/>
          <w:highlight w:val="none"/>
        </w:rPr>
        <w:t>月</w:t>
      </w:r>
      <w:r>
        <w:rPr>
          <w:rFonts w:hint="eastAsia" w:ascii="宋体" w:hAnsi="宋体"/>
          <w:highlight w:val="none"/>
        </w:rPr>
        <w:t xml:space="preserve">   </w:t>
      </w:r>
      <w:r>
        <w:rPr>
          <w:rFonts w:ascii="宋体" w:hAnsi="宋体"/>
          <w:highlight w:val="none"/>
        </w:rPr>
        <w:t>日</w:t>
      </w:r>
    </w:p>
    <w:p>
      <w:pPr>
        <w:ind w:right="0" w:firstLine="200"/>
        <w:rPr>
          <w:rFonts w:ascii="宋体" w:hAnsi="宋体"/>
          <w:b/>
          <w:bCs/>
          <w:highlight w:val="none"/>
        </w:rPr>
      </w:pPr>
      <w:bookmarkStart w:id="1462" w:name="_Toc12984809"/>
      <w:r>
        <w:rPr>
          <w:rFonts w:hint="eastAsia" w:ascii="宋体" w:hAnsi="宋体"/>
          <w:b/>
          <w:bCs/>
          <w:highlight w:val="none"/>
        </w:rPr>
        <w:t>附</w:t>
      </w:r>
      <w:r>
        <w:rPr>
          <w:rFonts w:ascii="宋体" w:hAnsi="宋体"/>
          <w:b/>
          <w:bCs/>
          <w:highlight w:val="none"/>
        </w:rPr>
        <w:t xml:space="preserve">: </w:t>
      </w:r>
      <w:r>
        <w:rPr>
          <w:rFonts w:hint="eastAsia" w:ascii="宋体" w:hAnsi="宋体"/>
          <w:b/>
          <w:bCs/>
          <w:highlight w:val="none"/>
        </w:rPr>
        <w:t>法定代表人身份证复印件</w:t>
      </w:r>
      <w:bookmarkStart w:id="1463" w:name="_Toc6033"/>
      <w:bookmarkStart w:id="1464" w:name="_Toc17745"/>
      <w:bookmarkStart w:id="1465" w:name="_Toc375564353"/>
      <w:bookmarkStart w:id="1466" w:name="_Toc21307"/>
      <w:bookmarkStart w:id="1467" w:name="_Toc24848"/>
      <w:bookmarkStart w:id="1468" w:name="_Toc414290524"/>
      <w:bookmarkStart w:id="1469" w:name="_Toc26907"/>
      <w:bookmarkStart w:id="1470" w:name="_Toc16467"/>
      <w:bookmarkStart w:id="1471" w:name="_Toc19721"/>
      <w:bookmarkStart w:id="1472" w:name="_Toc1932"/>
      <w:bookmarkStart w:id="1473" w:name="_Toc492478806"/>
      <w:bookmarkStart w:id="1474" w:name="_Toc31448"/>
      <w:bookmarkStart w:id="1475" w:name="_Toc15609"/>
      <w:bookmarkStart w:id="1476" w:name="_Toc29246"/>
      <w:bookmarkStart w:id="1477" w:name="_Toc11425"/>
      <w:bookmarkStart w:id="1478" w:name="_Toc4894"/>
      <w:bookmarkStart w:id="1479" w:name="_Toc7712"/>
      <w:bookmarkStart w:id="1480" w:name="_Toc26097"/>
      <w:bookmarkStart w:id="1481" w:name="_Toc32062"/>
      <w:bookmarkStart w:id="1482" w:name="_Toc3426"/>
      <w:bookmarkStart w:id="1483" w:name="_Toc15394"/>
    </w:p>
    <w:p>
      <w:pPr>
        <w:pageBreakBefore/>
        <w:numPr>
          <w:ilvl w:val="255"/>
          <w:numId w:val="0"/>
        </w:numPr>
        <w:snapToGrid w:val="0"/>
        <w:spacing w:before="0" w:line="240" w:lineRule="auto"/>
        <w:ind w:right="0"/>
        <w:jc w:val="left"/>
        <w:outlineLvl w:val="2"/>
        <w:rPr>
          <w:rFonts w:ascii="宋体" w:hAnsi="宋体"/>
          <w:b/>
          <w:highlight w:val="none"/>
        </w:rPr>
      </w:pPr>
      <w:r>
        <w:rPr>
          <w:rFonts w:hint="eastAsia" w:ascii="宋体" w:hAnsi="宋体"/>
          <w:b/>
          <w:highlight w:val="none"/>
        </w:rPr>
        <w:t xml:space="preserve">A3 </w:t>
      </w:r>
      <w:r>
        <w:rPr>
          <w:rFonts w:ascii="宋体" w:hAnsi="宋体"/>
          <w:b/>
          <w:highlight w:val="none"/>
        </w:rPr>
        <w:t>承诺书格式</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承诺书</w:t>
      </w:r>
    </w:p>
    <w:p>
      <w:pPr>
        <w:snapToGrid w:val="0"/>
        <w:spacing w:before="0" w:after="0" w:afterAutospacing="0" w:line="400" w:lineRule="exact"/>
        <w:ind w:left="0" w:right="0" w:firstLine="420" w:firstLineChars="200"/>
        <w:jc w:val="left"/>
        <w:rPr>
          <w:rFonts w:ascii="宋体" w:hAnsi="宋体"/>
          <w:highlight w:val="none"/>
          <w:u w:val="single"/>
        </w:rPr>
      </w:pPr>
      <w:r>
        <w:rPr>
          <w:rFonts w:ascii="宋体" w:hAnsi="宋体"/>
          <w:highlight w:val="none"/>
        </w:rPr>
        <w:t>致：</w:t>
      </w:r>
      <w:r>
        <w:rPr>
          <w:rFonts w:hint="eastAsia" w:ascii="宋体" w:hAnsi="宋体"/>
          <w:highlight w:val="none"/>
          <w:u w:val="single"/>
        </w:rPr>
        <w:t>南宁轨道交通运营有限公司工会委员会</w:t>
      </w:r>
    </w:p>
    <w:p>
      <w:pPr>
        <w:snapToGrid w:val="0"/>
        <w:spacing w:before="0" w:after="0" w:afterAutospacing="0" w:line="400" w:lineRule="exact"/>
        <w:ind w:left="0" w:right="0" w:firstLine="420" w:firstLineChars="200"/>
        <w:jc w:val="left"/>
        <w:rPr>
          <w:rFonts w:ascii="宋体" w:hAnsi="宋体"/>
          <w:highlight w:val="none"/>
        </w:rPr>
      </w:pPr>
      <w:r>
        <w:rPr>
          <w:rFonts w:ascii="宋体" w:hAnsi="宋体"/>
          <w:highlight w:val="none"/>
        </w:rPr>
        <w:t>1、在认真研读</w:t>
      </w:r>
      <w:r>
        <w:rPr>
          <w:rFonts w:hint="eastAsia" w:ascii="宋体" w:hAnsi="宋体"/>
          <w:highlight w:val="none"/>
        </w:rPr>
        <w:t>南宁轨道交通运营有限公司工会委员会的招标</w:t>
      </w:r>
      <w:r>
        <w:rPr>
          <w:rFonts w:ascii="宋体" w:hAnsi="宋体"/>
          <w:highlight w:val="none"/>
        </w:rPr>
        <w:t>文件后，我方经慎重考虑，郑重承诺参加</w:t>
      </w:r>
      <w:r>
        <w:rPr>
          <w:rFonts w:hint="eastAsia" w:ascii="宋体" w:hAnsi="宋体"/>
          <w:highlight w:val="none"/>
        </w:rPr>
        <w:t>项目的招投标</w:t>
      </w:r>
      <w:r>
        <w:rPr>
          <w:rFonts w:ascii="宋体" w:hAnsi="宋体"/>
          <w:highlight w:val="none"/>
        </w:rPr>
        <w:t>活动。</w:t>
      </w:r>
    </w:p>
    <w:p>
      <w:pPr>
        <w:snapToGrid w:val="0"/>
        <w:spacing w:before="0" w:after="0" w:afterAutospacing="0" w:line="400" w:lineRule="exact"/>
        <w:ind w:left="0" w:right="0" w:firstLine="420" w:firstLineChars="200"/>
        <w:jc w:val="left"/>
        <w:rPr>
          <w:rFonts w:ascii="宋体" w:hAnsi="宋体"/>
          <w:highlight w:val="none"/>
        </w:rPr>
      </w:pPr>
      <w:r>
        <w:rPr>
          <w:rFonts w:ascii="宋体" w:hAnsi="宋体"/>
          <w:highlight w:val="none"/>
        </w:rPr>
        <w:t>2、我方按照贵方</w:t>
      </w:r>
      <w:r>
        <w:rPr>
          <w:rFonts w:hint="eastAsia" w:ascii="宋体" w:hAnsi="宋体"/>
          <w:highlight w:val="none"/>
        </w:rPr>
        <w:t>招标</w:t>
      </w:r>
      <w:r>
        <w:rPr>
          <w:rFonts w:ascii="宋体" w:hAnsi="宋体"/>
          <w:highlight w:val="none"/>
        </w:rPr>
        <w:t>文件要求的内容与格式，已编制完成</w:t>
      </w:r>
      <w:r>
        <w:rPr>
          <w:rFonts w:hint="eastAsia" w:ascii="宋体" w:hAnsi="宋体"/>
          <w:highlight w:val="none"/>
        </w:rPr>
        <w:t>投标</w:t>
      </w:r>
      <w:r>
        <w:rPr>
          <w:rFonts w:ascii="宋体" w:hAnsi="宋体"/>
          <w:highlight w:val="none"/>
        </w:rPr>
        <w:t>文件，现报上。</w:t>
      </w:r>
    </w:p>
    <w:p>
      <w:pPr>
        <w:snapToGrid w:val="0"/>
        <w:spacing w:before="0" w:after="0" w:afterAutospacing="0" w:line="400" w:lineRule="exact"/>
        <w:ind w:left="0" w:right="0" w:firstLine="420" w:firstLineChars="200"/>
        <w:jc w:val="left"/>
        <w:rPr>
          <w:rFonts w:ascii="宋体" w:hAnsi="宋体"/>
          <w:highlight w:val="none"/>
        </w:rPr>
      </w:pPr>
      <w:r>
        <w:rPr>
          <w:rFonts w:hint="eastAsia" w:ascii="宋体" w:hAnsi="宋体"/>
          <w:highlight w:val="none"/>
        </w:rPr>
        <w:t>3</w:t>
      </w:r>
      <w:r>
        <w:rPr>
          <w:rFonts w:ascii="宋体" w:hAnsi="宋体"/>
          <w:highlight w:val="none"/>
        </w:rPr>
        <w:t>、</w:t>
      </w:r>
      <w:r>
        <w:rPr>
          <w:rFonts w:hint="eastAsia" w:ascii="宋体" w:hAnsi="宋体"/>
          <w:highlight w:val="none"/>
        </w:rPr>
        <w:t>我方</w:t>
      </w:r>
      <w:r>
        <w:rPr>
          <w:rFonts w:ascii="宋体" w:hAnsi="宋体"/>
          <w:highlight w:val="none"/>
        </w:rPr>
        <w:t>承诺：在</w:t>
      </w:r>
      <w:r>
        <w:rPr>
          <w:rFonts w:hint="eastAsia" w:ascii="宋体" w:hAnsi="宋体"/>
          <w:highlight w:val="none"/>
        </w:rPr>
        <w:t>评审</w:t>
      </w:r>
      <w:r>
        <w:rPr>
          <w:rFonts w:ascii="宋体" w:hAnsi="宋体"/>
          <w:highlight w:val="none"/>
        </w:rPr>
        <w:t>过程中，贵方可调查、审核我方提交的与本</w:t>
      </w:r>
      <w:r>
        <w:rPr>
          <w:rFonts w:hint="eastAsia" w:ascii="宋体" w:hAnsi="宋体"/>
          <w:highlight w:val="none"/>
        </w:rPr>
        <w:t>投标文件</w:t>
      </w:r>
      <w:r>
        <w:rPr>
          <w:rFonts w:ascii="宋体" w:hAnsi="宋体"/>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rPr>
          <w:rFonts w:ascii="宋体" w:hAnsi="宋体"/>
          <w:b/>
          <w:bCs/>
          <w:highlight w:val="none"/>
        </w:rPr>
      </w:pPr>
      <w:r>
        <w:rPr>
          <w:rFonts w:hint="eastAsia" w:ascii="宋体" w:hAnsi="宋体"/>
          <w:highlight w:val="none"/>
        </w:rPr>
        <w:t>4</w:t>
      </w:r>
      <w:r>
        <w:rPr>
          <w:rFonts w:ascii="宋体" w:hAnsi="宋体"/>
          <w:highlight w:val="none"/>
        </w:rPr>
        <w:t>、</w:t>
      </w:r>
      <w:r>
        <w:rPr>
          <w:rFonts w:hint="eastAsia" w:ascii="宋体" w:hAnsi="宋体"/>
          <w:b/>
          <w:bCs/>
          <w:highlight w:val="none"/>
        </w:rPr>
        <w:t>我方</w:t>
      </w:r>
      <w:r>
        <w:rPr>
          <w:rFonts w:ascii="宋体" w:hAnsi="宋体"/>
          <w:b/>
          <w:bCs/>
          <w:highlight w:val="none"/>
        </w:rPr>
        <w:t>郑重承诺：</w:t>
      </w:r>
      <w:r>
        <w:rPr>
          <w:rFonts w:hint="eastAsia" w:ascii="宋体" w:hAnsi="宋体"/>
          <w:highlight w:val="none"/>
        </w:rPr>
        <w:t>我单位没有处于被广西行政主管部门或业主取消投标资格的处罚期内，且没有处于被责令停业，财产被接管、破产状态，投标截止时间前3年内没有骗取中标、严重违约或重大质量安全责任事故的情况；</w:t>
      </w:r>
      <w:r>
        <w:rPr>
          <w:rFonts w:hint="eastAsia" w:ascii="宋体" w:hAnsi="宋体"/>
          <w:b/>
          <w:bCs/>
          <w:highlight w:val="none"/>
        </w:rPr>
        <w:t>。</w:t>
      </w:r>
    </w:p>
    <w:p>
      <w:pPr>
        <w:spacing w:before="0" w:after="0" w:afterAutospacing="0"/>
        <w:ind w:left="0" w:right="0" w:firstLine="422" w:firstLineChars="200"/>
        <w:rPr>
          <w:rFonts w:ascii="宋体" w:hAnsi="宋体"/>
          <w:b/>
          <w:highlight w:val="none"/>
        </w:rPr>
      </w:pPr>
      <w:r>
        <w:rPr>
          <w:rFonts w:hint="eastAsia" w:ascii="宋体" w:hAnsi="宋体"/>
          <w:b/>
          <w:bCs/>
          <w:highlight w:val="none"/>
        </w:rPr>
        <w:t>5、我方</w:t>
      </w:r>
      <w:r>
        <w:rPr>
          <w:rFonts w:ascii="宋体" w:hAnsi="宋体"/>
          <w:b/>
          <w:bCs/>
          <w:highlight w:val="none"/>
        </w:rPr>
        <w:t>郑重承诺：</w:t>
      </w:r>
      <w:r>
        <w:rPr>
          <w:rFonts w:hint="eastAsia" w:ascii="宋体" w:hAnsi="宋体"/>
          <w:b/>
          <w:bCs/>
          <w:highlight w:val="none"/>
        </w:rPr>
        <w:t>单位负责人为同一人或者存在控股、管理关系的不同单位，未参加同一标段投标或者未划分标段的同一招标项目投标。</w:t>
      </w:r>
    </w:p>
    <w:p>
      <w:pPr>
        <w:snapToGrid w:val="0"/>
        <w:spacing w:before="0" w:after="0" w:afterAutospacing="0"/>
        <w:ind w:left="0" w:right="0" w:firstLine="422" w:firstLineChars="200"/>
        <w:jc w:val="left"/>
        <w:rPr>
          <w:rFonts w:ascii="宋体" w:hAnsi="宋体"/>
          <w:b/>
          <w:highlight w:val="none"/>
        </w:rPr>
      </w:pPr>
      <w:r>
        <w:rPr>
          <w:rFonts w:hint="eastAsia" w:ascii="宋体" w:hAnsi="宋体"/>
          <w:b/>
          <w:highlight w:val="none"/>
        </w:rPr>
        <w:t>6、</w:t>
      </w:r>
      <w:r>
        <w:rPr>
          <w:rFonts w:hint="eastAsia" w:ascii="宋体" w:hAnsi="宋体"/>
          <w:b/>
          <w:bCs/>
          <w:highlight w:val="none"/>
        </w:rPr>
        <w:t>我方</w:t>
      </w:r>
      <w:r>
        <w:rPr>
          <w:rFonts w:ascii="宋体" w:hAnsi="宋体"/>
          <w:b/>
          <w:bCs/>
          <w:highlight w:val="none"/>
        </w:rPr>
        <w:t>郑重承诺：</w:t>
      </w:r>
      <w:r>
        <w:rPr>
          <w:rFonts w:hint="eastAsia" w:ascii="宋体" w:hAnsi="宋体"/>
          <w:b/>
          <w:highlight w:val="none"/>
        </w:rPr>
        <w:t>我单位未被列入南宁轨道交通集团有限责任公司不良信用名单。</w:t>
      </w:r>
    </w:p>
    <w:p>
      <w:pPr>
        <w:snapToGrid w:val="0"/>
        <w:spacing w:before="0" w:after="0" w:afterAutospacing="0"/>
        <w:ind w:left="0" w:right="0" w:firstLine="422" w:firstLineChars="200"/>
        <w:jc w:val="left"/>
        <w:rPr>
          <w:rFonts w:ascii="宋体" w:hAnsi="Courier New"/>
          <w:highlight w:val="none"/>
        </w:rPr>
      </w:pPr>
      <w:r>
        <w:rPr>
          <w:rFonts w:hint="eastAsia" w:ascii="宋体" w:hAnsi="宋体"/>
          <w:b/>
          <w:highlight w:val="none"/>
        </w:rPr>
        <w:t>7、我方郑重承诺:在中标后，向本项目的招标代理机构支付代理费用。我方已知悉代理的相关费用已包含在投标报价中，不需要招标人另行支付。若我方拒绝支付代理费用，视为我方自动放弃该项目的中标资格。</w:t>
      </w:r>
    </w:p>
    <w:p>
      <w:pPr>
        <w:snapToGrid w:val="0"/>
        <w:spacing w:before="0" w:after="0" w:afterAutospacing="0" w:line="400" w:lineRule="exact"/>
        <w:ind w:left="0" w:right="0" w:firstLine="420" w:firstLineChars="200"/>
        <w:jc w:val="left"/>
        <w:rPr>
          <w:rFonts w:ascii="宋体" w:hAnsi="宋体"/>
          <w:highlight w:val="none"/>
        </w:rPr>
      </w:pPr>
      <w:r>
        <w:rPr>
          <w:rFonts w:hint="eastAsia" w:ascii="宋体" w:hAnsi="宋体"/>
          <w:highlight w:val="none"/>
        </w:rPr>
        <w:t>8、</w:t>
      </w:r>
      <w:r>
        <w:rPr>
          <w:rFonts w:ascii="宋体" w:hAnsi="宋体"/>
          <w:highlight w:val="none"/>
        </w:rPr>
        <w:t>如果</w:t>
      </w:r>
      <w:r>
        <w:rPr>
          <w:rFonts w:hint="eastAsia" w:ascii="宋体" w:hAnsi="宋体"/>
          <w:highlight w:val="none"/>
        </w:rPr>
        <w:t>我方</w:t>
      </w:r>
      <w:r>
        <w:rPr>
          <w:rFonts w:ascii="宋体" w:hAnsi="宋体"/>
          <w:highlight w:val="none"/>
        </w:rPr>
        <w:t>在该项目</w:t>
      </w:r>
      <w:r>
        <w:rPr>
          <w:rFonts w:hint="eastAsia" w:ascii="宋体" w:hAnsi="宋体"/>
          <w:highlight w:val="none"/>
        </w:rPr>
        <w:t>招</w:t>
      </w:r>
      <w:r>
        <w:rPr>
          <w:rFonts w:ascii="宋体" w:hAnsi="宋体"/>
          <w:highlight w:val="none"/>
        </w:rPr>
        <w:t>投标过程中或者在中标后，招标人或者有管辖权的招标投标行政监管机构发现并查实我</w:t>
      </w:r>
      <w:r>
        <w:rPr>
          <w:rFonts w:hint="eastAsia" w:ascii="宋体" w:hAnsi="宋体"/>
          <w:highlight w:val="none"/>
        </w:rPr>
        <w:t>方</w:t>
      </w:r>
      <w:r>
        <w:rPr>
          <w:rFonts w:ascii="宋体" w:hAnsi="宋体"/>
          <w:highlight w:val="none"/>
        </w:rPr>
        <w:t>在所填报的该项目</w:t>
      </w:r>
      <w:r>
        <w:rPr>
          <w:rFonts w:hint="eastAsia" w:ascii="宋体" w:hAnsi="宋体"/>
          <w:highlight w:val="none"/>
        </w:rPr>
        <w:t>投标文件</w:t>
      </w:r>
      <w:r>
        <w:rPr>
          <w:rFonts w:ascii="宋体" w:hAnsi="宋体"/>
          <w:highlight w:val="none"/>
        </w:rPr>
        <w:t>中存在提供虚假或不真实的信息或者伪造数据、资料或证书等情况，</w:t>
      </w:r>
      <w:r>
        <w:rPr>
          <w:rFonts w:hint="eastAsia" w:ascii="宋体" w:hAnsi="宋体"/>
          <w:highlight w:val="none"/>
        </w:rPr>
        <w:t>视为我方违约，自动放弃中标资格，我方愿意接受</w:t>
      </w:r>
      <w:r>
        <w:rPr>
          <w:rFonts w:ascii="宋体" w:hAnsi="宋体"/>
          <w:highlight w:val="none"/>
        </w:rPr>
        <w:t>招标人或有管辖权的招标投标监管机构的处罚；如果我</w:t>
      </w:r>
      <w:r>
        <w:rPr>
          <w:rFonts w:hint="eastAsia" w:ascii="宋体" w:hAnsi="宋体"/>
          <w:highlight w:val="none"/>
        </w:rPr>
        <w:t>方</w:t>
      </w:r>
      <w:r>
        <w:rPr>
          <w:rFonts w:ascii="宋体" w:hAnsi="宋体"/>
          <w:highlight w:val="none"/>
        </w:rPr>
        <w:t>已</w:t>
      </w:r>
      <w:r>
        <w:rPr>
          <w:rFonts w:hint="eastAsia" w:ascii="宋体" w:hAnsi="宋体"/>
          <w:highlight w:val="none"/>
        </w:rPr>
        <w:t>与招标人签订合同，则视为我方违约，招标人可单方面解除合同</w:t>
      </w:r>
      <w:r>
        <w:rPr>
          <w:rFonts w:ascii="宋体" w:hAnsi="宋体"/>
          <w:highlight w:val="none"/>
        </w:rPr>
        <w:t>；由此造成的任何后果和损失均由我</w:t>
      </w:r>
      <w:r>
        <w:rPr>
          <w:rFonts w:hint="eastAsia" w:ascii="宋体" w:hAnsi="宋体"/>
          <w:highlight w:val="none"/>
        </w:rPr>
        <w:t>方</w:t>
      </w:r>
      <w:r>
        <w:rPr>
          <w:rFonts w:ascii="宋体" w:hAnsi="宋体"/>
          <w:highlight w:val="none"/>
        </w:rPr>
        <w:t>承担。本段承诺既是我</w:t>
      </w:r>
      <w:r>
        <w:rPr>
          <w:rFonts w:hint="eastAsia" w:ascii="宋体" w:hAnsi="宋体"/>
          <w:highlight w:val="none"/>
        </w:rPr>
        <w:t>方投标</w:t>
      </w:r>
      <w:r>
        <w:rPr>
          <w:rFonts w:ascii="宋体" w:hAnsi="宋体"/>
          <w:highlight w:val="none"/>
        </w:rPr>
        <w:t>文件的有效组成内容，也是我</w:t>
      </w:r>
      <w:r>
        <w:rPr>
          <w:rFonts w:hint="eastAsia" w:ascii="宋体" w:hAnsi="宋体"/>
          <w:highlight w:val="none"/>
        </w:rPr>
        <w:t>方</w:t>
      </w:r>
      <w:r>
        <w:rPr>
          <w:rFonts w:ascii="宋体" w:hAnsi="宋体"/>
          <w:highlight w:val="none"/>
        </w:rPr>
        <w:t>真实意思的表示，对我</w:t>
      </w:r>
      <w:r>
        <w:rPr>
          <w:rFonts w:hint="eastAsia" w:ascii="宋体" w:hAnsi="宋体"/>
          <w:highlight w:val="none"/>
        </w:rPr>
        <w:t>方</w:t>
      </w:r>
      <w:r>
        <w:rPr>
          <w:rFonts w:ascii="宋体" w:hAnsi="宋体"/>
          <w:highlight w:val="none"/>
        </w:rPr>
        <w:t>在与该项目有关的任何行为中始终具有优先的法律约束力。</w:t>
      </w:r>
    </w:p>
    <w:p>
      <w:pPr>
        <w:snapToGrid w:val="0"/>
        <w:spacing w:before="0" w:after="0" w:afterAutospacing="0" w:line="400" w:lineRule="exact"/>
        <w:ind w:left="0" w:right="0" w:firstLine="420" w:firstLineChars="200"/>
        <w:rPr>
          <w:rFonts w:ascii="宋体" w:hAnsi="宋体"/>
          <w:highlight w:val="none"/>
        </w:rPr>
      </w:pPr>
      <w:r>
        <w:rPr>
          <w:rFonts w:hint="eastAsia" w:ascii="宋体" w:hAnsi="宋体"/>
          <w:highlight w:val="none"/>
        </w:rPr>
        <w:t>9</w:t>
      </w:r>
      <w:r>
        <w:rPr>
          <w:rFonts w:ascii="宋体" w:hAnsi="宋体"/>
          <w:highlight w:val="none"/>
        </w:rPr>
        <w:t>、我方了解：无论</w:t>
      </w:r>
      <w:r>
        <w:rPr>
          <w:rFonts w:hint="eastAsia" w:ascii="宋体" w:hAnsi="宋体"/>
          <w:highlight w:val="none"/>
        </w:rPr>
        <w:t>是否中标</w:t>
      </w:r>
      <w:r>
        <w:rPr>
          <w:rFonts w:ascii="宋体" w:hAnsi="宋体"/>
          <w:highlight w:val="none"/>
        </w:rPr>
        <w:t>，我方将自行承担</w:t>
      </w:r>
      <w:r>
        <w:rPr>
          <w:rFonts w:hint="eastAsia" w:ascii="宋体" w:hAnsi="宋体"/>
          <w:highlight w:val="none"/>
        </w:rPr>
        <w:t>招投标</w:t>
      </w:r>
      <w:r>
        <w:rPr>
          <w:rFonts w:ascii="宋体" w:hAnsi="宋体"/>
          <w:highlight w:val="none"/>
        </w:rPr>
        <w:t>活动所需的一切费用。</w:t>
      </w:r>
    </w:p>
    <w:p>
      <w:pPr>
        <w:snapToGrid w:val="0"/>
        <w:spacing w:before="0" w:after="0" w:afterAutospacing="0" w:line="400" w:lineRule="exact"/>
        <w:ind w:left="0" w:right="0" w:firstLine="420" w:firstLineChars="200"/>
        <w:rPr>
          <w:rFonts w:ascii="宋体" w:hAnsi="宋体"/>
          <w:highlight w:val="none"/>
        </w:rPr>
      </w:pPr>
      <w:r>
        <w:rPr>
          <w:rFonts w:hint="eastAsia" w:ascii="宋体" w:hAnsi="宋体"/>
          <w:highlight w:val="none"/>
        </w:rPr>
        <w:t>10、我方保证本次投标的产品拥有合法的生产或销售权，并保证招标人在中华人民共和国使用该投标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0" w:firstLineChars="200"/>
        <w:jc w:val="left"/>
        <w:rPr>
          <w:rFonts w:ascii="宋体" w:hAnsi="宋体"/>
          <w:highlight w:val="none"/>
        </w:rPr>
      </w:pPr>
      <w:r>
        <w:rPr>
          <w:rFonts w:ascii="宋体" w:hAnsi="宋体"/>
          <w:highlight w:val="none"/>
        </w:rPr>
        <w:t>我</w:t>
      </w:r>
      <w:r>
        <w:rPr>
          <w:rFonts w:hint="eastAsia" w:ascii="宋体" w:hAnsi="宋体"/>
          <w:highlight w:val="none"/>
        </w:rPr>
        <w:t>方</w:t>
      </w:r>
      <w:r>
        <w:rPr>
          <w:rFonts w:ascii="宋体" w:hAnsi="宋体"/>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highlight w:val="none"/>
        </w:rPr>
      </w:pPr>
      <w:r>
        <w:rPr>
          <w:rFonts w:hint="eastAsia" w:ascii="宋体" w:hAnsi="宋体"/>
          <w:highlight w:val="none"/>
        </w:rPr>
        <w:t>投标</w:t>
      </w:r>
      <w:r>
        <w:rPr>
          <w:rFonts w:ascii="宋体" w:hAnsi="宋体"/>
          <w:highlight w:val="none"/>
        </w:rPr>
        <w:t>人</w:t>
      </w:r>
      <w:r>
        <w:rPr>
          <w:rFonts w:hint="eastAsia" w:ascii="宋体" w:hAnsi="宋体"/>
          <w:highlight w:val="none"/>
        </w:rPr>
        <w:t>：</w:t>
      </w:r>
      <w:r>
        <w:rPr>
          <w:rFonts w:ascii="宋体" w:hAnsi="宋体"/>
          <w:highlight w:val="none"/>
          <w:u w:val="single"/>
        </w:rPr>
        <w:t xml:space="preserve">    (</w:t>
      </w:r>
      <w:r>
        <w:rPr>
          <w:rFonts w:hint="eastAsia" w:ascii="宋体" w:hAnsi="宋体"/>
          <w:highlight w:val="none"/>
          <w:u w:val="single"/>
        </w:rPr>
        <w:t>盖单位公章</w:t>
      </w:r>
      <w:r>
        <w:rPr>
          <w:rFonts w:ascii="宋体" w:hAnsi="宋体"/>
          <w:highlight w:val="none"/>
          <w:u w:val="single"/>
        </w:rPr>
        <w:t>)</w:t>
      </w:r>
    </w:p>
    <w:p>
      <w:pPr>
        <w:snapToGrid w:val="0"/>
        <w:spacing w:before="0" w:after="0" w:afterAutospacing="0" w:line="400" w:lineRule="exact"/>
        <w:ind w:left="0" w:right="0" w:firstLine="426"/>
        <w:rPr>
          <w:rFonts w:ascii="宋体" w:hAnsi="宋体"/>
          <w:highlight w:val="none"/>
          <w:u w:val="single"/>
        </w:rPr>
      </w:pPr>
      <w:r>
        <w:rPr>
          <w:rFonts w:hint="eastAsia" w:ascii="宋体" w:hAnsi="宋体"/>
          <w:highlight w:val="none"/>
        </w:rPr>
        <w:t>法定代表人（或其委托代理人）：</w:t>
      </w:r>
      <w:r>
        <w:rPr>
          <w:rFonts w:ascii="宋体" w:hAnsi="宋体"/>
          <w:highlight w:val="none"/>
          <w:u w:val="single"/>
        </w:rPr>
        <w:t>(签字</w:t>
      </w:r>
      <w:r>
        <w:rPr>
          <w:rFonts w:hint="eastAsia" w:ascii="宋体" w:hAnsi="宋体"/>
          <w:highlight w:val="none"/>
          <w:u w:val="single"/>
        </w:rPr>
        <w:t>或盖章</w:t>
      </w:r>
      <w:r>
        <w:rPr>
          <w:rFonts w:ascii="宋体" w:hAnsi="宋体"/>
          <w:highlight w:val="none"/>
          <w:u w:val="single"/>
        </w:rPr>
        <w:t>)</w:t>
      </w:r>
    </w:p>
    <w:p>
      <w:pPr>
        <w:snapToGrid w:val="0"/>
        <w:spacing w:before="0" w:after="0" w:afterAutospacing="0" w:line="400" w:lineRule="exact"/>
        <w:ind w:left="0" w:right="0" w:firstLine="426"/>
        <w:rPr>
          <w:rFonts w:ascii="宋体" w:hAnsi="宋体"/>
          <w:highlight w:val="none"/>
          <w:u w:val="single"/>
        </w:rPr>
      </w:pPr>
      <w:r>
        <w:rPr>
          <w:rFonts w:hint="eastAsia" w:ascii="宋体" w:hAnsi="宋体"/>
          <w:highlight w:val="none"/>
        </w:rPr>
        <w:t>投标人</w:t>
      </w:r>
      <w:r>
        <w:rPr>
          <w:rFonts w:ascii="宋体" w:hAnsi="宋体"/>
          <w:highlight w:val="none"/>
        </w:rPr>
        <w:t>地址：</w:t>
      </w:r>
    </w:p>
    <w:p>
      <w:pPr>
        <w:snapToGrid w:val="0"/>
        <w:spacing w:before="0" w:after="0" w:afterAutospacing="0" w:line="400" w:lineRule="exact"/>
        <w:ind w:left="0" w:right="0" w:firstLine="426"/>
        <w:rPr>
          <w:rFonts w:ascii="宋体" w:hAnsi="宋体"/>
          <w:highlight w:val="none"/>
        </w:rPr>
      </w:pPr>
      <w:r>
        <w:rPr>
          <w:rFonts w:ascii="宋体" w:hAnsi="宋体"/>
          <w:highlight w:val="none"/>
        </w:rPr>
        <w:t>邮政编码：</w:t>
      </w:r>
    </w:p>
    <w:p>
      <w:pPr>
        <w:snapToGrid w:val="0"/>
        <w:spacing w:before="0" w:after="0" w:afterAutospacing="0" w:line="400" w:lineRule="exact"/>
        <w:ind w:left="0" w:right="0" w:firstLine="426"/>
        <w:rPr>
          <w:highlight w:val="none"/>
        </w:rPr>
      </w:pPr>
      <w:r>
        <w:rPr>
          <w:rFonts w:hint="eastAsia" w:ascii="宋体" w:hAnsi="宋体"/>
          <w:highlight w:val="none"/>
        </w:rPr>
        <w:t>联系</w:t>
      </w:r>
      <w:r>
        <w:rPr>
          <w:rFonts w:ascii="宋体" w:hAnsi="宋体"/>
          <w:highlight w:val="none"/>
        </w:rPr>
        <w:t>电话：</w:t>
      </w:r>
    </w:p>
    <w:p>
      <w:pPr>
        <w:snapToGrid w:val="0"/>
        <w:spacing w:before="0" w:after="0" w:afterAutospacing="0" w:line="400" w:lineRule="exact"/>
        <w:ind w:left="0" w:right="0" w:firstLine="426"/>
        <w:rPr>
          <w:rFonts w:ascii="宋体" w:hAnsi="宋体"/>
          <w:highlight w:val="none"/>
        </w:rPr>
      </w:pPr>
      <w:r>
        <w:rPr>
          <w:rFonts w:ascii="宋体" w:hAnsi="宋体"/>
          <w:highlight w:val="none"/>
        </w:rPr>
        <w:t>日期：</w:t>
      </w:r>
      <w:r>
        <w:rPr>
          <w:rFonts w:hint="eastAsia" w:ascii="宋体" w:hAnsi="宋体"/>
          <w:highlight w:val="none"/>
        </w:rPr>
        <w:t xml:space="preserve">   </w:t>
      </w:r>
      <w:r>
        <w:rPr>
          <w:rFonts w:ascii="宋体" w:hAnsi="宋体"/>
          <w:highlight w:val="none"/>
        </w:rPr>
        <w:t>年</w:t>
      </w:r>
      <w:r>
        <w:rPr>
          <w:rFonts w:hint="eastAsia" w:ascii="宋体" w:hAnsi="宋体"/>
          <w:highlight w:val="none"/>
        </w:rPr>
        <w:t xml:space="preserve">   </w:t>
      </w:r>
      <w:r>
        <w:rPr>
          <w:rFonts w:ascii="宋体" w:hAnsi="宋体"/>
          <w:highlight w:val="none"/>
        </w:rPr>
        <w:t>月</w:t>
      </w:r>
      <w:r>
        <w:rPr>
          <w:rFonts w:hint="eastAsia" w:ascii="宋体" w:hAnsi="宋体"/>
          <w:highlight w:val="none"/>
        </w:rPr>
        <w:t xml:space="preserve">   </w:t>
      </w:r>
      <w:r>
        <w:rPr>
          <w:rFonts w:ascii="宋体" w:hAnsi="宋体"/>
          <w:highlight w:val="none"/>
        </w:rPr>
        <w:t>日</w:t>
      </w:r>
    </w:p>
    <w:p>
      <w:pPr>
        <w:pStyle w:val="2"/>
        <w:ind w:firstLine="480"/>
        <w:rPr>
          <w:rFonts w:eastAsia="宋体"/>
          <w:highlight w:val="none"/>
        </w:rPr>
      </w:pPr>
      <w:bookmarkStart w:id="1484" w:name="_Toc1350"/>
      <w:bookmarkStart w:id="1485" w:name="_Toc24772"/>
      <w:bookmarkStart w:id="1486" w:name="_Toc26582"/>
      <w:bookmarkStart w:id="1487" w:name="_Toc6374"/>
      <w:bookmarkStart w:id="1488" w:name="_Toc4193"/>
      <w:bookmarkStart w:id="1489" w:name="_Toc7673"/>
      <w:bookmarkStart w:id="1490" w:name="_Toc24272"/>
      <w:bookmarkStart w:id="1491" w:name="_Toc14988"/>
      <w:bookmarkStart w:id="1492" w:name="_Toc10812"/>
      <w:bookmarkStart w:id="1493" w:name="_Toc414290525"/>
      <w:bookmarkStart w:id="1494" w:name="_Toc12677"/>
      <w:bookmarkStart w:id="1495" w:name="_Toc492478807"/>
      <w:bookmarkStart w:id="1496" w:name="_Toc17641"/>
      <w:bookmarkStart w:id="1497" w:name="_Toc939"/>
      <w:bookmarkStart w:id="1498" w:name="_Toc4923"/>
      <w:bookmarkStart w:id="1499" w:name="_Toc11582"/>
      <w:bookmarkStart w:id="1500" w:name="_Toc12983551"/>
      <w:bookmarkStart w:id="1501" w:name="_Toc17687"/>
      <w:bookmarkStart w:id="1502" w:name="_Toc28662"/>
      <w:bookmarkStart w:id="1503" w:name="_Toc27820"/>
      <w:bookmarkStart w:id="1504" w:name="_Toc14586"/>
      <w:bookmarkStart w:id="1505" w:name="_Toc16676"/>
      <w:bookmarkStart w:id="1506" w:name="_Toc12984811"/>
      <w:bookmarkStart w:id="1507" w:name="_Toc29358"/>
      <w:bookmarkStart w:id="1508" w:name="_Toc18876"/>
      <w:bookmarkStart w:id="1509" w:name="_Toc8914"/>
      <w:bookmarkStart w:id="1510" w:name="_Toc8451"/>
      <w:bookmarkStart w:id="1511" w:name="_Toc23770"/>
      <w:bookmarkStart w:id="1512" w:name="_Toc23091"/>
      <w:bookmarkStart w:id="1513" w:name="_Toc13328"/>
      <w:bookmarkStart w:id="1514" w:name="_Toc24971"/>
      <w:bookmarkStart w:id="1515" w:name="_Toc10879"/>
      <w:bookmarkStart w:id="1516" w:name="_Toc5839"/>
      <w:bookmarkStart w:id="1517" w:name="_Toc7328"/>
      <w:bookmarkStart w:id="1518" w:name="_Toc8874"/>
      <w:r>
        <w:rPr>
          <w:rFonts w:hint="eastAsia" w:eastAsia="宋体"/>
          <w:highlight w:val="none"/>
        </w:rPr>
        <w:t xml:space="preserve">                                                       正本/副本</w:t>
      </w:r>
    </w:p>
    <w:p>
      <w:pPr>
        <w:jc w:val="center"/>
        <w:rPr>
          <w:rFonts w:ascii="宋体" w:hAnsi="宋体"/>
          <w:sz w:val="28"/>
          <w:szCs w:val="28"/>
          <w:highlight w:val="none"/>
          <w:u w:val="single"/>
        </w:rPr>
      </w:pPr>
    </w:p>
    <w:p>
      <w:pPr>
        <w:jc w:val="center"/>
        <w:rPr>
          <w:rFonts w:ascii="宋体" w:hAnsi="宋体"/>
          <w:sz w:val="28"/>
          <w:szCs w:val="28"/>
          <w:highlight w:val="none"/>
        </w:rPr>
      </w:pPr>
      <w:r>
        <w:rPr>
          <w:rFonts w:ascii="宋体" w:hAnsi="宋体"/>
          <w:sz w:val="28"/>
          <w:szCs w:val="28"/>
          <w:highlight w:val="none"/>
          <w:u w:val="single"/>
        </w:rPr>
        <w:t>（项目名称）</w:t>
      </w:r>
      <w:r>
        <w:rPr>
          <w:rFonts w:hint="eastAsia" w:ascii="宋体" w:hAnsi="宋体"/>
          <w:sz w:val="28"/>
          <w:szCs w:val="28"/>
          <w:highlight w:val="none"/>
          <w:u w:val="single"/>
        </w:rPr>
        <w:t>项目</w:t>
      </w:r>
    </w:p>
    <w:p>
      <w:pPr>
        <w:spacing w:before="240" w:beforeLines="100"/>
        <w:jc w:val="center"/>
        <w:rPr>
          <w:rFonts w:ascii="宋体" w:hAnsi="宋体"/>
          <w:sz w:val="56"/>
          <w:szCs w:val="56"/>
          <w:highlight w:val="none"/>
        </w:rPr>
      </w:pPr>
      <w:r>
        <w:rPr>
          <w:rFonts w:ascii="宋体" w:hAnsi="宋体"/>
          <w:sz w:val="56"/>
          <w:szCs w:val="56"/>
          <w:highlight w:val="none"/>
        </w:rPr>
        <w:t>投  标  文  件</w:t>
      </w:r>
    </w:p>
    <w:p>
      <w:pPr>
        <w:jc w:val="center"/>
        <w:outlineLvl w:val="1"/>
        <w:rPr>
          <w:rFonts w:ascii="宋体" w:hAnsi="宋体"/>
          <w:sz w:val="36"/>
          <w:szCs w:val="36"/>
          <w:highlight w:val="none"/>
          <w:u w:val="single"/>
        </w:rPr>
      </w:pPr>
      <w:bookmarkStart w:id="1519" w:name="_Toc15166"/>
      <w:bookmarkStart w:id="1520" w:name="_Toc11824"/>
      <w:bookmarkStart w:id="1521" w:name="_Toc6062"/>
      <w:bookmarkStart w:id="1522" w:name="_Toc17892"/>
      <w:bookmarkStart w:id="1523" w:name="_Toc2901"/>
      <w:r>
        <w:rPr>
          <w:rFonts w:hint="eastAsia" w:ascii="宋体" w:hAnsi="宋体"/>
          <w:sz w:val="36"/>
          <w:szCs w:val="36"/>
          <w:highlight w:val="none"/>
          <w:u w:val="single"/>
        </w:rPr>
        <w:t>资信文件</w:t>
      </w:r>
      <w:bookmarkEnd w:id="1519"/>
      <w:bookmarkEnd w:id="1520"/>
      <w:bookmarkEnd w:id="1521"/>
      <w:bookmarkEnd w:id="1522"/>
      <w:bookmarkEnd w:id="1523"/>
    </w:p>
    <w:p>
      <w:pPr>
        <w:ind w:firstLine="2380" w:firstLineChars="850"/>
        <w:rPr>
          <w:rFonts w:ascii="宋体" w:hAnsi="宋体"/>
          <w:sz w:val="28"/>
          <w:szCs w:val="28"/>
          <w:highlight w:val="none"/>
        </w:rPr>
      </w:pPr>
    </w:p>
    <w:p>
      <w:pPr>
        <w:ind w:firstLine="2380" w:firstLineChars="850"/>
        <w:rPr>
          <w:rFonts w:ascii="宋体" w:hAnsi="宋体"/>
          <w:sz w:val="28"/>
          <w:szCs w:val="28"/>
          <w:highlight w:val="none"/>
          <w:u w:val="single"/>
        </w:rPr>
      </w:pPr>
      <w:r>
        <w:rPr>
          <w:rFonts w:hint="eastAsia" w:ascii="宋体" w:hAnsi="宋体"/>
          <w:sz w:val="28"/>
          <w:szCs w:val="28"/>
          <w:highlight w:val="none"/>
        </w:rPr>
        <w:t>项目</w:t>
      </w:r>
      <w:r>
        <w:rPr>
          <w:rFonts w:ascii="宋体" w:hAnsi="宋体"/>
          <w:sz w:val="28"/>
          <w:szCs w:val="28"/>
          <w:highlight w:val="none"/>
        </w:rPr>
        <w:t>编号：</w:t>
      </w:r>
      <w:r>
        <w:rPr>
          <w:rFonts w:hint="eastAsia" w:ascii="宋体" w:hAnsi="宋体"/>
          <w:sz w:val="28"/>
          <w:szCs w:val="28"/>
          <w:highlight w:val="none"/>
          <w:u w:val="single"/>
        </w:rPr>
        <w:t xml:space="preserve">                </w:t>
      </w:r>
    </w:p>
    <w:p>
      <w:pPr>
        <w:jc w:val="center"/>
        <w:rPr>
          <w:rFonts w:ascii="宋体" w:hAnsi="宋体"/>
          <w:sz w:val="32"/>
          <w:szCs w:val="32"/>
          <w:highlight w:val="none"/>
        </w:rPr>
      </w:pPr>
    </w:p>
    <w:p>
      <w:pPr>
        <w:jc w:val="center"/>
        <w:rPr>
          <w:rFonts w:ascii="宋体" w:hAnsi="宋体"/>
          <w:sz w:val="32"/>
          <w:szCs w:val="32"/>
          <w:highlight w:val="none"/>
        </w:rPr>
      </w:pPr>
    </w:p>
    <w:p>
      <w:pPr>
        <w:ind w:firstLine="1400" w:firstLineChars="500"/>
        <w:rPr>
          <w:rFonts w:ascii="宋体" w:hAnsi="宋体"/>
          <w:sz w:val="28"/>
          <w:szCs w:val="28"/>
          <w:highlight w:val="none"/>
        </w:rPr>
      </w:pPr>
      <w:r>
        <w:rPr>
          <w:rFonts w:ascii="宋体" w:hAnsi="宋体"/>
          <w:sz w:val="28"/>
          <w:szCs w:val="28"/>
          <w:highlight w:val="none"/>
        </w:rPr>
        <w:t>投标人：</w:t>
      </w:r>
      <w:r>
        <w:rPr>
          <w:rFonts w:hint="eastAsia" w:ascii="宋体" w:hAnsi="宋体"/>
          <w:sz w:val="28"/>
          <w:szCs w:val="28"/>
          <w:highlight w:val="none"/>
          <w:u w:val="single"/>
        </w:rPr>
        <w:t xml:space="preserve">                      </w:t>
      </w:r>
      <w:r>
        <w:rPr>
          <w:rFonts w:ascii="宋体" w:hAnsi="宋体"/>
          <w:sz w:val="28"/>
          <w:szCs w:val="28"/>
          <w:highlight w:val="none"/>
          <w:u w:val="single"/>
        </w:rPr>
        <w:t>（</w:t>
      </w:r>
      <w:r>
        <w:rPr>
          <w:rFonts w:ascii="宋体" w:hAnsi="宋体"/>
          <w:sz w:val="28"/>
          <w:szCs w:val="28"/>
          <w:highlight w:val="none"/>
        </w:rPr>
        <w:t>盖单位</w:t>
      </w:r>
      <w:r>
        <w:rPr>
          <w:rFonts w:hint="eastAsia" w:ascii="宋体" w:hAnsi="宋体"/>
          <w:sz w:val="28"/>
          <w:szCs w:val="28"/>
          <w:highlight w:val="none"/>
        </w:rPr>
        <w:t>公</w:t>
      </w:r>
      <w:r>
        <w:rPr>
          <w:rFonts w:ascii="宋体" w:hAnsi="宋体"/>
          <w:sz w:val="28"/>
          <w:szCs w:val="28"/>
          <w:highlight w:val="none"/>
        </w:rPr>
        <w:t>章）</w:t>
      </w:r>
    </w:p>
    <w:p>
      <w:pPr>
        <w:ind w:firstLine="1400" w:firstLineChars="500"/>
        <w:rPr>
          <w:rFonts w:ascii="宋体" w:hAnsi="宋体"/>
          <w:sz w:val="28"/>
          <w:szCs w:val="28"/>
          <w:highlight w:val="none"/>
        </w:rPr>
      </w:pPr>
      <w:r>
        <w:rPr>
          <w:rFonts w:hint="eastAsia" w:ascii="宋体" w:hAnsi="宋体"/>
          <w:sz w:val="28"/>
          <w:szCs w:val="28"/>
          <w:highlight w:val="none"/>
        </w:rPr>
        <w:t>法定代表人或其委托代理人</w:t>
      </w:r>
      <w:r>
        <w:rPr>
          <w:rFonts w:ascii="宋体" w:hAnsi="宋体"/>
          <w:sz w:val="28"/>
          <w:szCs w:val="28"/>
          <w:highlight w:val="none"/>
        </w:rPr>
        <w:t>：</w:t>
      </w:r>
      <w:r>
        <w:rPr>
          <w:rFonts w:hint="eastAsia" w:ascii="宋体" w:hAnsi="宋体"/>
          <w:sz w:val="28"/>
          <w:szCs w:val="28"/>
          <w:highlight w:val="none"/>
          <w:u w:val="single"/>
        </w:rPr>
        <w:t xml:space="preserve">     </w:t>
      </w:r>
      <w:r>
        <w:rPr>
          <w:rFonts w:ascii="宋体" w:hAnsi="宋体"/>
          <w:sz w:val="28"/>
          <w:szCs w:val="28"/>
          <w:highlight w:val="none"/>
        </w:rPr>
        <w:t>（签字</w:t>
      </w:r>
      <w:r>
        <w:rPr>
          <w:rFonts w:hint="eastAsia" w:ascii="宋体" w:hAnsi="宋体"/>
          <w:sz w:val="28"/>
          <w:szCs w:val="28"/>
          <w:highlight w:val="none"/>
        </w:rPr>
        <w:t>或盖章</w:t>
      </w:r>
      <w:r>
        <w:rPr>
          <w:rFonts w:ascii="宋体" w:hAnsi="宋体"/>
          <w:sz w:val="28"/>
          <w:szCs w:val="28"/>
          <w:highlight w:val="none"/>
        </w:rPr>
        <w:t>）</w:t>
      </w:r>
    </w:p>
    <w:p>
      <w:pPr>
        <w:rPr>
          <w:rFonts w:ascii="宋体" w:hAnsi="宋体"/>
          <w:sz w:val="28"/>
          <w:szCs w:val="28"/>
          <w:highlight w:val="none"/>
        </w:rPr>
      </w:pPr>
    </w:p>
    <w:p>
      <w:pPr>
        <w:ind w:left="0" w:firstLine="3640" w:firstLineChars="1300"/>
        <w:rPr>
          <w:rFonts w:ascii="宋体" w:hAnsi="宋体"/>
          <w:sz w:val="28"/>
          <w:szCs w:val="28"/>
          <w:highlight w:val="none"/>
        </w:rPr>
      </w:pPr>
      <w:r>
        <w:rPr>
          <w:rFonts w:ascii="宋体" w:hAnsi="宋体"/>
          <w:sz w:val="28"/>
          <w:szCs w:val="28"/>
          <w:highlight w:val="none"/>
        </w:rPr>
        <w:t>年</w:t>
      </w:r>
      <w:r>
        <w:rPr>
          <w:rFonts w:hint="eastAsia" w:ascii="宋体" w:hAnsi="宋体"/>
          <w:sz w:val="28"/>
          <w:szCs w:val="28"/>
          <w:highlight w:val="none"/>
        </w:rPr>
        <w:t xml:space="preserve"> </w:t>
      </w:r>
      <w:r>
        <w:rPr>
          <w:rFonts w:ascii="宋体" w:hAnsi="宋体"/>
          <w:sz w:val="28"/>
          <w:szCs w:val="28"/>
          <w:highlight w:val="none"/>
        </w:rPr>
        <w:t xml:space="preserve">  </w:t>
      </w:r>
      <w:r>
        <w:rPr>
          <w:rFonts w:hint="eastAsia" w:ascii="宋体" w:hAnsi="宋体"/>
          <w:sz w:val="28"/>
          <w:szCs w:val="28"/>
          <w:highlight w:val="none"/>
        </w:rPr>
        <w:t xml:space="preserve"> </w:t>
      </w:r>
      <w:r>
        <w:rPr>
          <w:rFonts w:ascii="宋体" w:hAnsi="宋体"/>
          <w:sz w:val="28"/>
          <w:szCs w:val="28"/>
          <w:highlight w:val="none"/>
        </w:rPr>
        <w:t>月</w:t>
      </w:r>
      <w:r>
        <w:rPr>
          <w:rFonts w:hint="eastAsia" w:ascii="宋体" w:hAnsi="宋体"/>
          <w:sz w:val="28"/>
          <w:szCs w:val="28"/>
          <w:highlight w:val="none"/>
        </w:rPr>
        <w:t xml:space="preserve">    日</w:t>
      </w:r>
    </w:p>
    <w:p>
      <w:pPr>
        <w:widowControl w:val="0"/>
        <w:spacing w:before="0" w:after="0" w:afterAutospacing="0"/>
        <w:ind w:left="0" w:right="0" w:firstLine="0"/>
        <w:jc w:val="center"/>
        <w:rPr>
          <w:b/>
          <w:sz w:val="28"/>
          <w:szCs w:val="28"/>
          <w:highlight w:val="none"/>
        </w:rPr>
      </w:pPr>
    </w:p>
    <w:p>
      <w:pPr>
        <w:widowControl w:val="0"/>
        <w:spacing w:before="0" w:after="0" w:afterAutospacing="0"/>
        <w:ind w:left="0" w:right="0" w:firstLine="0"/>
        <w:jc w:val="center"/>
        <w:rPr>
          <w:b/>
          <w:sz w:val="28"/>
          <w:szCs w:val="28"/>
          <w:highlight w:val="none"/>
        </w:rPr>
      </w:pPr>
    </w:p>
    <w:p>
      <w:pPr>
        <w:widowControl w:val="0"/>
        <w:spacing w:before="0" w:after="0" w:afterAutospacing="0"/>
        <w:ind w:left="0" w:right="0" w:firstLine="0"/>
        <w:jc w:val="center"/>
        <w:rPr>
          <w:b/>
          <w:sz w:val="28"/>
          <w:szCs w:val="28"/>
          <w:highlight w:val="none"/>
        </w:rPr>
      </w:pPr>
    </w:p>
    <w:p>
      <w:pPr>
        <w:widowControl w:val="0"/>
        <w:spacing w:before="0" w:after="0" w:afterAutospacing="0"/>
        <w:ind w:left="0" w:right="0" w:firstLine="0"/>
        <w:jc w:val="center"/>
        <w:rPr>
          <w:b/>
          <w:sz w:val="28"/>
          <w:szCs w:val="28"/>
          <w:highlight w:val="none"/>
        </w:rPr>
      </w:pPr>
    </w:p>
    <w:bookmarkEnd w:id="1484"/>
    <w:bookmarkEnd w:id="1485"/>
    <w:bookmarkEnd w:id="1486"/>
    <w:bookmarkEnd w:id="1487"/>
    <w:bookmarkEnd w:id="1488"/>
    <w:bookmarkEnd w:id="1489"/>
    <w:bookmarkEnd w:id="1490"/>
    <w:p>
      <w:pPr>
        <w:widowControl w:val="0"/>
        <w:spacing w:before="0" w:after="0" w:afterAutospacing="0"/>
        <w:ind w:left="0" w:right="0" w:firstLine="0"/>
        <w:jc w:val="center"/>
        <w:rPr>
          <w:b/>
          <w:sz w:val="28"/>
          <w:szCs w:val="28"/>
          <w:highlight w:val="none"/>
        </w:rPr>
      </w:pPr>
      <w:r>
        <w:rPr>
          <w:rFonts w:hint="eastAsia"/>
          <w:b/>
          <w:sz w:val="28"/>
          <w:szCs w:val="28"/>
          <w:highlight w:val="none"/>
        </w:rPr>
        <w:t>目录</w:t>
      </w:r>
    </w:p>
    <w:p>
      <w:pPr>
        <w:spacing w:before="0" w:after="0" w:afterAutospacing="0" w:line="240" w:lineRule="auto"/>
        <w:ind w:left="0" w:right="0" w:firstLine="0"/>
        <w:rPr>
          <w:b/>
          <w:highlight w:val="none"/>
        </w:rPr>
      </w:pPr>
    </w:p>
    <w:p>
      <w:pPr>
        <w:spacing w:before="0" w:after="0" w:afterAutospacing="0"/>
        <w:ind w:left="0" w:right="0" w:firstLine="0"/>
        <w:rPr>
          <w:highlight w:val="none"/>
        </w:rPr>
      </w:pPr>
      <w:r>
        <w:rPr>
          <w:rFonts w:hint="eastAsia"/>
          <w:highlight w:val="none"/>
        </w:rPr>
        <w:t>（1）财务状况；（如有）</w:t>
      </w:r>
    </w:p>
    <w:p>
      <w:pPr>
        <w:spacing w:before="0" w:after="0" w:afterAutospacing="0"/>
        <w:ind w:left="0" w:right="0" w:firstLine="0"/>
        <w:rPr>
          <w:highlight w:val="none"/>
        </w:rPr>
      </w:pPr>
      <w:r>
        <w:rPr>
          <w:rFonts w:hint="eastAsia"/>
          <w:highlight w:val="none"/>
        </w:rPr>
        <w:t>（2）纳税信用等级；（如有）</w:t>
      </w:r>
    </w:p>
    <w:p>
      <w:pPr>
        <w:spacing w:before="0" w:after="0" w:afterAutospacing="0"/>
        <w:ind w:left="0" w:right="0" w:firstLine="0"/>
        <w:rPr>
          <w:highlight w:val="none"/>
        </w:rPr>
      </w:pPr>
      <w:r>
        <w:rPr>
          <w:rFonts w:hint="eastAsia"/>
          <w:highlight w:val="none"/>
        </w:rPr>
        <w:t>（3）企业管理体系认证；（如有）</w:t>
      </w:r>
    </w:p>
    <w:p>
      <w:pPr>
        <w:spacing w:before="0" w:after="0" w:afterAutospacing="0"/>
        <w:ind w:left="0" w:right="0" w:firstLine="0"/>
        <w:rPr>
          <w:highlight w:val="none"/>
        </w:rPr>
      </w:pPr>
      <w:r>
        <w:rPr>
          <w:rFonts w:hint="eastAsia"/>
          <w:highlight w:val="none"/>
        </w:rPr>
        <w:t>（4）</w:t>
      </w:r>
      <w:r>
        <w:rPr>
          <w:rFonts w:hint="eastAsia" w:ascii="宋体" w:hAnsi="宋体"/>
          <w:highlight w:val="none"/>
        </w:rPr>
        <w:t>供货能力保障</w:t>
      </w:r>
      <w:r>
        <w:rPr>
          <w:rFonts w:hint="eastAsia"/>
          <w:highlight w:val="none"/>
        </w:rPr>
        <w:t>；（如有）</w:t>
      </w:r>
    </w:p>
    <w:p>
      <w:pPr>
        <w:spacing w:before="0" w:after="0" w:afterAutospacing="0"/>
        <w:ind w:left="0" w:right="0" w:firstLine="0"/>
        <w:rPr>
          <w:highlight w:val="none"/>
        </w:rPr>
      </w:pPr>
      <w:r>
        <w:rPr>
          <w:rFonts w:hint="eastAsia"/>
          <w:highlight w:val="none"/>
        </w:rPr>
        <w:t>（5）信誉；（如有）</w:t>
      </w:r>
    </w:p>
    <w:p>
      <w:pPr>
        <w:spacing w:before="0" w:after="0" w:afterAutospacing="0"/>
        <w:ind w:left="0" w:right="0" w:firstLine="0"/>
        <w:rPr>
          <w:highlight w:val="none"/>
        </w:rPr>
      </w:pPr>
      <w:r>
        <w:rPr>
          <w:rFonts w:hint="eastAsia"/>
          <w:highlight w:val="none"/>
        </w:rPr>
        <w:t>（6）投标人认为应提交的其他投标资料。（如有）</w:t>
      </w:r>
    </w:p>
    <w:p>
      <w:pPr>
        <w:pStyle w:val="2"/>
        <w:ind w:left="0" w:leftChars="0" w:firstLine="0" w:firstLineChars="0"/>
        <w:rPr>
          <w:highlight w:val="none"/>
        </w:rPr>
        <w:sectPr>
          <w:pgSz w:w="11905" w:h="16838"/>
          <w:pgMar w:top="1417" w:right="1417" w:bottom="1417" w:left="1417" w:header="454" w:footer="567" w:gutter="0"/>
          <w:pgNumType w:fmt="decimal"/>
          <w:cols w:space="720" w:num="1"/>
          <w:docGrid w:linePitch="319" w:charSpace="0"/>
        </w:sectPr>
      </w:pPr>
    </w:p>
    <w:p>
      <w:pPr>
        <w:pStyle w:val="2"/>
        <w:ind w:firstLine="480"/>
        <w:rPr>
          <w:rFonts w:eastAsia="宋体"/>
          <w:highlight w:val="none"/>
        </w:rPr>
      </w:pPr>
      <w:bookmarkStart w:id="1524" w:name="_Toc7177"/>
      <w:bookmarkStart w:id="1525" w:name="_Toc12048"/>
      <w:bookmarkStart w:id="1526" w:name="_Toc12990"/>
      <w:bookmarkStart w:id="1527" w:name="_Toc26222"/>
      <w:bookmarkStart w:id="1528" w:name="_Toc12267"/>
      <w:bookmarkStart w:id="1529" w:name="_Toc5064"/>
      <w:bookmarkStart w:id="1530" w:name="_Toc22569"/>
      <w:r>
        <w:rPr>
          <w:rFonts w:hint="eastAsia" w:eastAsia="宋体"/>
          <w:highlight w:val="none"/>
        </w:rPr>
        <w:t xml:space="preserve">                                                       正本/副本</w:t>
      </w:r>
    </w:p>
    <w:p>
      <w:pPr>
        <w:jc w:val="center"/>
        <w:rPr>
          <w:rFonts w:ascii="宋体" w:hAnsi="宋体"/>
          <w:sz w:val="28"/>
          <w:szCs w:val="28"/>
          <w:highlight w:val="none"/>
          <w:u w:val="single"/>
        </w:rPr>
      </w:pPr>
    </w:p>
    <w:p>
      <w:pPr>
        <w:jc w:val="center"/>
        <w:rPr>
          <w:rFonts w:ascii="宋体" w:hAnsi="宋体"/>
          <w:sz w:val="28"/>
          <w:szCs w:val="28"/>
          <w:highlight w:val="none"/>
        </w:rPr>
      </w:pPr>
      <w:r>
        <w:rPr>
          <w:rFonts w:ascii="宋体" w:hAnsi="宋体"/>
          <w:sz w:val="28"/>
          <w:szCs w:val="28"/>
          <w:highlight w:val="none"/>
          <w:u w:val="single"/>
        </w:rPr>
        <w:t>（项目名称）</w:t>
      </w:r>
      <w:r>
        <w:rPr>
          <w:rFonts w:hint="eastAsia" w:ascii="宋体" w:hAnsi="宋体"/>
          <w:sz w:val="28"/>
          <w:szCs w:val="28"/>
          <w:highlight w:val="none"/>
          <w:u w:val="single"/>
        </w:rPr>
        <w:t>项目</w:t>
      </w:r>
    </w:p>
    <w:p>
      <w:pPr>
        <w:spacing w:before="240" w:beforeLines="100"/>
        <w:jc w:val="center"/>
        <w:rPr>
          <w:rFonts w:ascii="宋体" w:hAnsi="宋体"/>
          <w:sz w:val="56"/>
          <w:szCs w:val="56"/>
          <w:highlight w:val="none"/>
        </w:rPr>
      </w:pPr>
      <w:r>
        <w:rPr>
          <w:rFonts w:ascii="宋体" w:hAnsi="宋体"/>
          <w:sz w:val="56"/>
          <w:szCs w:val="56"/>
          <w:highlight w:val="none"/>
        </w:rPr>
        <w:t>投  标  文  件</w:t>
      </w:r>
    </w:p>
    <w:p>
      <w:pPr>
        <w:jc w:val="center"/>
        <w:outlineLvl w:val="1"/>
        <w:rPr>
          <w:rFonts w:ascii="宋体" w:hAnsi="宋体"/>
          <w:sz w:val="36"/>
          <w:szCs w:val="36"/>
          <w:highlight w:val="none"/>
          <w:u w:val="single"/>
        </w:rPr>
      </w:pPr>
      <w:bookmarkStart w:id="1531" w:name="_Toc16944"/>
      <w:bookmarkStart w:id="1532" w:name="_Toc19455"/>
      <w:bookmarkStart w:id="1533" w:name="_Toc25768"/>
      <w:bookmarkStart w:id="1534" w:name="_Toc15112"/>
      <w:bookmarkStart w:id="1535" w:name="_Toc18099"/>
      <w:r>
        <w:rPr>
          <w:rFonts w:hint="eastAsia" w:ascii="宋体" w:hAnsi="宋体"/>
          <w:sz w:val="36"/>
          <w:szCs w:val="36"/>
          <w:highlight w:val="none"/>
          <w:u w:val="single"/>
        </w:rPr>
        <w:t>技术文件</w:t>
      </w:r>
      <w:bookmarkEnd w:id="1531"/>
      <w:bookmarkEnd w:id="1532"/>
      <w:bookmarkEnd w:id="1533"/>
      <w:bookmarkEnd w:id="1534"/>
      <w:bookmarkEnd w:id="1535"/>
    </w:p>
    <w:p>
      <w:pPr>
        <w:ind w:firstLine="2380" w:firstLineChars="850"/>
        <w:rPr>
          <w:rFonts w:ascii="宋体" w:hAnsi="宋体"/>
          <w:sz w:val="28"/>
          <w:szCs w:val="28"/>
          <w:highlight w:val="none"/>
        </w:rPr>
      </w:pPr>
    </w:p>
    <w:p>
      <w:pPr>
        <w:ind w:firstLine="2380" w:firstLineChars="850"/>
        <w:rPr>
          <w:rFonts w:ascii="宋体" w:hAnsi="宋体"/>
          <w:sz w:val="28"/>
          <w:szCs w:val="28"/>
          <w:highlight w:val="none"/>
          <w:u w:val="single"/>
        </w:rPr>
      </w:pPr>
      <w:r>
        <w:rPr>
          <w:rFonts w:hint="eastAsia" w:ascii="宋体" w:hAnsi="宋体"/>
          <w:sz w:val="28"/>
          <w:szCs w:val="28"/>
          <w:highlight w:val="none"/>
        </w:rPr>
        <w:t>项目</w:t>
      </w:r>
      <w:r>
        <w:rPr>
          <w:rFonts w:ascii="宋体" w:hAnsi="宋体"/>
          <w:sz w:val="28"/>
          <w:szCs w:val="28"/>
          <w:highlight w:val="none"/>
        </w:rPr>
        <w:t>编号：</w:t>
      </w:r>
      <w:r>
        <w:rPr>
          <w:rFonts w:hint="eastAsia" w:ascii="宋体" w:hAnsi="宋体"/>
          <w:sz w:val="28"/>
          <w:szCs w:val="28"/>
          <w:highlight w:val="none"/>
          <w:u w:val="single"/>
        </w:rPr>
        <w:t xml:space="preserve">                </w:t>
      </w:r>
    </w:p>
    <w:p>
      <w:pPr>
        <w:jc w:val="center"/>
        <w:rPr>
          <w:rFonts w:ascii="宋体" w:hAnsi="宋体"/>
          <w:sz w:val="32"/>
          <w:szCs w:val="32"/>
          <w:highlight w:val="none"/>
        </w:rPr>
      </w:pPr>
    </w:p>
    <w:p>
      <w:pPr>
        <w:jc w:val="center"/>
        <w:rPr>
          <w:rFonts w:ascii="宋体" w:hAnsi="宋体"/>
          <w:sz w:val="32"/>
          <w:szCs w:val="32"/>
          <w:highlight w:val="none"/>
        </w:rPr>
      </w:pPr>
    </w:p>
    <w:p>
      <w:pPr>
        <w:ind w:firstLine="1400" w:firstLineChars="500"/>
        <w:rPr>
          <w:rFonts w:ascii="宋体" w:hAnsi="宋体"/>
          <w:sz w:val="28"/>
          <w:szCs w:val="28"/>
          <w:highlight w:val="none"/>
        </w:rPr>
      </w:pPr>
      <w:r>
        <w:rPr>
          <w:rFonts w:ascii="宋体" w:hAnsi="宋体"/>
          <w:sz w:val="28"/>
          <w:szCs w:val="28"/>
          <w:highlight w:val="none"/>
        </w:rPr>
        <w:t>投标人：</w:t>
      </w:r>
      <w:r>
        <w:rPr>
          <w:rFonts w:hint="eastAsia" w:ascii="宋体" w:hAnsi="宋体"/>
          <w:sz w:val="28"/>
          <w:szCs w:val="28"/>
          <w:highlight w:val="none"/>
          <w:u w:val="single"/>
        </w:rPr>
        <w:t xml:space="preserve">                      </w:t>
      </w:r>
      <w:r>
        <w:rPr>
          <w:rFonts w:ascii="宋体" w:hAnsi="宋体"/>
          <w:sz w:val="28"/>
          <w:szCs w:val="28"/>
          <w:highlight w:val="none"/>
          <w:u w:val="single"/>
        </w:rPr>
        <w:t>（</w:t>
      </w:r>
      <w:r>
        <w:rPr>
          <w:rFonts w:ascii="宋体" w:hAnsi="宋体"/>
          <w:sz w:val="28"/>
          <w:szCs w:val="28"/>
          <w:highlight w:val="none"/>
        </w:rPr>
        <w:t>盖单位</w:t>
      </w:r>
      <w:r>
        <w:rPr>
          <w:rFonts w:hint="eastAsia" w:ascii="宋体" w:hAnsi="宋体"/>
          <w:sz w:val="28"/>
          <w:szCs w:val="28"/>
          <w:highlight w:val="none"/>
        </w:rPr>
        <w:t>公</w:t>
      </w:r>
      <w:r>
        <w:rPr>
          <w:rFonts w:ascii="宋体" w:hAnsi="宋体"/>
          <w:sz w:val="28"/>
          <w:szCs w:val="28"/>
          <w:highlight w:val="none"/>
        </w:rPr>
        <w:t>章）</w:t>
      </w:r>
    </w:p>
    <w:p>
      <w:pPr>
        <w:ind w:firstLine="1400" w:firstLineChars="500"/>
        <w:rPr>
          <w:rFonts w:ascii="宋体" w:hAnsi="宋体"/>
          <w:sz w:val="28"/>
          <w:szCs w:val="28"/>
          <w:highlight w:val="none"/>
        </w:rPr>
      </w:pPr>
      <w:r>
        <w:rPr>
          <w:rFonts w:hint="eastAsia" w:ascii="宋体" w:hAnsi="宋体"/>
          <w:sz w:val="28"/>
          <w:szCs w:val="28"/>
          <w:highlight w:val="none"/>
        </w:rPr>
        <w:t>法定代表人或其委托代理人</w:t>
      </w:r>
      <w:r>
        <w:rPr>
          <w:rFonts w:ascii="宋体" w:hAnsi="宋体"/>
          <w:sz w:val="28"/>
          <w:szCs w:val="28"/>
          <w:highlight w:val="none"/>
        </w:rPr>
        <w:t>：</w:t>
      </w:r>
      <w:r>
        <w:rPr>
          <w:rFonts w:hint="eastAsia" w:ascii="宋体" w:hAnsi="宋体"/>
          <w:sz w:val="28"/>
          <w:szCs w:val="28"/>
          <w:highlight w:val="none"/>
          <w:u w:val="single"/>
        </w:rPr>
        <w:t xml:space="preserve">     </w:t>
      </w:r>
      <w:r>
        <w:rPr>
          <w:rFonts w:ascii="宋体" w:hAnsi="宋体"/>
          <w:sz w:val="28"/>
          <w:szCs w:val="28"/>
          <w:highlight w:val="none"/>
        </w:rPr>
        <w:t>（签字</w:t>
      </w:r>
      <w:r>
        <w:rPr>
          <w:rFonts w:hint="eastAsia" w:ascii="宋体" w:hAnsi="宋体"/>
          <w:sz w:val="28"/>
          <w:szCs w:val="28"/>
          <w:highlight w:val="none"/>
        </w:rPr>
        <w:t>或盖章</w:t>
      </w:r>
      <w:r>
        <w:rPr>
          <w:rFonts w:ascii="宋体" w:hAnsi="宋体"/>
          <w:sz w:val="28"/>
          <w:szCs w:val="28"/>
          <w:highlight w:val="none"/>
        </w:rPr>
        <w:t>）</w:t>
      </w:r>
    </w:p>
    <w:p>
      <w:pPr>
        <w:rPr>
          <w:rFonts w:ascii="宋体" w:hAnsi="宋体"/>
          <w:sz w:val="28"/>
          <w:szCs w:val="28"/>
          <w:highlight w:val="none"/>
        </w:rPr>
      </w:pPr>
    </w:p>
    <w:p>
      <w:pPr>
        <w:ind w:left="0" w:firstLine="3640" w:firstLineChars="1300"/>
        <w:rPr>
          <w:rFonts w:ascii="宋体" w:hAnsi="宋体"/>
          <w:sz w:val="28"/>
          <w:szCs w:val="28"/>
          <w:highlight w:val="none"/>
        </w:rPr>
      </w:pPr>
      <w:r>
        <w:rPr>
          <w:rFonts w:ascii="宋体" w:hAnsi="宋体"/>
          <w:sz w:val="28"/>
          <w:szCs w:val="28"/>
          <w:highlight w:val="none"/>
        </w:rPr>
        <w:t>年</w:t>
      </w:r>
      <w:r>
        <w:rPr>
          <w:rFonts w:hint="eastAsia" w:ascii="宋体" w:hAnsi="宋体"/>
          <w:sz w:val="28"/>
          <w:szCs w:val="28"/>
          <w:highlight w:val="none"/>
        </w:rPr>
        <w:t xml:space="preserve"> </w:t>
      </w:r>
      <w:r>
        <w:rPr>
          <w:rFonts w:ascii="宋体" w:hAnsi="宋体"/>
          <w:sz w:val="28"/>
          <w:szCs w:val="28"/>
          <w:highlight w:val="none"/>
        </w:rPr>
        <w:t xml:space="preserve">  </w:t>
      </w:r>
      <w:r>
        <w:rPr>
          <w:rFonts w:hint="eastAsia" w:ascii="宋体" w:hAnsi="宋体"/>
          <w:sz w:val="28"/>
          <w:szCs w:val="28"/>
          <w:highlight w:val="none"/>
        </w:rPr>
        <w:t xml:space="preserve"> </w:t>
      </w:r>
      <w:r>
        <w:rPr>
          <w:rFonts w:ascii="宋体" w:hAnsi="宋体"/>
          <w:sz w:val="28"/>
          <w:szCs w:val="28"/>
          <w:highlight w:val="none"/>
        </w:rPr>
        <w:t>月</w:t>
      </w:r>
      <w:r>
        <w:rPr>
          <w:rFonts w:hint="eastAsia" w:ascii="宋体" w:hAnsi="宋体"/>
          <w:sz w:val="28"/>
          <w:szCs w:val="28"/>
          <w:highlight w:val="none"/>
        </w:rPr>
        <w:t xml:space="preserve">    日</w:t>
      </w:r>
    </w:p>
    <w:bookmarkEnd w:id="1524"/>
    <w:bookmarkEnd w:id="1525"/>
    <w:bookmarkEnd w:id="1526"/>
    <w:bookmarkEnd w:id="1527"/>
    <w:bookmarkEnd w:id="1528"/>
    <w:bookmarkEnd w:id="1529"/>
    <w:bookmarkEnd w:id="1530"/>
    <w:p>
      <w:pPr>
        <w:widowControl w:val="0"/>
        <w:spacing w:before="0" w:after="0" w:afterAutospacing="0"/>
        <w:ind w:left="0" w:right="0" w:firstLine="562" w:firstLineChars="200"/>
        <w:jc w:val="center"/>
        <w:rPr>
          <w:b/>
          <w:sz w:val="28"/>
          <w:szCs w:val="28"/>
          <w:highlight w:val="none"/>
        </w:rPr>
        <w:sectPr>
          <w:pgSz w:w="11905" w:h="16838"/>
          <w:pgMar w:top="1417" w:right="1417" w:bottom="1417" w:left="1417" w:header="454" w:footer="567" w:gutter="0"/>
          <w:pgNumType w:fmt="decimal"/>
          <w:cols w:space="720" w:num="1"/>
          <w:docGrid w:linePitch="319" w:charSpace="0"/>
        </w:sectPr>
      </w:pPr>
    </w:p>
    <w:p>
      <w:pPr>
        <w:widowControl w:val="0"/>
        <w:spacing w:before="0" w:after="0" w:afterAutospacing="0"/>
        <w:ind w:left="0" w:right="0" w:firstLine="562" w:firstLineChars="200"/>
        <w:jc w:val="center"/>
        <w:rPr>
          <w:b/>
          <w:sz w:val="28"/>
          <w:szCs w:val="28"/>
          <w:highlight w:val="none"/>
        </w:rPr>
      </w:pPr>
      <w:r>
        <w:rPr>
          <w:rFonts w:hint="eastAsia"/>
          <w:b/>
          <w:sz w:val="28"/>
          <w:szCs w:val="28"/>
          <w:highlight w:val="none"/>
        </w:rPr>
        <w:t>目录</w:t>
      </w:r>
    </w:p>
    <w:p>
      <w:pPr>
        <w:spacing w:before="0" w:after="0" w:afterAutospacing="0"/>
        <w:ind w:left="105" w:leftChars="50" w:right="0" w:firstLine="210" w:firstLineChars="100"/>
        <w:rPr>
          <w:highlight w:val="none"/>
        </w:rPr>
      </w:pPr>
      <w:r>
        <w:rPr>
          <w:rFonts w:hint="eastAsia"/>
          <w:highlight w:val="none"/>
        </w:rPr>
        <w:t>（1）技术响应表（格式见</w:t>
      </w:r>
      <w:r>
        <w:rPr>
          <w:highlight w:val="none"/>
        </w:rPr>
        <w:t>C1</w:t>
      </w:r>
      <w:r>
        <w:rPr>
          <w:rFonts w:hint="eastAsia"/>
          <w:highlight w:val="none"/>
        </w:rPr>
        <w:t>）；</w:t>
      </w:r>
    </w:p>
    <w:p>
      <w:pPr>
        <w:spacing w:before="0" w:after="0" w:afterAutospacing="0"/>
        <w:ind w:left="105" w:leftChars="50" w:right="0" w:firstLine="210" w:firstLineChars="100"/>
        <w:rPr>
          <w:highlight w:val="none"/>
        </w:rPr>
      </w:pPr>
      <w:r>
        <w:rPr>
          <w:rFonts w:hint="eastAsia"/>
          <w:highlight w:val="none"/>
        </w:rPr>
        <w:t>（2）合同条款响应表（格式见</w:t>
      </w:r>
      <w:r>
        <w:rPr>
          <w:highlight w:val="none"/>
        </w:rPr>
        <w:t>C2</w:t>
      </w:r>
      <w:r>
        <w:rPr>
          <w:rFonts w:hint="eastAsia"/>
          <w:highlight w:val="none"/>
        </w:rPr>
        <w:t>）；</w:t>
      </w:r>
    </w:p>
    <w:p>
      <w:pPr>
        <w:spacing w:before="0" w:after="0" w:afterAutospacing="0"/>
        <w:ind w:left="105" w:leftChars="50" w:right="0" w:firstLine="210" w:firstLineChars="100"/>
        <w:rPr>
          <w:highlight w:val="none"/>
        </w:rPr>
      </w:pPr>
      <w:r>
        <w:rPr>
          <w:rFonts w:hint="eastAsia"/>
          <w:highlight w:val="none"/>
        </w:rPr>
        <w:t>（3）按期交货承诺书（格式见C3）；</w:t>
      </w:r>
    </w:p>
    <w:p>
      <w:pPr>
        <w:spacing w:before="0" w:after="0" w:afterAutospacing="0"/>
        <w:ind w:left="105" w:leftChars="50" w:right="0" w:firstLine="210" w:firstLineChars="100"/>
        <w:rPr>
          <w:highlight w:val="none"/>
        </w:rPr>
      </w:pPr>
      <w:r>
        <w:rPr>
          <w:rFonts w:hint="eastAsia"/>
          <w:highlight w:val="none"/>
        </w:rPr>
        <w:t>（4）投标人认为应提交的其他投标资料。（如有）</w:t>
      </w:r>
    </w:p>
    <w:p>
      <w:pPr>
        <w:pStyle w:val="2"/>
        <w:ind w:firstLine="480"/>
        <w:rPr>
          <w:highlight w:val="none"/>
        </w:rPr>
      </w:pPr>
    </w:p>
    <w:p>
      <w:pPr>
        <w:pageBreakBefore/>
        <w:snapToGrid w:val="0"/>
        <w:spacing w:before="0" w:line="240" w:lineRule="auto"/>
        <w:ind w:left="0" w:right="0" w:firstLine="0"/>
        <w:jc w:val="left"/>
        <w:outlineLvl w:val="2"/>
        <w:rPr>
          <w:rFonts w:ascii="宋体" w:hAnsi="宋体"/>
          <w:b/>
          <w:highlight w:val="none"/>
        </w:rPr>
      </w:pPr>
      <w:r>
        <w:rPr>
          <w:rFonts w:ascii="宋体" w:hAnsi="宋体"/>
          <w:b/>
          <w:highlight w:val="none"/>
        </w:rPr>
        <w:t>C1 技术响应表</w:t>
      </w:r>
      <w:r>
        <w:rPr>
          <w:rFonts w:hint="eastAsia" w:ascii="宋体" w:hAnsi="宋体"/>
          <w:b/>
          <w:highlight w:val="none"/>
        </w:rPr>
        <w:t>格式</w:t>
      </w:r>
    </w:p>
    <w:p>
      <w:pPr>
        <w:spacing w:before="0"/>
        <w:ind w:right="-57" w:firstLine="0"/>
        <w:jc w:val="center"/>
        <w:rPr>
          <w:rFonts w:ascii="宋体" w:hAnsi="宋体"/>
          <w:b/>
          <w:sz w:val="28"/>
          <w:szCs w:val="28"/>
          <w:highlight w:val="none"/>
        </w:rPr>
      </w:pPr>
      <w:r>
        <w:rPr>
          <w:rFonts w:hint="eastAsia" w:ascii="宋体" w:hAnsi="宋体"/>
          <w:b/>
          <w:highlight w:val="none"/>
        </w:rPr>
        <w:t>技术响应表</w:t>
      </w:r>
    </w:p>
    <w:tbl>
      <w:tblPr>
        <w:tblStyle w:val="27"/>
        <w:tblW w:w="9517" w:type="dxa"/>
        <w:jc w:val="center"/>
        <w:tblLayout w:type="fixed"/>
        <w:tblCellMar>
          <w:top w:w="0" w:type="dxa"/>
          <w:left w:w="108" w:type="dxa"/>
          <w:bottom w:w="0" w:type="dxa"/>
          <w:right w:w="108" w:type="dxa"/>
        </w:tblCellMar>
      </w:tblPr>
      <w:tblGrid>
        <w:gridCol w:w="626"/>
        <w:gridCol w:w="836"/>
        <w:gridCol w:w="1136"/>
        <w:gridCol w:w="1136"/>
        <w:gridCol w:w="1135"/>
        <w:gridCol w:w="1100"/>
        <w:gridCol w:w="1170"/>
        <w:gridCol w:w="891"/>
        <w:gridCol w:w="822"/>
        <w:gridCol w:w="665"/>
      </w:tblGrid>
      <w:tr>
        <w:tblPrEx>
          <w:tblCellMar>
            <w:top w:w="0" w:type="dxa"/>
            <w:left w:w="108" w:type="dxa"/>
            <w:bottom w:w="0" w:type="dxa"/>
            <w:right w:w="108" w:type="dxa"/>
          </w:tblCellMar>
        </w:tblPrEx>
        <w:trPr>
          <w:trHeight w:val="965" w:hRule="atLeast"/>
          <w:jc w:val="center"/>
        </w:trPr>
        <w:tc>
          <w:tcPr>
            <w:tcW w:w="6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left"/>
              <w:rPr>
                <w:rFonts w:ascii="宋体" w:hAnsi="宋体"/>
                <w:highlight w:val="none"/>
              </w:rPr>
            </w:pPr>
            <w:r>
              <w:rPr>
                <w:rFonts w:hint="eastAsia" w:ascii="宋体" w:hAnsi="宋体"/>
                <w:highlight w:val="none"/>
              </w:rPr>
              <w:t>序号</w:t>
            </w:r>
          </w:p>
        </w:tc>
        <w:tc>
          <w:tcPr>
            <w:tcW w:w="815" w:type="dxa"/>
            <w:tcBorders>
              <w:top w:val="single" w:color="auto" w:sz="4" w:space="0"/>
              <w:left w:val="nil"/>
              <w:bottom w:val="single" w:color="auto" w:sz="4" w:space="0"/>
              <w:right w:val="single" w:color="auto" w:sz="4" w:space="0"/>
            </w:tcBorders>
            <w:shd w:val="clear" w:color="000000" w:fill="F2F2F2"/>
            <w:vAlign w:val="center"/>
          </w:tcPr>
          <w:p>
            <w:pPr>
              <w:ind w:left="0" w:firstLine="0"/>
              <w:jc w:val="left"/>
              <w:rPr>
                <w:rFonts w:ascii="宋体" w:hAnsi="宋体"/>
                <w:highlight w:val="none"/>
              </w:rPr>
            </w:pPr>
            <w:r>
              <w:rPr>
                <w:rFonts w:hint="eastAsia" w:ascii="宋体" w:hAnsi="宋体"/>
                <w:highlight w:val="none"/>
              </w:rPr>
              <w:t>货物名称</w:t>
            </w:r>
          </w:p>
        </w:tc>
        <w:tc>
          <w:tcPr>
            <w:tcW w:w="1108" w:type="dxa"/>
            <w:tcBorders>
              <w:top w:val="single" w:color="auto" w:sz="4" w:space="0"/>
              <w:left w:val="nil"/>
              <w:bottom w:val="single" w:color="auto" w:sz="4" w:space="0"/>
              <w:right w:val="single" w:color="auto" w:sz="4" w:space="0"/>
            </w:tcBorders>
            <w:shd w:val="clear" w:color="000000" w:fill="F2F2F2"/>
            <w:vAlign w:val="center"/>
          </w:tcPr>
          <w:p>
            <w:pPr>
              <w:spacing w:line="276" w:lineRule="auto"/>
              <w:ind w:left="0" w:firstLine="0"/>
              <w:jc w:val="left"/>
              <w:rPr>
                <w:rFonts w:ascii="宋体" w:hAnsi="宋体"/>
                <w:highlight w:val="none"/>
              </w:rPr>
            </w:pPr>
            <w:r>
              <w:rPr>
                <w:rFonts w:hint="eastAsia" w:ascii="宋体" w:hAnsi="宋体"/>
                <w:highlight w:val="none"/>
              </w:rPr>
              <w:t>参考品牌</w:t>
            </w:r>
          </w:p>
        </w:tc>
        <w:tc>
          <w:tcPr>
            <w:tcW w:w="1108" w:type="dxa"/>
            <w:tcBorders>
              <w:top w:val="single" w:color="auto" w:sz="4" w:space="0"/>
              <w:left w:val="nil"/>
              <w:bottom w:val="single" w:color="auto" w:sz="4" w:space="0"/>
              <w:right w:val="single" w:color="auto" w:sz="4" w:space="0"/>
            </w:tcBorders>
            <w:shd w:val="clear" w:color="000000" w:fill="F2F2F2"/>
            <w:vAlign w:val="center"/>
          </w:tcPr>
          <w:p>
            <w:pPr>
              <w:spacing w:line="276" w:lineRule="auto"/>
              <w:ind w:left="0" w:firstLine="0"/>
              <w:jc w:val="left"/>
              <w:rPr>
                <w:rFonts w:ascii="宋体" w:hAnsi="宋体"/>
                <w:highlight w:val="none"/>
              </w:rPr>
            </w:pPr>
            <w:r>
              <w:rPr>
                <w:rFonts w:hint="eastAsia" w:ascii="宋体" w:hAnsi="宋体"/>
                <w:highlight w:val="none"/>
              </w:rPr>
              <w:t>参考型号</w:t>
            </w:r>
          </w:p>
        </w:tc>
        <w:tc>
          <w:tcPr>
            <w:tcW w:w="1107" w:type="dxa"/>
            <w:tcBorders>
              <w:top w:val="single" w:color="auto" w:sz="4" w:space="0"/>
              <w:left w:val="nil"/>
              <w:bottom w:val="single" w:color="auto" w:sz="4" w:space="0"/>
              <w:right w:val="single" w:color="auto" w:sz="4" w:space="0"/>
            </w:tcBorders>
            <w:shd w:val="clear" w:color="000000" w:fill="F2F2F2"/>
            <w:vAlign w:val="center"/>
          </w:tcPr>
          <w:p>
            <w:pPr>
              <w:spacing w:line="276" w:lineRule="auto"/>
              <w:ind w:left="0" w:firstLine="0"/>
              <w:jc w:val="left"/>
              <w:rPr>
                <w:rFonts w:ascii="宋体" w:hAnsi="宋体"/>
                <w:highlight w:val="none"/>
              </w:rPr>
            </w:pPr>
            <w:r>
              <w:rPr>
                <w:rFonts w:hint="eastAsia" w:ascii="宋体" w:hAnsi="宋体"/>
                <w:highlight w:val="none"/>
              </w:rPr>
              <w:t>性能参数要求</w:t>
            </w:r>
          </w:p>
        </w:tc>
        <w:tc>
          <w:tcPr>
            <w:tcW w:w="1073" w:type="dxa"/>
            <w:tcBorders>
              <w:top w:val="single" w:color="auto" w:sz="4" w:space="0"/>
              <w:left w:val="nil"/>
              <w:bottom w:val="single" w:color="auto" w:sz="4" w:space="0"/>
              <w:right w:val="single" w:color="auto" w:sz="4" w:space="0"/>
            </w:tcBorders>
            <w:shd w:val="clear" w:color="000000" w:fill="F2F2F2"/>
            <w:vAlign w:val="center"/>
          </w:tcPr>
          <w:p>
            <w:pPr>
              <w:spacing w:line="276" w:lineRule="auto"/>
              <w:ind w:left="0" w:firstLine="0"/>
              <w:jc w:val="left"/>
              <w:rPr>
                <w:rFonts w:ascii="宋体" w:hAnsi="宋体"/>
                <w:highlight w:val="none"/>
              </w:rPr>
            </w:pPr>
            <w:r>
              <w:rPr>
                <w:rFonts w:hint="eastAsia" w:ascii="宋体" w:hAnsi="宋体"/>
                <w:highlight w:val="none"/>
              </w:rPr>
              <w:t>供货品牌</w:t>
            </w:r>
          </w:p>
        </w:tc>
        <w:tc>
          <w:tcPr>
            <w:tcW w:w="1141" w:type="dxa"/>
            <w:tcBorders>
              <w:top w:val="single" w:color="auto" w:sz="4" w:space="0"/>
              <w:left w:val="nil"/>
              <w:bottom w:val="single" w:color="auto" w:sz="4" w:space="0"/>
              <w:right w:val="single" w:color="auto" w:sz="4" w:space="0"/>
            </w:tcBorders>
            <w:shd w:val="clear" w:color="000000" w:fill="F2F2F2"/>
            <w:vAlign w:val="center"/>
          </w:tcPr>
          <w:p>
            <w:pPr>
              <w:spacing w:line="276" w:lineRule="auto"/>
              <w:ind w:left="0" w:firstLine="0"/>
              <w:jc w:val="left"/>
              <w:rPr>
                <w:rFonts w:ascii="宋体" w:hAnsi="宋体"/>
                <w:highlight w:val="none"/>
              </w:rPr>
            </w:pPr>
            <w:r>
              <w:rPr>
                <w:rFonts w:hint="eastAsia" w:ascii="宋体" w:hAnsi="宋体"/>
                <w:highlight w:val="none"/>
              </w:rPr>
              <w:t>供货型号</w:t>
            </w:r>
          </w:p>
        </w:tc>
        <w:tc>
          <w:tcPr>
            <w:tcW w:w="869" w:type="dxa"/>
            <w:tcBorders>
              <w:top w:val="single" w:color="auto" w:sz="4" w:space="0"/>
              <w:left w:val="nil"/>
              <w:bottom w:val="single" w:color="auto" w:sz="4" w:space="0"/>
              <w:right w:val="single" w:color="auto" w:sz="4" w:space="0"/>
            </w:tcBorders>
            <w:shd w:val="clear" w:color="000000" w:fill="F2F2F2"/>
            <w:vAlign w:val="center"/>
          </w:tcPr>
          <w:p>
            <w:pPr>
              <w:spacing w:line="276" w:lineRule="auto"/>
              <w:ind w:left="0" w:firstLine="0"/>
              <w:jc w:val="left"/>
              <w:rPr>
                <w:rFonts w:ascii="宋体" w:hAnsi="宋体"/>
                <w:highlight w:val="none"/>
              </w:rPr>
            </w:pPr>
            <w:r>
              <w:rPr>
                <w:rFonts w:hint="eastAsia" w:ascii="宋体" w:hAnsi="宋体"/>
                <w:highlight w:val="none"/>
              </w:rPr>
              <w:t>供货性能参数</w:t>
            </w:r>
          </w:p>
        </w:tc>
        <w:tc>
          <w:tcPr>
            <w:tcW w:w="802" w:type="dxa"/>
            <w:tcBorders>
              <w:top w:val="single" w:color="auto" w:sz="4" w:space="0"/>
              <w:left w:val="nil"/>
              <w:bottom w:val="single" w:color="auto" w:sz="4" w:space="0"/>
              <w:right w:val="single" w:color="auto" w:sz="4" w:space="0"/>
            </w:tcBorders>
            <w:shd w:val="clear" w:color="000000" w:fill="F2F2F2"/>
            <w:vAlign w:val="center"/>
          </w:tcPr>
          <w:p>
            <w:pPr>
              <w:spacing w:line="276" w:lineRule="auto"/>
              <w:ind w:left="0" w:firstLine="0"/>
              <w:jc w:val="left"/>
              <w:rPr>
                <w:rFonts w:ascii="宋体" w:hAnsi="宋体"/>
                <w:highlight w:val="none"/>
              </w:rPr>
            </w:pPr>
            <w:r>
              <w:rPr>
                <w:rFonts w:hint="eastAsia" w:ascii="宋体" w:hAnsi="宋体"/>
                <w:highlight w:val="none"/>
              </w:rPr>
              <w:t>偏离情况</w:t>
            </w:r>
          </w:p>
        </w:tc>
        <w:tc>
          <w:tcPr>
            <w:tcW w:w="64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left"/>
              <w:rPr>
                <w:rFonts w:ascii="宋体" w:hAnsi="宋体"/>
                <w:highlight w:val="none"/>
              </w:rPr>
            </w:pPr>
            <w:r>
              <w:rPr>
                <w:rFonts w:hint="eastAsia" w:ascii="宋体" w:hAnsi="宋体"/>
                <w:highlight w:val="none"/>
              </w:rPr>
              <w:t>备注</w:t>
            </w:r>
          </w:p>
        </w:tc>
      </w:tr>
      <w:tr>
        <w:tblPrEx>
          <w:tblCellMar>
            <w:top w:w="0" w:type="dxa"/>
            <w:left w:w="108" w:type="dxa"/>
            <w:bottom w:w="0" w:type="dxa"/>
            <w:right w:w="108" w:type="dxa"/>
          </w:tblCellMar>
        </w:tblPrEx>
        <w:trPr>
          <w:trHeight w:val="199" w:hRule="atLeast"/>
          <w:jc w:val="center"/>
        </w:trPr>
        <w:tc>
          <w:tcPr>
            <w:tcW w:w="6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ascii="宋体" w:hAnsi="宋体"/>
                <w:highlight w:val="none"/>
              </w:rPr>
              <w:t>1</w:t>
            </w:r>
          </w:p>
        </w:tc>
        <w:tc>
          <w:tcPr>
            <w:tcW w:w="815"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8"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8"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7"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073"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41"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869"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802"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648" w:type="dxa"/>
            <w:tcBorders>
              <w:top w:val="nil"/>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CellMar>
            <w:top w:w="0" w:type="dxa"/>
            <w:left w:w="108" w:type="dxa"/>
            <w:bottom w:w="0" w:type="dxa"/>
            <w:right w:w="108" w:type="dxa"/>
          </w:tblCellMar>
        </w:tblPrEx>
        <w:trPr>
          <w:trHeight w:val="199" w:hRule="atLeast"/>
          <w:jc w:val="center"/>
        </w:trPr>
        <w:tc>
          <w:tcPr>
            <w:tcW w:w="6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ascii="宋体" w:hAnsi="宋体"/>
                <w:highlight w:val="none"/>
              </w:rPr>
              <w:t>2</w:t>
            </w:r>
          </w:p>
        </w:tc>
        <w:tc>
          <w:tcPr>
            <w:tcW w:w="815"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8"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8"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7"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073"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41"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869"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802"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648" w:type="dxa"/>
            <w:tcBorders>
              <w:top w:val="nil"/>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CellMar>
            <w:top w:w="0" w:type="dxa"/>
            <w:left w:w="108" w:type="dxa"/>
            <w:bottom w:w="0" w:type="dxa"/>
            <w:right w:w="108" w:type="dxa"/>
          </w:tblCellMar>
        </w:tblPrEx>
        <w:trPr>
          <w:trHeight w:val="199" w:hRule="atLeast"/>
          <w:jc w:val="center"/>
        </w:trPr>
        <w:tc>
          <w:tcPr>
            <w:tcW w:w="6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ascii="宋体" w:hAnsi="宋体"/>
                <w:highlight w:val="none"/>
              </w:rPr>
              <w:t>3</w:t>
            </w:r>
          </w:p>
        </w:tc>
        <w:tc>
          <w:tcPr>
            <w:tcW w:w="815"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8"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8"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7"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073"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41"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869"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802"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648" w:type="dxa"/>
            <w:tcBorders>
              <w:top w:val="nil"/>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CellMar>
            <w:top w:w="0" w:type="dxa"/>
            <w:left w:w="108" w:type="dxa"/>
            <w:bottom w:w="0" w:type="dxa"/>
            <w:right w:w="108" w:type="dxa"/>
          </w:tblCellMar>
        </w:tblPrEx>
        <w:trPr>
          <w:trHeight w:val="199" w:hRule="atLeast"/>
          <w:jc w:val="center"/>
        </w:trPr>
        <w:tc>
          <w:tcPr>
            <w:tcW w:w="6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ascii="宋体" w:hAnsi="宋体"/>
                <w:highlight w:val="none"/>
              </w:rPr>
              <w:t>……</w:t>
            </w:r>
          </w:p>
        </w:tc>
        <w:tc>
          <w:tcPr>
            <w:tcW w:w="815"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8"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8"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07"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073"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1141"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869"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802" w:type="dxa"/>
            <w:tcBorders>
              <w:top w:val="nil"/>
              <w:left w:val="nil"/>
              <w:bottom w:val="single" w:color="auto" w:sz="4" w:space="0"/>
              <w:right w:val="single" w:color="auto" w:sz="4" w:space="0"/>
            </w:tcBorders>
            <w:vAlign w:val="center"/>
          </w:tcPr>
          <w:p>
            <w:pPr>
              <w:ind w:left="0" w:firstLine="0"/>
              <w:rPr>
                <w:rFonts w:ascii="宋体" w:hAnsi="宋体"/>
                <w:highlight w:val="none"/>
              </w:rPr>
            </w:pPr>
          </w:p>
        </w:tc>
        <w:tc>
          <w:tcPr>
            <w:tcW w:w="648" w:type="dxa"/>
            <w:tcBorders>
              <w:top w:val="nil"/>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CellMar>
            <w:top w:w="0" w:type="dxa"/>
            <w:left w:w="108" w:type="dxa"/>
            <w:bottom w:w="0" w:type="dxa"/>
            <w:right w:w="108" w:type="dxa"/>
          </w:tblCellMar>
        </w:tblPrEx>
        <w:trPr>
          <w:trHeight w:val="199" w:hRule="atLeast"/>
          <w:jc w:val="center"/>
        </w:trPr>
        <w:tc>
          <w:tcPr>
            <w:tcW w:w="9280" w:type="dxa"/>
            <w:gridSpan w:val="10"/>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同时我公司对用户需求书中的用户要求完全响应。</w:t>
            </w:r>
          </w:p>
        </w:tc>
      </w:tr>
    </w:tbl>
    <w:p>
      <w:pPr>
        <w:widowControl w:val="0"/>
        <w:spacing w:before="0" w:after="0" w:afterAutospacing="0"/>
        <w:ind w:left="0" w:right="-57" w:rightChars="-27" w:firstLine="0"/>
        <w:rPr>
          <w:kern w:val="2"/>
          <w:szCs w:val="24"/>
          <w:highlight w:val="none"/>
        </w:rPr>
      </w:pPr>
    </w:p>
    <w:p>
      <w:pPr>
        <w:widowControl w:val="0"/>
        <w:spacing w:before="0" w:after="0" w:afterAutospacing="0"/>
        <w:ind w:left="1338" w:leftChars="637" w:right="-57" w:rightChars="-27" w:firstLine="1921" w:firstLineChars="915"/>
        <w:rPr>
          <w:kern w:val="2"/>
          <w:szCs w:val="24"/>
          <w:highlight w:val="none"/>
        </w:rPr>
      </w:pPr>
      <w:r>
        <w:rPr>
          <w:kern w:val="2"/>
          <w:szCs w:val="24"/>
          <w:highlight w:val="none"/>
        </w:rPr>
        <w:t>投标人：（公章）</w:t>
      </w:r>
    </w:p>
    <w:p>
      <w:pPr>
        <w:widowControl w:val="0"/>
        <w:spacing w:before="0" w:after="0" w:afterAutospacing="0"/>
        <w:ind w:left="2" w:leftChars="1" w:right="-57" w:rightChars="-27" w:firstLine="3255" w:firstLineChars="1550"/>
        <w:rPr>
          <w:kern w:val="2"/>
          <w:szCs w:val="24"/>
          <w:highlight w:val="none"/>
        </w:rPr>
      </w:pPr>
      <w:r>
        <w:rPr>
          <w:kern w:val="2"/>
          <w:szCs w:val="24"/>
          <w:highlight w:val="none"/>
        </w:rPr>
        <w:t>法定代表人或其</w:t>
      </w:r>
      <w:r>
        <w:rPr>
          <w:rFonts w:hint="eastAsia"/>
          <w:kern w:val="2"/>
          <w:szCs w:val="24"/>
          <w:highlight w:val="none"/>
        </w:rPr>
        <w:t>委托代理人</w:t>
      </w:r>
      <w:r>
        <w:rPr>
          <w:kern w:val="2"/>
          <w:szCs w:val="24"/>
          <w:highlight w:val="none"/>
        </w:rPr>
        <w:t>：（签字或盖章）</w:t>
      </w:r>
    </w:p>
    <w:p>
      <w:pPr>
        <w:widowControl w:val="0"/>
        <w:spacing w:before="0" w:after="0" w:afterAutospacing="0"/>
        <w:ind w:left="2" w:leftChars="1" w:right="-57" w:rightChars="-27" w:firstLine="3257" w:firstLineChars="1551"/>
        <w:rPr>
          <w:kern w:val="2"/>
          <w:szCs w:val="24"/>
          <w:highlight w:val="none"/>
        </w:rPr>
      </w:pPr>
      <w:r>
        <w:rPr>
          <w:kern w:val="2"/>
          <w:szCs w:val="24"/>
          <w:highlight w:val="none"/>
        </w:rPr>
        <w:t>日期：</w:t>
      </w:r>
    </w:p>
    <w:p>
      <w:pPr>
        <w:spacing w:before="0" w:after="0" w:afterAutospacing="0"/>
        <w:ind w:left="708" w:right="0" w:hanging="708" w:hangingChars="336"/>
        <w:rPr>
          <w:rFonts w:ascii="宋体" w:hAnsi="宋体"/>
          <w:b/>
          <w:highlight w:val="none"/>
        </w:rPr>
      </w:pPr>
      <w:r>
        <w:rPr>
          <w:rFonts w:ascii="宋体" w:hAnsi="宋体"/>
          <w:b/>
          <w:highlight w:val="none"/>
        </w:rPr>
        <w:t>说明：</w:t>
      </w:r>
    </w:p>
    <w:p>
      <w:pPr>
        <w:numPr>
          <w:ilvl w:val="255"/>
          <w:numId w:val="0"/>
        </w:numPr>
        <w:tabs>
          <w:tab w:val="left" w:pos="720"/>
        </w:tabs>
        <w:spacing w:before="0" w:after="0" w:afterAutospacing="0"/>
        <w:ind w:right="0" w:firstLine="420" w:firstLineChars="200"/>
        <w:rPr>
          <w:rFonts w:ascii="宋体" w:hAnsi="宋体"/>
          <w:highlight w:val="none"/>
        </w:rPr>
      </w:pPr>
      <w:r>
        <w:rPr>
          <w:rFonts w:hint="eastAsia" w:ascii="宋体" w:hAnsi="宋体"/>
          <w:highlight w:val="none"/>
        </w:rPr>
        <w:t>1.</w:t>
      </w:r>
      <w:r>
        <w:rPr>
          <w:rFonts w:ascii="宋体" w:hAnsi="宋体"/>
          <w:highlight w:val="none"/>
        </w:rPr>
        <w:t>投标人必须根据第</w:t>
      </w:r>
      <w:r>
        <w:rPr>
          <w:rFonts w:hint="eastAsia" w:ascii="宋体" w:hAnsi="宋体"/>
          <w:highlight w:val="none"/>
        </w:rPr>
        <w:t>六</w:t>
      </w:r>
      <w:r>
        <w:rPr>
          <w:rFonts w:ascii="宋体" w:hAnsi="宋体"/>
          <w:highlight w:val="none"/>
        </w:rPr>
        <w:t>章用户需求书</w:t>
      </w:r>
      <w:r>
        <w:rPr>
          <w:rFonts w:hint="eastAsia" w:ascii="宋体" w:hAnsi="宋体"/>
          <w:highlight w:val="none"/>
        </w:rPr>
        <w:t>中技术需求及数量表顺序</w:t>
      </w:r>
      <w:r>
        <w:rPr>
          <w:rFonts w:ascii="宋体" w:hAnsi="宋体"/>
          <w:highlight w:val="none"/>
        </w:rPr>
        <w:t>逐条应答并按要求填写</w:t>
      </w:r>
      <w:r>
        <w:rPr>
          <w:rFonts w:hint="eastAsia" w:ascii="宋体" w:hAnsi="宋体"/>
          <w:highlight w:val="none"/>
        </w:rPr>
        <w:t>上</w:t>
      </w:r>
      <w:r>
        <w:rPr>
          <w:rFonts w:ascii="宋体" w:hAnsi="宋体"/>
          <w:highlight w:val="none"/>
        </w:rPr>
        <w:t>表。如果未完整填写响应表的各项内容则视作投标人已经对招标文件相关要求和内容完全理解并同意，其投标报价为在此基础上的完全价格。</w:t>
      </w:r>
    </w:p>
    <w:p>
      <w:pPr>
        <w:numPr>
          <w:ilvl w:val="255"/>
          <w:numId w:val="0"/>
        </w:numPr>
        <w:tabs>
          <w:tab w:val="left" w:pos="720"/>
        </w:tabs>
        <w:spacing w:before="0" w:after="0" w:afterAutospacing="0"/>
        <w:ind w:right="0" w:firstLine="422" w:firstLineChars="200"/>
        <w:rPr>
          <w:rFonts w:ascii="宋体" w:hAnsi="宋体"/>
          <w:b/>
          <w:bCs/>
          <w:highlight w:val="none"/>
        </w:rPr>
      </w:pPr>
      <w:r>
        <w:rPr>
          <w:rFonts w:hint="eastAsia" w:ascii="宋体" w:hAnsi="宋体"/>
          <w:b/>
          <w:bCs/>
          <w:highlight w:val="none"/>
        </w:rPr>
        <w:t>2.</w:t>
      </w:r>
      <w:r>
        <w:rPr>
          <w:rFonts w:hint="eastAsia" w:ascii="宋体" w:hAnsi="宋体"/>
          <w:highlight w:val="none"/>
        </w:rPr>
        <w:t>投标人提供的货物的品牌及型号须写明，且唯一，否则投标无效。</w:t>
      </w:r>
    </w:p>
    <w:p>
      <w:pPr>
        <w:spacing w:before="0" w:after="0" w:afterAutospacing="0"/>
        <w:ind w:left="0" w:right="0" w:firstLine="420" w:firstLineChars="200"/>
        <w:rPr>
          <w:rFonts w:ascii="宋体" w:hAnsi="宋体"/>
          <w:highlight w:val="none"/>
        </w:rPr>
      </w:pPr>
      <w:r>
        <w:rPr>
          <w:rFonts w:hint="eastAsia" w:ascii="宋体" w:hAnsi="宋体"/>
          <w:highlight w:val="none"/>
        </w:rPr>
        <w:t>3.对完全响应的条目在本表“偏离情况”列中标注“完全响应”。对有偏离的条目在本表“偏离情况”列中标注“正偏离”或“负偏离”，并对“正偏离”或“负偏离”加以说明。正偏离是指应答的条件高于招标文件要求，负偏离是指应答的条件低于招标文件要求。</w:t>
      </w:r>
    </w:p>
    <w:p>
      <w:pPr>
        <w:spacing w:before="0" w:after="0" w:afterAutospacing="0"/>
        <w:ind w:left="0" w:right="0" w:firstLine="420" w:firstLineChars="200"/>
        <w:rPr>
          <w:rFonts w:ascii="宋体" w:hAnsi="宋体"/>
          <w:highlight w:val="none"/>
        </w:rPr>
      </w:pPr>
      <w:r>
        <w:rPr>
          <w:rFonts w:hint="eastAsia" w:ascii="宋体" w:hAnsi="宋体"/>
          <w:highlight w:val="none"/>
        </w:rPr>
        <w:t>4.在招标人与中标人签订合同期间，</w:t>
      </w:r>
      <w:r>
        <w:rPr>
          <w:rFonts w:ascii="宋体" w:hAnsi="宋体"/>
          <w:highlight w:val="none"/>
        </w:rPr>
        <w:t>中标人未在投标文件“响应表”中列出偏离说明，即使其在投标文件的其他部分说明与招标文件要求有所不同或回避不答，亦均视为完全符合招标文件中所要求的最佳值并写入合同。若中标人在定标后及合同签订前，以上述事项为借口而不履行合同签订手续及执行合同，则视作放弃中标资格</w:t>
      </w:r>
      <w:r>
        <w:rPr>
          <w:rFonts w:hint="eastAsia" w:ascii="宋体" w:hAnsi="宋体"/>
          <w:highlight w:val="none"/>
        </w:rPr>
        <w:t>。</w:t>
      </w:r>
    </w:p>
    <w:p>
      <w:pPr>
        <w:tabs>
          <w:tab w:val="left" w:pos="720"/>
        </w:tabs>
        <w:spacing w:before="0" w:after="0" w:afterAutospacing="0"/>
        <w:ind w:left="0" w:right="0" w:firstLine="422" w:firstLineChars="200"/>
        <w:rPr>
          <w:rFonts w:ascii="宋体" w:hAnsi="宋体"/>
          <w:b/>
          <w:bCs/>
          <w:highlight w:val="none"/>
        </w:rPr>
      </w:pPr>
      <w:r>
        <w:rPr>
          <w:rFonts w:hint="eastAsia" w:ascii="宋体" w:hAnsi="宋体"/>
          <w:b/>
          <w:bCs/>
          <w:highlight w:val="none"/>
        </w:rPr>
        <w:t>5.如有任意一项负偏离，投标无效。</w:t>
      </w:r>
    </w:p>
    <w:p>
      <w:pPr>
        <w:pStyle w:val="13"/>
        <w:rPr>
          <w:highlight w:val="none"/>
        </w:rPr>
      </w:pPr>
    </w:p>
    <w:p>
      <w:pPr>
        <w:pageBreakBefore/>
        <w:snapToGrid w:val="0"/>
        <w:spacing w:before="0" w:line="240" w:lineRule="auto"/>
        <w:ind w:left="0" w:right="0" w:firstLine="0"/>
        <w:jc w:val="left"/>
        <w:outlineLvl w:val="2"/>
        <w:rPr>
          <w:rFonts w:ascii="宋体" w:hAnsi="宋体"/>
          <w:b/>
          <w:highlight w:val="none"/>
        </w:rPr>
      </w:pPr>
      <w:r>
        <w:rPr>
          <w:rFonts w:ascii="宋体" w:hAnsi="宋体"/>
          <w:b/>
          <w:highlight w:val="none"/>
        </w:rPr>
        <w:t xml:space="preserve">C2 </w:t>
      </w:r>
      <w:r>
        <w:rPr>
          <w:rFonts w:hint="eastAsia" w:ascii="宋体" w:hAnsi="宋体"/>
          <w:b/>
          <w:highlight w:val="none"/>
        </w:rPr>
        <w:t>合同条款</w:t>
      </w:r>
      <w:r>
        <w:rPr>
          <w:rFonts w:ascii="宋体" w:hAnsi="宋体"/>
          <w:b/>
          <w:highlight w:val="none"/>
        </w:rPr>
        <w:t>响应表</w:t>
      </w:r>
      <w:r>
        <w:rPr>
          <w:rFonts w:hint="eastAsia" w:ascii="宋体" w:hAnsi="宋体"/>
          <w:b/>
          <w:highlight w:val="none"/>
        </w:rPr>
        <w:t>格式</w:t>
      </w:r>
    </w:p>
    <w:p>
      <w:pPr>
        <w:widowControl w:val="0"/>
        <w:adjustRightInd w:val="0"/>
        <w:spacing w:before="0" w:after="0" w:afterAutospacing="0"/>
        <w:ind w:right="-57" w:rightChars="-27"/>
        <w:jc w:val="center"/>
        <w:textAlignment w:val="baseline"/>
        <w:rPr>
          <w:rFonts w:ascii="宋体" w:hAnsi="宋体"/>
          <w:b/>
          <w:highlight w:val="none"/>
        </w:rPr>
      </w:pPr>
    </w:p>
    <w:p>
      <w:pPr>
        <w:widowControl w:val="0"/>
        <w:adjustRightInd w:val="0"/>
        <w:spacing w:before="0" w:after="0" w:afterAutospacing="0"/>
        <w:ind w:left="713" w:right="-57" w:rightChars="-27" w:hanging="713" w:hangingChars="338"/>
        <w:jc w:val="center"/>
        <w:textAlignment w:val="baseline"/>
        <w:rPr>
          <w:rFonts w:ascii="宋体" w:hAnsi="宋体"/>
          <w:b/>
          <w:highlight w:val="none"/>
        </w:rPr>
      </w:pPr>
      <w:r>
        <w:rPr>
          <w:rFonts w:hint="eastAsia" w:ascii="宋体" w:hAnsi="宋体"/>
          <w:b/>
          <w:highlight w:val="none"/>
        </w:rPr>
        <w:t>合同条款响应表</w:t>
      </w:r>
    </w:p>
    <w:tbl>
      <w:tblPr>
        <w:tblStyle w:val="27"/>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3283"/>
        <w:gridCol w:w="2093"/>
        <w:gridCol w:w="2259"/>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blHeader/>
          <w:jc w:val="center"/>
        </w:trPr>
        <w:tc>
          <w:tcPr>
            <w:tcW w:w="801" w:type="dxa"/>
            <w:vAlign w:val="center"/>
          </w:tcPr>
          <w:p>
            <w:pPr>
              <w:widowControl w:val="0"/>
              <w:tabs>
                <w:tab w:val="left" w:pos="58"/>
              </w:tabs>
              <w:spacing w:before="0" w:after="0" w:afterAutospacing="0" w:line="240" w:lineRule="auto"/>
              <w:ind w:left="1072" w:leftChars="-76" w:right="-57" w:rightChars="-27" w:hanging="1232" w:hangingChars="587"/>
              <w:jc w:val="center"/>
              <w:rPr>
                <w:kern w:val="2"/>
                <w:highlight w:val="none"/>
              </w:rPr>
            </w:pPr>
            <w:r>
              <w:rPr>
                <w:kern w:val="2"/>
                <w:highlight w:val="none"/>
              </w:rPr>
              <w:t>序号</w:t>
            </w:r>
          </w:p>
        </w:tc>
        <w:tc>
          <w:tcPr>
            <w:tcW w:w="3283" w:type="dxa"/>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合同条款内容所在章节</w:t>
            </w:r>
          </w:p>
        </w:tc>
        <w:tc>
          <w:tcPr>
            <w:tcW w:w="2093" w:type="dxa"/>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合同条款包含内容</w:t>
            </w:r>
          </w:p>
        </w:tc>
        <w:tc>
          <w:tcPr>
            <w:tcW w:w="2259" w:type="dxa"/>
            <w:vAlign w:val="center"/>
          </w:tcPr>
          <w:p>
            <w:pPr>
              <w:widowControl w:val="0"/>
              <w:spacing w:before="0" w:after="0" w:afterAutospacing="0" w:line="240" w:lineRule="auto"/>
              <w:ind w:left="0" w:right="0" w:firstLine="0"/>
              <w:jc w:val="center"/>
              <w:rPr>
                <w:kern w:val="2"/>
                <w:highlight w:val="none"/>
              </w:rPr>
            </w:pPr>
            <w:r>
              <w:rPr>
                <w:rFonts w:hint="eastAsia"/>
                <w:kern w:val="2"/>
                <w:highlight w:val="none"/>
              </w:rPr>
              <w:t>投标人承诺是否完全响应合同条款内容</w:t>
            </w:r>
          </w:p>
        </w:tc>
        <w:tc>
          <w:tcPr>
            <w:tcW w:w="1520" w:type="dxa"/>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9957" w:type="dxa"/>
            <w:gridSpan w:val="5"/>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第四章合同条款及格式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01" w:type="dxa"/>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1</w:t>
            </w:r>
          </w:p>
        </w:tc>
        <w:tc>
          <w:tcPr>
            <w:tcW w:w="3283" w:type="dxa"/>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合同协议书</w:t>
            </w:r>
          </w:p>
        </w:tc>
        <w:tc>
          <w:tcPr>
            <w:tcW w:w="2093" w:type="dxa"/>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本章节全部内容</w:t>
            </w:r>
          </w:p>
        </w:tc>
        <w:tc>
          <w:tcPr>
            <w:tcW w:w="2259" w:type="dxa"/>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完全响应</w:t>
            </w:r>
          </w:p>
        </w:tc>
        <w:tc>
          <w:tcPr>
            <w:tcW w:w="1520" w:type="dxa"/>
            <w:vAlign w:val="center"/>
          </w:tcPr>
          <w:p>
            <w:pPr>
              <w:widowControl w:val="0"/>
              <w:spacing w:before="0" w:after="0" w:afterAutospacing="0" w:line="240" w:lineRule="auto"/>
              <w:ind w:left="1050" w:right="-57" w:rightChars="-27" w:hanging="1050"/>
              <w:jc w:val="center"/>
              <w:rPr>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01" w:type="dxa"/>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2</w:t>
            </w:r>
          </w:p>
        </w:tc>
        <w:tc>
          <w:tcPr>
            <w:tcW w:w="3283" w:type="dxa"/>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合同条款</w:t>
            </w:r>
          </w:p>
        </w:tc>
        <w:tc>
          <w:tcPr>
            <w:tcW w:w="2093" w:type="dxa"/>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本章节全部内容</w:t>
            </w:r>
          </w:p>
        </w:tc>
        <w:tc>
          <w:tcPr>
            <w:tcW w:w="2259" w:type="dxa"/>
            <w:vAlign w:val="center"/>
          </w:tcPr>
          <w:p>
            <w:pPr>
              <w:widowControl w:val="0"/>
              <w:spacing w:before="0" w:after="0" w:afterAutospacing="0" w:line="240" w:lineRule="auto"/>
              <w:ind w:left="1050" w:right="-57" w:rightChars="-27" w:hanging="1050"/>
              <w:jc w:val="center"/>
              <w:rPr>
                <w:kern w:val="2"/>
                <w:highlight w:val="none"/>
              </w:rPr>
            </w:pPr>
            <w:r>
              <w:rPr>
                <w:rFonts w:hint="eastAsia"/>
                <w:kern w:val="2"/>
                <w:highlight w:val="none"/>
              </w:rPr>
              <w:t>完全响应</w:t>
            </w:r>
          </w:p>
        </w:tc>
        <w:tc>
          <w:tcPr>
            <w:tcW w:w="1520" w:type="dxa"/>
            <w:vAlign w:val="center"/>
          </w:tcPr>
          <w:p>
            <w:pPr>
              <w:widowControl w:val="0"/>
              <w:spacing w:before="0" w:after="0" w:afterAutospacing="0" w:line="240" w:lineRule="auto"/>
              <w:ind w:left="1050" w:right="-57" w:rightChars="-27" w:hanging="1050"/>
              <w:jc w:val="center"/>
              <w:rPr>
                <w:kern w:val="2"/>
                <w:highlight w:val="none"/>
              </w:rPr>
            </w:pPr>
          </w:p>
        </w:tc>
      </w:tr>
    </w:tbl>
    <w:p>
      <w:pPr>
        <w:widowControl w:val="0"/>
        <w:spacing w:before="0" w:after="0" w:afterAutospacing="0"/>
        <w:ind w:left="1050" w:right="-57" w:rightChars="-27" w:hanging="1050"/>
        <w:rPr>
          <w:rFonts w:ascii="宋体" w:hAnsi="宋体"/>
          <w:b/>
          <w:highlight w:val="none"/>
        </w:rPr>
      </w:pPr>
    </w:p>
    <w:p>
      <w:pPr>
        <w:widowControl w:val="0"/>
        <w:spacing w:before="0" w:after="0" w:afterAutospacing="0"/>
        <w:ind w:left="1050" w:right="-57" w:rightChars="-27" w:hanging="1050"/>
        <w:rPr>
          <w:kern w:val="2"/>
          <w:highlight w:val="none"/>
        </w:rPr>
      </w:pPr>
      <w:r>
        <w:rPr>
          <w:rFonts w:hint="eastAsia" w:ascii="宋体" w:hAnsi="宋体"/>
          <w:b/>
          <w:highlight w:val="none"/>
        </w:rPr>
        <w:t>注：上述响应要求必须全部为“完全响应”，否则，投标人将不能通过初步评审。</w:t>
      </w:r>
    </w:p>
    <w:p>
      <w:pPr>
        <w:widowControl w:val="0"/>
        <w:spacing w:before="0" w:after="0" w:afterAutospacing="0"/>
        <w:ind w:left="1338" w:leftChars="637" w:right="-57" w:rightChars="-27" w:firstLine="3675" w:firstLineChars="1750"/>
        <w:rPr>
          <w:kern w:val="2"/>
          <w:szCs w:val="24"/>
          <w:highlight w:val="none"/>
        </w:rPr>
      </w:pPr>
    </w:p>
    <w:p>
      <w:pPr>
        <w:widowControl w:val="0"/>
        <w:spacing w:before="0" w:after="0" w:afterAutospacing="0"/>
        <w:ind w:left="1338" w:leftChars="637" w:right="-57" w:rightChars="-27" w:firstLine="3675" w:firstLineChars="1750"/>
        <w:rPr>
          <w:kern w:val="2"/>
          <w:szCs w:val="24"/>
          <w:highlight w:val="none"/>
        </w:rPr>
      </w:pPr>
    </w:p>
    <w:p>
      <w:pPr>
        <w:widowControl w:val="0"/>
        <w:spacing w:before="0" w:after="0" w:afterAutospacing="0"/>
        <w:ind w:left="1338" w:leftChars="637" w:right="-57" w:rightChars="-27" w:firstLine="3675" w:firstLineChars="1750"/>
        <w:rPr>
          <w:kern w:val="2"/>
          <w:szCs w:val="24"/>
          <w:highlight w:val="none"/>
        </w:rPr>
      </w:pPr>
    </w:p>
    <w:p>
      <w:pPr>
        <w:widowControl w:val="0"/>
        <w:spacing w:before="0" w:after="0" w:afterAutospacing="0"/>
        <w:ind w:left="1338" w:leftChars="637" w:right="-57" w:rightChars="-27" w:firstLine="3675" w:firstLineChars="1750"/>
        <w:rPr>
          <w:kern w:val="2"/>
          <w:szCs w:val="24"/>
          <w:highlight w:val="none"/>
        </w:rPr>
      </w:pPr>
    </w:p>
    <w:p>
      <w:pPr>
        <w:widowControl w:val="0"/>
        <w:spacing w:before="0" w:after="0" w:afterAutospacing="0"/>
        <w:ind w:left="1338" w:leftChars="637" w:right="-57" w:rightChars="-27" w:firstLine="3675" w:firstLineChars="1750"/>
        <w:rPr>
          <w:kern w:val="2"/>
          <w:szCs w:val="24"/>
          <w:highlight w:val="none"/>
        </w:rPr>
      </w:pPr>
    </w:p>
    <w:p>
      <w:pPr>
        <w:widowControl w:val="0"/>
        <w:spacing w:before="0" w:after="0" w:afterAutospacing="0"/>
        <w:ind w:left="1338" w:leftChars="637" w:right="-57" w:rightChars="-27" w:firstLine="3675" w:firstLineChars="1750"/>
        <w:rPr>
          <w:kern w:val="2"/>
          <w:szCs w:val="24"/>
          <w:highlight w:val="none"/>
        </w:rPr>
      </w:pPr>
      <w:r>
        <w:rPr>
          <w:kern w:val="2"/>
          <w:szCs w:val="24"/>
          <w:highlight w:val="none"/>
        </w:rPr>
        <w:t>投标人：（公章）</w:t>
      </w:r>
    </w:p>
    <w:p>
      <w:pPr>
        <w:widowControl w:val="0"/>
        <w:spacing w:before="0" w:after="0" w:afterAutospacing="0"/>
        <w:ind w:left="2" w:leftChars="1" w:right="-57" w:rightChars="-27" w:firstLine="5040" w:firstLineChars="2400"/>
        <w:rPr>
          <w:kern w:val="2"/>
          <w:szCs w:val="24"/>
          <w:highlight w:val="none"/>
        </w:rPr>
      </w:pPr>
      <w:r>
        <w:rPr>
          <w:kern w:val="2"/>
          <w:szCs w:val="24"/>
          <w:highlight w:val="none"/>
        </w:rPr>
        <w:t>法定代表人或其</w:t>
      </w:r>
      <w:r>
        <w:rPr>
          <w:rFonts w:hint="eastAsia"/>
          <w:kern w:val="2"/>
          <w:szCs w:val="24"/>
          <w:highlight w:val="none"/>
        </w:rPr>
        <w:t>委托代理人</w:t>
      </w:r>
      <w:r>
        <w:rPr>
          <w:kern w:val="2"/>
          <w:szCs w:val="24"/>
          <w:highlight w:val="none"/>
        </w:rPr>
        <w:t>：（签字或盖章）</w:t>
      </w:r>
    </w:p>
    <w:p>
      <w:pPr>
        <w:widowControl w:val="0"/>
        <w:spacing w:before="0" w:after="0" w:afterAutospacing="0"/>
        <w:ind w:left="2" w:leftChars="1" w:right="-57" w:rightChars="-27" w:firstLine="5040" w:firstLineChars="2400"/>
        <w:rPr>
          <w:kern w:val="2"/>
          <w:szCs w:val="24"/>
          <w:highlight w:val="none"/>
        </w:rPr>
      </w:pPr>
      <w:r>
        <w:rPr>
          <w:kern w:val="2"/>
          <w:szCs w:val="24"/>
          <w:highlight w:val="none"/>
        </w:rPr>
        <w:t>日期：</w:t>
      </w:r>
    </w:p>
    <w:p>
      <w:pPr>
        <w:widowControl w:val="0"/>
        <w:spacing w:before="0" w:after="0" w:afterAutospacing="0"/>
        <w:ind w:left="1050" w:right="-57" w:rightChars="-27" w:hanging="1050"/>
        <w:rPr>
          <w:kern w:val="2"/>
          <w:highlight w:val="none"/>
        </w:rPr>
      </w:pPr>
    </w:p>
    <w:p>
      <w:pPr>
        <w:widowControl w:val="0"/>
        <w:spacing w:before="0" w:after="0" w:afterAutospacing="0"/>
        <w:ind w:left="1050" w:right="-57" w:rightChars="-27" w:hanging="1050"/>
        <w:rPr>
          <w:kern w:val="2"/>
          <w:highlight w:val="none"/>
        </w:rPr>
      </w:pPr>
    </w:p>
    <w:p>
      <w:pPr>
        <w:pageBreakBefore/>
        <w:snapToGrid w:val="0"/>
        <w:spacing w:before="0" w:line="240" w:lineRule="auto"/>
        <w:ind w:left="0" w:right="0" w:firstLine="0"/>
        <w:jc w:val="left"/>
        <w:outlineLvl w:val="2"/>
        <w:rPr>
          <w:rFonts w:ascii="宋体" w:hAnsi="宋体"/>
          <w:b/>
          <w:highlight w:val="none"/>
        </w:rPr>
      </w:pPr>
      <w:r>
        <w:rPr>
          <w:rFonts w:ascii="宋体" w:hAnsi="宋体"/>
          <w:b/>
          <w:highlight w:val="none"/>
        </w:rPr>
        <w:t>C3</w:t>
      </w:r>
      <w:r>
        <w:rPr>
          <w:rFonts w:hint="eastAsia" w:ascii="宋体" w:hAnsi="宋体"/>
          <w:b/>
          <w:highlight w:val="none"/>
        </w:rPr>
        <w:t xml:space="preserve"> </w:t>
      </w:r>
      <w:r>
        <w:rPr>
          <w:rFonts w:ascii="宋体" w:hAnsi="宋体"/>
          <w:b/>
          <w:highlight w:val="none"/>
        </w:rPr>
        <w:t>按期交货承诺书</w:t>
      </w:r>
    </w:p>
    <w:p>
      <w:pPr>
        <w:widowControl w:val="0"/>
        <w:spacing w:before="240" w:beforeLines="100" w:after="240" w:afterLines="100"/>
        <w:ind w:right="-57" w:rightChars="-27"/>
        <w:jc w:val="center"/>
        <w:rPr>
          <w:b/>
          <w:kern w:val="2"/>
          <w:sz w:val="32"/>
          <w:szCs w:val="32"/>
          <w:highlight w:val="none"/>
        </w:rPr>
      </w:pPr>
      <w:r>
        <w:rPr>
          <w:rFonts w:hint="eastAsia" w:hAnsi="宋体"/>
          <w:b/>
          <w:kern w:val="2"/>
          <w:sz w:val="32"/>
          <w:szCs w:val="32"/>
          <w:highlight w:val="none"/>
        </w:rPr>
        <w:t>按期</w:t>
      </w:r>
      <w:r>
        <w:rPr>
          <w:rFonts w:hAnsi="宋体"/>
          <w:b/>
          <w:kern w:val="2"/>
          <w:sz w:val="32"/>
          <w:szCs w:val="32"/>
          <w:highlight w:val="none"/>
        </w:rPr>
        <w:t>交货承诺书</w:t>
      </w:r>
    </w:p>
    <w:p>
      <w:pPr>
        <w:widowControl w:val="0"/>
        <w:spacing w:beforeLines="50"/>
        <w:ind w:right="-57" w:rightChars="-27"/>
        <w:rPr>
          <w:kern w:val="2"/>
          <w:highlight w:val="none"/>
        </w:rPr>
      </w:pPr>
    </w:p>
    <w:p>
      <w:pPr>
        <w:widowControl w:val="0"/>
        <w:spacing w:beforeLines="50"/>
        <w:ind w:right="-57" w:rightChars="-27"/>
        <w:rPr>
          <w:kern w:val="2"/>
          <w:highlight w:val="none"/>
        </w:rPr>
      </w:pPr>
      <w:r>
        <w:rPr>
          <w:rFonts w:hAnsi="宋体"/>
          <w:kern w:val="2"/>
          <w:highlight w:val="none"/>
        </w:rPr>
        <w:t>致：</w:t>
      </w:r>
      <w:r>
        <w:rPr>
          <w:rFonts w:hint="eastAsia" w:ascii="宋体" w:hAnsi="宋体"/>
          <w:highlight w:val="none"/>
          <w:u w:val="single"/>
        </w:rPr>
        <w:t>南宁轨道交通运营有限公司工会委员会</w:t>
      </w:r>
    </w:p>
    <w:p>
      <w:pPr>
        <w:spacing w:before="0" w:after="0" w:afterAutospacing="0"/>
        <w:ind w:left="0" w:right="0" w:firstLine="420" w:firstLineChars="200"/>
        <w:rPr>
          <w:rFonts w:ascii="宋体" w:hAnsi="宋体"/>
          <w:highlight w:val="none"/>
        </w:rPr>
      </w:pPr>
      <w:r>
        <w:rPr>
          <w:rFonts w:hAnsi="宋体"/>
          <w:kern w:val="2"/>
          <w:highlight w:val="none"/>
        </w:rPr>
        <w:t>本公司</w:t>
      </w:r>
      <w:r>
        <w:rPr>
          <w:rFonts w:hAnsi="宋体"/>
          <w:kern w:val="2"/>
          <w:highlight w:val="none"/>
          <w:u w:val="single"/>
        </w:rPr>
        <w:t>（投标人名称）</w:t>
      </w:r>
      <w:r>
        <w:rPr>
          <w:rFonts w:hAnsi="宋体"/>
          <w:kern w:val="2"/>
          <w:highlight w:val="none"/>
        </w:rPr>
        <w:t>参加了贵公司组织的项目</w:t>
      </w:r>
      <w:r>
        <w:rPr>
          <w:rFonts w:hAnsi="宋体"/>
          <w:kern w:val="2"/>
          <w:highlight w:val="none"/>
          <w:u w:val="single"/>
        </w:rPr>
        <w:t>（</w:t>
      </w:r>
      <w:r>
        <w:rPr>
          <w:rFonts w:hint="eastAsia" w:hAnsi="宋体"/>
          <w:kern w:val="2"/>
          <w:highlight w:val="none"/>
          <w:u w:val="single"/>
        </w:rPr>
        <w:t>项目编号</w:t>
      </w:r>
      <w:r>
        <w:rPr>
          <w:rFonts w:hAnsi="宋体"/>
          <w:kern w:val="2"/>
          <w:highlight w:val="none"/>
          <w:u w:val="single"/>
        </w:rPr>
        <w:t>）</w:t>
      </w:r>
      <w:r>
        <w:rPr>
          <w:rFonts w:hAnsi="宋体"/>
          <w:kern w:val="2"/>
          <w:highlight w:val="none"/>
        </w:rPr>
        <w:t>的招标。我公司在此承诺：我方保证</w:t>
      </w:r>
      <w:r>
        <w:rPr>
          <w:rFonts w:hint="eastAsia" w:hAnsi="宋体"/>
          <w:kern w:val="2"/>
          <w:highlight w:val="none"/>
        </w:rPr>
        <w:t>严格</w:t>
      </w:r>
      <w:r>
        <w:rPr>
          <w:rFonts w:hAnsi="宋体"/>
          <w:kern w:val="2"/>
          <w:highlight w:val="none"/>
        </w:rPr>
        <w:t>按招标文件和</w:t>
      </w:r>
      <w:r>
        <w:rPr>
          <w:rFonts w:hint="eastAsia" w:hAnsi="宋体"/>
          <w:kern w:val="2"/>
          <w:highlight w:val="none"/>
        </w:rPr>
        <w:t>合同</w:t>
      </w:r>
      <w:r>
        <w:rPr>
          <w:rFonts w:hAnsi="宋体"/>
          <w:kern w:val="2"/>
          <w:highlight w:val="none"/>
        </w:rPr>
        <w:t>的规定，满足规定的交货期要求</w:t>
      </w:r>
      <w:r>
        <w:rPr>
          <w:rFonts w:hint="eastAsia" w:hAnsi="宋体"/>
          <w:kern w:val="2"/>
          <w:highlight w:val="none"/>
        </w:rPr>
        <w:t>，</w:t>
      </w:r>
      <w:r>
        <w:rPr>
          <w:kern w:val="2"/>
          <w:highlight w:val="none"/>
        </w:rPr>
        <w:t>如未按期交货，</w:t>
      </w:r>
      <w:r>
        <w:rPr>
          <w:rFonts w:hint="eastAsia"/>
          <w:kern w:val="2"/>
          <w:highlight w:val="none"/>
        </w:rPr>
        <w:t>我公司承诺接受：</w:t>
      </w:r>
      <w:r>
        <w:rPr>
          <w:rFonts w:hint="eastAsia" w:ascii="宋体" w:hAnsi="宋体"/>
          <w:highlight w:val="none"/>
        </w:rPr>
        <w:t>逾期交付货物30</w:t>
      </w:r>
      <w:r>
        <w:rPr>
          <w:rFonts w:ascii="宋体" w:hAnsi="宋体"/>
          <w:highlight w:val="none"/>
        </w:rPr>
        <w:t>天内（含</w:t>
      </w:r>
      <w:r>
        <w:rPr>
          <w:rFonts w:hint="eastAsia" w:ascii="宋体" w:hAnsi="宋体"/>
          <w:highlight w:val="none"/>
        </w:rPr>
        <w:t>30</w:t>
      </w:r>
      <w:r>
        <w:rPr>
          <w:rFonts w:ascii="宋体" w:hAnsi="宋体"/>
          <w:highlight w:val="none"/>
        </w:rPr>
        <w:t>天），每逾期1天向</w:t>
      </w:r>
      <w:r>
        <w:rPr>
          <w:rFonts w:hAnsi="宋体"/>
          <w:kern w:val="2"/>
          <w:highlight w:val="none"/>
        </w:rPr>
        <w:t>贵公司</w:t>
      </w:r>
      <w:r>
        <w:rPr>
          <w:rFonts w:hint="eastAsia" w:ascii="宋体" w:hAnsi="宋体"/>
          <w:highlight w:val="none"/>
        </w:rPr>
        <w:t>支付合同总价</w:t>
      </w:r>
      <w:r>
        <w:rPr>
          <w:rFonts w:ascii="宋体" w:hAnsi="宋体"/>
          <w:highlight w:val="none"/>
        </w:rPr>
        <w:t>的</w:t>
      </w:r>
      <w:r>
        <w:rPr>
          <w:rFonts w:hint="eastAsia" w:ascii="宋体" w:hAnsi="宋体"/>
          <w:highlight w:val="none"/>
        </w:rPr>
        <w:t>0.4‰的违约金；逾期交货超过30</w:t>
      </w:r>
      <w:r>
        <w:rPr>
          <w:rFonts w:ascii="宋体" w:hAnsi="宋体"/>
          <w:highlight w:val="none"/>
        </w:rPr>
        <w:t>天</w:t>
      </w:r>
      <w:r>
        <w:rPr>
          <w:rFonts w:hint="eastAsia" w:ascii="宋体" w:hAnsi="宋体"/>
          <w:highlight w:val="none"/>
        </w:rPr>
        <w:t>，</w:t>
      </w:r>
      <w:r>
        <w:rPr>
          <w:rFonts w:ascii="宋体" w:hAnsi="宋体"/>
          <w:highlight w:val="none"/>
        </w:rPr>
        <w:t>每</w:t>
      </w:r>
      <w:r>
        <w:rPr>
          <w:rFonts w:hint="eastAsia" w:ascii="宋体" w:hAnsi="宋体"/>
          <w:highlight w:val="none"/>
        </w:rPr>
        <w:t>增加</w:t>
      </w:r>
      <w:r>
        <w:rPr>
          <w:rFonts w:ascii="宋体" w:hAnsi="宋体"/>
          <w:highlight w:val="none"/>
        </w:rPr>
        <w:t>1天向</w:t>
      </w:r>
      <w:r>
        <w:rPr>
          <w:rFonts w:hAnsi="宋体"/>
          <w:kern w:val="2"/>
          <w:highlight w:val="none"/>
        </w:rPr>
        <w:t>贵公司</w:t>
      </w:r>
      <w:r>
        <w:rPr>
          <w:rFonts w:hint="eastAsia" w:ascii="宋体" w:hAnsi="宋体"/>
          <w:highlight w:val="none"/>
        </w:rPr>
        <w:t>支付合同总价</w:t>
      </w:r>
      <w:r>
        <w:rPr>
          <w:rFonts w:ascii="宋体" w:hAnsi="宋体"/>
          <w:highlight w:val="none"/>
        </w:rPr>
        <w:t>的</w:t>
      </w:r>
      <w:r>
        <w:rPr>
          <w:rFonts w:hint="eastAsia" w:ascii="宋体" w:hAnsi="宋体"/>
          <w:highlight w:val="none"/>
        </w:rPr>
        <w:t>0.6‰的违约金。违约金累计金额达到合同总价的10％，</w:t>
      </w:r>
      <w:r>
        <w:rPr>
          <w:rFonts w:hAnsi="宋体"/>
          <w:kern w:val="2"/>
          <w:highlight w:val="none"/>
        </w:rPr>
        <w:t>贵公司</w:t>
      </w:r>
      <w:r>
        <w:rPr>
          <w:rFonts w:ascii="宋体" w:hAnsi="宋体"/>
          <w:highlight w:val="none"/>
        </w:rPr>
        <w:t>有权</w:t>
      </w:r>
      <w:r>
        <w:rPr>
          <w:rFonts w:hint="eastAsia" w:ascii="宋体" w:hAnsi="宋体"/>
          <w:highlight w:val="none"/>
        </w:rPr>
        <w:t>选择按以下任一方式处理:（1）</w:t>
      </w:r>
      <w:r>
        <w:rPr>
          <w:rFonts w:ascii="宋体" w:hAnsi="宋体"/>
          <w:highlight w:val="none"/>
        </w:rPr>
        <w:t>解除合同</w:t>
      </w:r>
      <w:r>
        <w:rPr>
          <w:rFonts w:hint="eastAsia" w:ascii="宋体" w:hAnsi="宋体"/>
          <w:highlight w:val="none"/>
        </w:rPr>
        <w:t>；（2）继续履行合同，按照逾期天数计算违约金。如赔偿不足以弥补</w:t>
      </w:r>
      <w:r>
        <w:rPr>
          <w:rFonts w:hAnsi="宋体"/>
          <w:kern w:val="2"/>
          <w:highlight w:val="none"/>
        </w:rPr>
        <w:t>贵公司</w:t>
      </w:r>
      <w:r>
        <w:rPr>
          <w:rFonts w:hint="eastAsia" w:ascii="宋体" w:hAnsi="宋体"/>
          <w:highlight w:val="none"/>
        </w:rPr>
        <w:t>损失，</w:t>
      </w:r>
      <w:r>
        <w:rPr>
          <w:rFonts w:hAnsi="宋体"/>
          <w:kern w:val="2"/>
          <w:highlight w:val="none"/>
        </w:rPr>
        <w:t>贵公司</w:t>
      </w:r>
      <w:r>
        <w:rPr>
          <w:rFonts w:hint="eastAsia" w:ascii="宋体" w:hAnsi="宋体"/>
          <w:highlight w:val="none"/>
        </w:rPr>
        <w:t>有权向本公司继续追偿。</w:t>
      </w:r>
    </w:p>
    <w:p>
      <w:pPr>
        <w:spacing w:after="0" w:afterAutospacing="0"/>
        <w:ind w:left="0" w:right="0" w:firstLine="420" w:firstLineChars="200"/>
        <w:jc w:val="left"/>
        <w:rPr>
          <w:kern w:val="2"/>
          <w:highlight w:val="none"/>
        </w:rPr>
      </w:pPr>
    </w:p>
    <w:p>
      <w:pPr>
        <w:widowControl w:val="0"/>
        <w:spacing w:beforeLines="50"/>
        <w:ind w:left="0" w:right="-57" w:rightChars="-27" w:firstLine="0"/>
        <w:rPr>
          <w:kern w:val="2"/>
          <w:highlight w:val="none"/>
        </w:rPr>
      </w:pPr>
      <w:r>
        <w:rPr>
          <w:rFonts w:hAnsi="宋体"/>
          <w:kern w:val="2"/>
          <w:highlight w:val="none"/>
        </w:rPr>
        <w:t>特此承诺！</w:t>
      </w:r>
    </w:p>
    <w:p>
      <w:pPr>
        <w:widowControl w:val="0"/>
        <w:spacing w:beforeLines="50"/>
        <w:ind w:right="-57" w:rightChars="-27" w:firstLine="420" w:firstLineChars="200"/>
        <w:rPr>
          <w:kern w:val="2"/>
          <w:highlight w:val="none"/>
        </w:rPr>
      </w:pPr>
    </w:p>
    <w:p>
      <w:pPr>
        <w:widowControl w:val="0"/>
        <w:spacing w:beforeLines="50"/>
        <w:ind w:right="-57" w:rightChars="-27" w:firstLine="420" w:firstLineChars="200"/>
        <w:rPr>
          <w:kern w:val="2"/>
          <w:highlight w:val="none"/>
        </w:rPr>
      </w:pPr>
    </w:p>
    <w:p>
      <w:pPr>
        <w:widowControl w:val="0"/>
        <w:spacing w:beforeLines="50"/>
        <w:ind w:left="708" w:right="-57" w:rightChars="-27" w:hanging="707" w:hangingChars="337"/>
        <w:rPr>
          <w:kern w:val="2"/>
          <w:highlight w:val="none"/>
        </w:rPr>
      </w:pPr>
    </w:p>
    <w:p>
      <w:pPr>
        <w:widowControl w:val="0"/>
        <w:spacing w:before="0" w:after="0" w:afterAutospacing="0"/>
        <w:ind w:left="1338" w:leftChars="637" w:right="-57" w:rightChars="-27" w:firstLine="3675" w:firstLineChars="1750"/>
        <w:rPr>
          <w:kern w:val="2"/>
          <w:szCs w:val="24"/>
          <w:highlight w:val="none"/>
        </w:rPr>
      </w:pPr>
      <w:r>
        <w:rPr>
          <w:kern w:val="2"/>
          <w:szCs w:val="24"/>
          <w:highlight w:val="none"/>
        </w:rPr>
        <w:t>投标人：（公章）</w:t>
      </w:r>
    </w:p>
    <w:p>
      <w:pPr>
        <w:widowControl w:val="0"/>
        <w:spacing w:before="0" w:after="0" w:afterAutospacing="0"/>
        <w:ind w:left="2" w:leftChars="1" w:right="-57" w:rightChars="-27" w:firstLine="5040" w:firstLineChars="2400"/>
        <w:rPr>
          <w:kern w:val="2"/>
          <w:szCs w:val="24"/>
          <w:highlight w:val="none"/>
        </w:rPr>
      </w:pPr>
      <w:r>
        <w:rPr>
          <w:kern w:val="2"/>
          <w:szCs w:val="24"/>
          <w:highlight w:val="none"/>
        </w:rPr>
        <w:t>法定代表人或其</w:t>
      </w:r>
      <w:r>
        <w:rPr>
          <w:rFonts w:hint="eastAsia"/>
          <w:kern w:val="2"/>
          <w:szCs w:val="24"/>
          <w:highlight w:val="none"/>
        </w:rPr>
        <w:t>委托代理人</w:t>
      </w:r>
      <w:r>
        <w:rPr>
          <w:kern w:val="2"/>
          <w:szCs w:val="24"/>
          <w:highlight w:val="none"/>
        </w:rPr>
        <w:t>：（签字或盖章）</w:t>
      </w:r>
    </w:p>
    <w:p>
      <w:pPr>
        <w:widowControl w:val="0"/>
        <w:spacing w:before="0" w:after="0" w:afterAutospacing="0"/>
        <w:ind w:left="1338" w:leftChars="637" w:right="-57" w:rightChars="-27" w:firstLine="3675" w:firstLineChars="1750"/>
        <w:rPr>
          <w:kern w:val="2"/>
          <w:szCs w:val="24"/>
          <w:highlight w:val="none"/>
        </w:rPr>
      </w:pPr>
      <w:r>
        <w:rPr>
          <w:kern w:val="2"/>
          <w:szCs w:val="24"/>
          <w:highlight w:val="none"/>
        </w:rPr>
        <w:t>日期：</w:t>
      </w:r>
    </w:p>
    <w:p>
      <w:pPr>
        <w:pStyle w:val="2"/>
        <w:ind w:firstLine="480"/>
        <w:rPr>
          <w:rFonts w:eastAsia="宋体"/>
          <w:highlight w:val="none"/>
        </w:rPr>
      </w:pPr>
      <w:bookmarkStart w:id="1536" w:name="_Toc16252"/>
      <w:bookmarkStart w:id="1537" w:name="_Toc2158"/>
      <w:bookmarkStart w:id="1538" w:name="_Toc2662"/>
      <w:bookmarkStart w:id="1539" w:name="_Toc28354"/>
      <w:bookmarkStart w:id="1540" w:name="_Toc15184"/>
      <w:bookmarkStart w:id="1541" w:name="_Toc8717"/>
      <w:bookmarkStart w:id="1542" w:name="_Toc190"/>
    </w:p>
    <w:p>
      <w:pPr>
        <w:pStyle w:val="2"/>
        <w:ind w:firstLine="480"/>
        <w:rPr>
          <w:rFonts w:eastAsia="宋体"/>
          <w:highlight w:val="none"/>
        </w:rPr>
      </w:pPr>
    </w:p>
    <w:p>
      <w:pPr>
        <w:pStyle w:val="2"/>
        <w:ind w:firstLine="480"/>
        <w:rPr>
          <w:rFonts w:eastAsia="宋体"/>
          <w:highlight w:val="none"/>
        </w:rPr>
      </w:pPr>
    </w:p>
    <w:p>
      <w:pPr>
        <w:pStyle w:val="2"/>
        <w:ind w:firstLine="480"/>
        <w:rPr>
          <w:rFonts w:eastAsia="宋体"/>
          <w:highlight w:val="none"/>
        </w:rPr>
      </w:pPr>
    </w:p>
    <w:p>
      <w:pPr>
        <w:pStyle w:val="2"/>
        <w:ind w:firstLine="480"/>
        <w:rPr>
          <w:rFonts w:eastAsia="宋体"/>
          <w:highlight w:val="none"/>
        </w:rPr>
      </w:pPr>
    </w:p>
    <w:p>
      <w:pPr>
        <w:pStyle w:val="2"/>
        <w:ind w:firstLine="480"/>
        <w:rPr>
          <w:rFonts w:eastAsia="宋体"/>
          <w:highlight w:val="none"/>
        </w:rPr>
      </w:pPr>
    </w:p>
    <w:p>
      <w:pPr>
        <w:pStyle w:val="2"/>
        <w:ind w:firstLine="480"/>
        <w:rPr>
          <w:rFonts w:eastAsia="宋体"/>
          <w:highlight w:val="none"/>
        </w:rPr>
      </w:pPr>
    </w:p>
    <w:p>
      <w:pPr>
        <w:pStyle w:val="2"/>
        <w:ind w:firstLine="480"/>
        <w:rPr>
          <w:rFonts w:eastAsia="宋体"/>
          <w:highlight w:val="none"/>
        </w:rPr>
      </w:pPr>
      <w:r>
        <w:rPr>
          <w:rFonts w:hint="eastAsia" w:eastAsia="宋体"/>
          <w:highlight w:val="none"/>
        </w:rPr>
        <w:t xml:space="preserve">                                                       正本/副本</w:t>
      </w:r>
    </w:p>
    <w:p>
      <w:pPr>
        <w:jc w:val="center"/>
        <w:rPr>
          <w:rFonts w:ascii="宋体" w:hAnsi="宋体"/>
          <w:sz w:val="28"/>
          <w:szCs w:val="28"/>
          <w:highlight w:val="none"/>
          <w:u w:val="single"/>
        </w:rPr>
      </w:pPr>
    </w:p>
    <w:p>
      <w:pPr>
        <w:jc w:val="center"/>
        <w:rPr>
          <w:rFonts w:ascii="宋体" w:hAnsi="宋体"/>
          <w:sz w:val="28"/>
          <w:szCs w:val="28"/>
          <w:highlight w:val="none"/>
        </w:rPr>
      </w:pPr>
      <w:r>
        <w:rPr>
          <w:rFonts w:ascii="宋体" w:hAnsi="宋体"/>
          <w:sz w:val="28"/>
          <w:szCs w:val="28"/>
          <w:highlight w:val="none"/>
          <w:u w:val="single"/>
        </w:rPr>
        <w:t>（项目名称）</w:t>
      </w:r>
      <w:r>
        <w:rPr>
          <w:rFonts w:hint="eastAsia" w:ascii="宋体" w:hAnsi="宋体"/>
          <w:sz w:val="28"/>
          <w:szCs w:val="28"/>
          <w:highlight w:val="none"/>
          <w:u w:val="single"/>
        </w:rPr>
        <w:t>项目</w:t>
      </w:r>
    </w:p>
    <w:p>
      <w:pPr>
        <w:spacing w:before="240" w:beforeLines="100"/>
        <w:jc w:val="center"/>
        <w:rPr>
          <w:rFonts w:ascii="宋体" w:hAnsi="宋体"/>
          <w:sz w:val="56"/>
          <w:szCs w:val="56"/>
          <w:highlight w:val="none"/>
        </w:rPr>
      </w:pPr>
      <w:r>
        <w:rPr>
          <w:rFonts w:ascii="宋体" w:hAnsi="宋体"/>
          <w:sz w:val="56"/>
          <w:szCs w:val="56"/>
          <w:highlight w:val="none"/>
        </w:rPr>
        <w:t>投  标  文  件</w:t>
      </w:r>
    </w:p>
    <w:p>
      <w:pPr>
        <w:jc w:val="center"/>
        <w:outlineLvl w:val="1"/>
        <w:rPr>
          <w:rFonts w:ascii="宋体" w:hAnsi="宋体"/>
          <w:sz w:val="36"/>
          <w:szCs w:val="36"/>
          <w:highlight w:val="none"/>
          <w:u w:val="single"/>
        </w:rPr>
      </w:pPr>
      <w:bookmarkStart w:id="1543" w:name="_Toc3448"/>
      <w:bookmarkStart w:id="1544" w:name="_Toc10054"/>
      <w:bookmarkStart w:id="1545" w:name="_Toc12122"/>
      <w:bookmarkStart w:id="1546" w:name="_Toc11248"/>
      <w:bookmarkStart w:id="1547" w:name="_Toc15841"/>
      <w:r>
        <w:rPr>
          <w:rFonts w:hint="eastAsia" w:ascii="宋体" w:hAnsi="宋体"/>
          <w:sz w:val="36"/>
          <w:szCs w:val="36"/>
          <w:highlight w:val="none"/>
          <w:u w:val="single"/>
        </w:rPr>
        <w:t>报价文件</w:t>
      </w:r>
      <w:bookmarkEnd w:id="1543"/>
      <w:bookmarkEnd w:id="1544"/>
      <w:bookmarkEnd w:id="1545"/>
      <w:bookmarkEnd w:id="1546"/>
      <w:bookmarkEnd w:id="1547"/>
    </w:p>
    <w:p>
      <w:pPr>
        <w:ind w:firstLine="2380" w:firstLineChars="850"/>
        <w:rPr>
          <w:rFonts w:ascii="宋体" w:hAnsi="宋体"/>
          <w:sz w:val="28"/>
          <w:szCs w:val="28"/>
          <w:highlight w:val="none"/>
        </w:rPr>
      </w:pPr>
    </w:p>
    <w:p>
      <w:pPr>
        <w:ind w:firstLine="2380" w:firstLineChars="850"/>
        <w:rPr>
          <w:rFonts w:ascii="宋体" w:hAnsi="宋体"/>
          <w:sz w:val="28"/>
          <w:szCs w:val="28"/>
          <w:highlight w:val="none"/>
          <w:u w:val="single"/>
        </w:rPr>
      </w:pPr>
      <w:r>
        <w:rPr>
          <w:rFonts w:hint="eastAsia" w:ascii="宋体" w:hAnsi="宋体"/>
          <w:sz w:val="28"/>
          <w:szCs w:val="28"/>
          <w:highlight w:val="none"/>
        </w:rPr>
        <w:t>项目</w:t>
      </w:r>
      <w:r>
        <w:rPr>
          <w:rFonts w:ascii="宋体" w:hAnsi="宋体"/>
          <w:sz w:val="28"/>
          <w:szCs w:val="28"/>
          <w:highlight w:val="none"/>
        </w:rPr>
        <w:t>编号：</w:t>
      </w:r>
      <w:r>
        <w:rPr>
          <w:rFonts w:hint="eastAsia" w:ascii="宋体" w:hAnsi="宋体"/>
          <w:sz w:val="28"/>
          <w:szCs w:val="28"/>
          <w:highlight w:val="none"/>
          <w:u w:val="single"/>
        </w:rPr>
        <w:t xml:space="preserve">                </w:t>
      </w:r>
    </w:p>
    <w:p>
      <w:pPr>
        <w:jc w:val="center"/>
        <w:rPr>
          <w:rFonts w:ascii="宋体" w:hAnsi="宋体"/>
          <w:sz w:val="32"/>
          <w:szCs w:val="32"/>
          <w:highlight w:val="none"/>
        </w:rPr>
      </w:pPr>
    </w:p>
    <w:p>
      <w:pPr>
        <w:jc w:val="center"/>
        <w:rPr>
          <w:rFonts w:ascii="宋体" w:hAnsi="宋体"/>
          <w:sz w:val="32"/>
          <w:szCs w:val="32"/>
          <w:highlight w:val="none"/>
        </w:rPr>
      </w:pPr>
    </w:p>
    <w:p>
      <w:pPr>
        <w:ind w:firstLine="1400" w:firstLineChars="500"/>
        <w:rPr>
          <w:rFonts w:ascii="宋体" w:hAnsi="宋体"/>
          <w:sz w:val="28"/>
          <w:szCs w:val="28"/>
          <w:highlight w:val="none"/>
        </w:rPr>
      </w:pPr>
      <w:r>
        <w:rPr>
          <w:rFonts w:ascii="宋体" w:hAnsi="宋体"/>
          <w:sz w:val="28"/>
          <w:szCs w:val="28"/>
          <w:highlight w:val="none"/>
        </w:rPr>
        <w:t>投标人：</w:t>
      </w:r>
      <w:r>
        <w:rPr>
          <w:rFonts w:hint="eastAsia" w:ascii="宋体" w:hAnsi="宋体"/>
          <w:sz w:val="28"/>
          <w:szCs w:val="28"/>
          <w:highlight w:val="none"/>
          <w:u w:val="single"/>
        </w:rPr>
        <w:t xml:space="preserve">                      </w:t>
      </w:r>
      <w:r>
        <w:rPr>
          <w:rFonts w:ascii="宋体" w:hAnsi="宋体"/>
          <w:sz w:val="28"/>
          <w:szCs w:val="28"/>
          <w:highlight w:val="none"/>
          <w:u w:val="single"/>
        </w:rPr>
        <w:t>（</w:t>
      </w:r>
      <w:r>
        <w:rPr>
          <w:rFonts w:ascii="宋体" w:hAnsi="宋体"/>
          <w:sz w:val="28"/>
          <w:szCs w:val="28"/>
          <w:highlight w:val="none"/>
        </w:rPr>
        <w:t>盖单位</w:t>
      </w:r>
      <w:r>
        <w:rPr>
          <w:rFonts w:hint="eastAsia" w:ascii="宋体" w:hAnsi="宋体"/>
          <w:sz w:val="28"/>
          <w:szCs w:val="28"/>
          <w:highlight w:val="none"/>
        </w:rPr>
        <w:t>公</w:t>
      </w:r>
      <w:r>
        <w:rPr>
          <w:rFonts w:ascii="宋体" w:hAnsi="宋体"/>
          <w:sz w:val="28"/>
          <w:szCs w:val="28"/>
          <w:highlight w:val="none"/>
        </w:rPr>
        <w:t>章）</w:t>
      </w:r>
    </w:p>
    <w:p>
      <w:pPr>
        <w:ind w:firstLine="1400" w:firstLineChars="500"/>
        <w:rPr>
          <w:rFonts w:ascii="宋体" w:hAnsi="宋体"/>
          <w:sz w:val="28"/>
          <w:szCs w:val="28"/>
          <w:highlight w:val="none"/>
        </w:rPr>
      </w:pPr>
      <w:r>
        <w:rPr>
          <w:rFonts w:hint="eastAsia" w:ascii="宋体" w:hAnsi="宋体"/>
          <w:sz w:val="28"/>
          <w:szCs w:val="28"/>
          <w:highlight w:val="none"/>
        </w:rPr>
        <w:t>法定代表人或其委托代理人</w:t>
      </w:r>
      <w:r>
        <w:rPr>
          <w:rFonts w:ascii="宋体" w:hAnsi="宋体"/>
          <w:sz w:val="28"/>
          <w:szCs w:val="28"/>
          <w:highlight w:val="none"/>
        </w:rPr>
        <w:t>：</w:t>
      </w:r>
      <w:r>
        <w:rPr>
          <w:rFonts w:hint="eastAsia" w:ascii="宋体" w:hAnsi="宋体"/>
          <w:sz w:val="28"/>
          <w:szCs w:val="28"/>
          <w:highlight w:val="none"/>
          <w:u w:val="single"/>
        </w:rPr>
        <w:t xml:space="preserve">     </w:t>
      </w:r>
      <w:r>
        <w:rPr>
          <w:rFonts w:ascii="宋体" w:hAnsi="宋体"/>
          <w:sz w:val="28"/>
          <w:szCs w:val="28"/>
          <w:highlight w:val="none"/>
        </w:rPr>
        <w:t>（签字</w:t>
      </w:r>
      <w:r>
        <w:rPr>
          <w:rFonts w:hint="eastAsia" w:ascii="宋体" w:hAnsi="宋体"/>
          <w:sz w:val="28"/>
          <w:szCs w:val="28"/>
          <w:highlight w:val="none"/>
        </w:rPr>
        <w:t>或盖章</w:t>
      </w:r>
      <w:r>
        <w:rPr>
          <w:rFonts w:ascii="宋体" w:hAnsi="宋体"/>
          <w:sz w:val="28"/>
          <w:szCs w:val="28"/>
          <w:highlight w:val="none"/>
        </w:rPr>
        <w:t>）</w:t>
      </w:r>
    </w:p>
    <w:p>
      <w:pPr>
        <w:rPr>
          <w:rFonts w:ascii="宋体" w:hAnsi="宋体"/>
          <w:sz w:val="28"/>
          <w:szCs w:val="28"/>
          <w:highlight w:val="none"/>
        </w:rPr>
      </w:pPr>
    </w:p>
    <w:p>
      <w:pPr>
        <w:ind w:left="0" w:firstLine="3640" w:firstLineChars="1300"/>
        <w:rPr>
          <w:rFonts w:ascii="宋体" w:hAnsi="宋体"/>
          <w:sz w:val="28"/>
          <w:szCs w:val="28"/>
          <w:highlight w:val="none"/>
        </w:rPr>
      </w:pPr>
      <w:r>
        <w:rPr>
          <w:rFonts w:ascii="宋体" w:hAnsi="宋体"/>
          <w:sz w:val="28"/>
          <w:szCs w:val="28"/>
          <w:highlight w:val="none"/>
        </w:rPr>
        <w:t>年</w:t>
      </w:r>
      <w:r>
        <w:rPr>
          <w:rFonts w:hint="eastAsia" w:ascii="宋体" w:hAnsi="宋体"/>
          <w:sz w:val="28"/>
          <w:szCs w:val="28"/>
          <w:highlight w:val="none"/>
        </w:rPr>
        <w:t xml:space="preserve"> </w:t>
      </w:r>
      <w:r>
        <w:rPr>
          <w:rFonts w:ascii="宋体" w:hAnsi="宋体"/>
          <w:sz w:val="28"/>
          <w:szCs w:val="28"/>
          <w:highlight w:val="none"/>
        </w:rPr>
        <w:t xml:space="preserve">  </w:t>
      </w:r>
      <w:r>
        <w:rPr>
          <w:rFonts w:hint="eastAsia" w:ascii="宋体" w:hAnsi="宋体"/>
          <w:sz w:val="28"/>
          <w:szCs w:val="28"/>
          <w:highlight w:val="none"/>
        </w:rPr>
        <w:t xml:space="preserve"> </w:t>
      </w:r>
      <w:r>
        <w:rPr>
          <w:rFonts w:ascii="宋体" w:hAnsi="宋体"/>
          <w:sz w:val="28"/>
          <w:szCs w:val="28"/>
          <w:highlight w:val="none"/>
        </w:rPr>
        <w:t>月</w:t>
      </w:r>
      <w:r>
        <w:rPr>
          <w:rFonts w:hint="eastAsia" w:ascii="宋体" w:hAnsi="宋体"/>
          <w:sz w:val="28"/>
          <w:szCs w:val="28"/>
          <w:highlight w:val="none"/>
        </w:rPr>
        <w:t xml:space="preserve">    日</w:t>
      </w:r>
    </w:p>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36"/>
    <w:bookmarkEnd w:id="1537"/>
    <w:bookmarkEnd w:id="1538"/>
    <w:bookmarkEnd w:id="1539"/>
    <w:bookmarkEnd w:id="1540"/>
    <w:bookmarkEnd w:id="1541"/>
    <w:bookmarkEnd w:id="1542"/>
    <w:p>
      <w:pPr>
        <w:widowControl w:val="0"/>
        <w:spacing w:before="0" w:after="0" w:afterAutospacing="0"/>
        <w:ind w:left="0" w:right="0" w:firstLine="562" w:firstLineChars="200"/>
        <w:jc w:val="center"/>
        <w:rPr>
          <w:b/>
          <w:sz w:val="28"/>
          <w:szCs w:val="28"/>
          <w:highlight w:val="none"/>
        </w:rPr>
        <w:sectPr>
          <w:pgSz w:w="11905" w:h="16838"/>
          <w:pgMar w:top="1417" w:right="1417" w:bottom="1417" w:left="1417" w:header="454" w:footer="567" w:gutter="0"/>
          <w:pgNumType w:fmt="decimal"/>
          <w:cols w:space="720" w:num="1"/>
          <w:docGrid w:linePitch="319" w:charSpace="0"/>
        </w:sectPr>
      </w:pPr>
    </w:p>
    <w:p>
      <w:pPr>
        <w:widowControl w:val="0"/>
        <w:spacing w:before="0" w:after="0" w:afterAutospacing="0"/>
        <w:ind w:left="0" w:right="0" w:firstLine="562" w:firstLineChars="200"/>
        <w:jc w:val="center"/>
        <w:rPr>
          <w:b/>
          <w:sz w:val="28"/>
          <w:szCs w:val="28"/>
          <w:highlight w:val="none"/>
        </w:rPr>
      </w:pPr>
      <w:r>
        <w:rPr>
          <w:rFonts w:hint="eastAsia"/>
          <w:b/>
          <w:sz w:val="28"/>
          <w:szCs w:val="28"/>
          <w:highlight w:val="none"/>
        </w:rPr>
        <w:t>目录</w:t>
      </w:r>
    </w:p>
    <w:p>
      <w:pPr>
        <w:spacing w:before="0" w:after="0" w:afterAutospacing="0"/>
        <w:ind w:left="0" w:right="0" w:firstLine="420" w:firstLineChars="200"/>
        <w:rPr>
          <w:highlight w:val="none"/>
        </w:rPr>
      </w:pPr>
      <w:r>
        <w:rPr>
          <w:rFonts w:hint="eastAsia"/>
          <w:highlight w:val="none"/>
        </w:rPr>
        <w:t>（</w:t>
      </w:r>
      <w:r>
        <w:rPr>
          <w:highlight w:val="none"/>
        </w:rPr>
        <w:t>1</w:t>
      </w:r>
      <w:r>
        <w:rPr>
          <w:rFonts w:hint="eastAsia"/>
          <w:highlight w:val="none"/>
        </w:rPr>
        <w:t>）开标一览表（格式见D1）；</w:t>
      </w:r>
    </w:p>
    <w:p>
      <w:pPr>
        <w:spacing w:before="0" w:after="0" w:afterAutospacing="0"/>
        <w:ind w:left="0" w:right="0" w:firstLine="420" w:firstLineChars="200"/>
        <w:rPr>
          <w:highlight w:val="none"/>
        </w:rPr>
      </w:pPr>
      <w:r>
        <w:rPr>
          <w:rFonts w:hint="eastAsia"/>
          <w:highlight w:val="none"/>
        </w:rPr>
        <w:t>（</w:t>
      </w:r>
      <w:r>
        <w:rPr>
          <w:highlight w:val="none"/>
        </w:rPr>
        <w:t>2</w:t>
      </w:r>
      <w:r>
        <w:rPr>
          <w:rFonts w:hint="eastAsia"/>
          <w:highlight w:val="none"/>
        </w:rPr>
        <w:t>）投标函（格式见D2）；</w:t>
      </w:r>
    </w:p>
    <w:p>
      <w:pPr>
        <w:spacing w:before="0" w:after="0" w:afterAutospacing="0"/>
        <w:ind w:left="0" w:right="0" w:firstLine="420" w:firstLineChars="200"/>
        <w:rPr>
          <w:highlight w:val="none"/>
        </w:rPr>
      </w:pPr>
      <w:r>
        <w:rPr>
          <w:rFonts w:hint="eastAsia"/>
          <w:highlight w:val="none"/>
        </w:rPr>
        <w:t>（</w:t>
      </w:r>
      <w:r>
        <w:rPr>
          <w:highlight w:val="none"/>
        </w:rPr>
        <w:t>3</w:t>
      </w:r>
      <w:r>
        <w:rPr>
          <w:rFonts w:hint="eastAsia"/>
          <w:highlight w:val="none"/>
        </w:rPr>
        <w:t>）投标报价表（格式见D3）；</w:t>
      </w:r>
    </w:p>
    <w:p>
      <w:pPr>
        <w:spacing w:before="0" w:after="0" w:afterAutospacing="0"/>
        <w:ind w:left="0" w:right="0" w:firstLine="420" w:firstLineChars="200"/>
        <w:rPr>
          <w:rFonts w:ascii="宋体" w:hAnsi="宋体" w:cs="Arial"/>
          <w:highlight w:val="none"/>
        </w:rPr>
      </w:pPr>
      <w:r>
        <w:rPr>
          <w:rFonts w:hint="eastAsia"/>
          <w:highlight w:val="none"/>
        </w:rPr>
        <w:t>（4）投标人认为应提交的其他投标资料。（如有）</w:t>
      </w:r>
    </w:p>
    <w:p>
      <w:pPr>
        <w:pageBreakBefore/>
        <w:snapToGrid w:val="0"/>
        <w:spacing w:before="0" w:line="240" w:lineRule="auto"/>
        <w:ind w:left="0" w:right="0" w:firstLine="0"/>
        <w:jc w:val="left"/>
        <w:outlineLvl w:val="2"/>
        <w:rPr>
          <w:rFonts w:ascii="宋体" w:hAnsi="宋体"/>
          <w:b/>
          <w:highlight w:val="none"/>
        </w:rPr>
      </w:pPr>
      <w:bookmarkStart w:id="1548" w:name="_Toc24487"/>
      <w:bookmarkStart w:id="1549" w:name="_Toc24326"/>
      <w:bookmarkStart w:id="1550" w:name="_Toc12983552"/>
      <w:bookmarkStart w:id="1551" w:name="_Toc23615"/>
      <w:bookmarkStart w:id="1552" w:name="_Toc27610"/>
      <w:bookmarkStart w:id="1553" w:name="_Toc29688"/>
      <w:bookmarkStart w:id="1554" w:name="_Toc18340"/>
      <w:bookmarkStart w:id="1555" w:name="_Toc18516"/>
      <w:bookmarkStart w:id="1556" w:name="_Toc9560"/>
      <w:bookmarkStart w:id="1557" w:name="_Toc29231"/>
      <w:bookmarkStart w:id="1558" w:name="_Toc16489"/>
      <w:bookmarkStart w:id="1559" w:name="_Toc13980"/>
      <w:bookmarkStart w:id="1560" w:name="_Toc12984812"/>
      <w:bookmarkStart w:id="1561" w:name="_Toc12951"/>
      <w:bookmarkStart w:id="1562" w:name="_Toc492478808"/>
      <w:bookmarkStart w:id="1563" w:name="_Toc9861"/>
      <w:bookmarkStart w:id="1564" w:name="_Toc7004"/>
      <w:bookmarkStart w:id="1565" w:name="_Toc1158"/>
      <w:bookmarkStart w:id="1566" w:name="_Toc6992"/>
      <w:bookmarkStart w:id="1567" w:name="_Toc25419"/>
      <w:bookmarkStart w:id="1568" w:name="_Toc375564355"/>
      <w:bookmarkStart w:id="1569" w:name="_Toc414290526"/>
      <w:bookmarkStart w:id="1570" w:name="_Toc10991"/>
      <w:r>
        <w:rPr>
          <w:rFonts w:hint="eastAsia" w:ascii="宋体" w:hAnsi="宋体"/>
          <w:b/>
          <w:highlight w:val="none"/>
        </w:rPr>
        <w:t>D</w:t>
      </w:r>
      <w:r>
        <w:rPr>
          <w:rFonts w:ascii="宋体" w:hAnsi="宋体"/>
          <w:b/>
          <w:highlight w:val="none"/>
        </w:rPr>
        <w:t>1</w:t>
      </w:r>
      <w:r>
        <w:rPr>
          <w:rFonts w:hint="eastAsia" w:ascii="宋体" w:hAnsi="宋体"/>
          <w:b/>
          <w:highlight w:val="none"/>
        </w:rPr>
        <w:t xml:space="preserve"> </w:t>
      </w:r>
      <w:r>
        <w:rPr>
          <w:rFonts w:ascii="宋体" w:hAnsi="宋体"/>
          <w:b/>
          <w:highlight w:val="none"/>
        </w:rPr>
        <w:t>开标一览表</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snapToGrid w:val="0"/>
        <w:spacing w:after="50"/>
        <w:ind w:right="-57" w:firstLine="0"/>
        <w:jc w:val="center"/>
        <w:rPr>
          <w:rFonts w:ascii="宋体" w:hAnsi="宋体"/>
          <w:b/>
          <w:sz w:val="24"/>
          <w:szCs w:val="24"/>
          <w:highlight w:val="none"/>
        </w:rPr>
      </w:pPr>
      <w:r>
        <w:rPr>
          <w:rFonts w:hint="eastAsia" w:ascii="宋体" w:hAnsi="宋体"/>
          <w:b/>
          <w:sz w:val="24"/>
          <w:szCs w:val="24"/>
          <w:highlight w:val="none"/>
        </w:rPr>
        <w:t>开标一览表</w:t>
      </w:r>
    </w:p>
    <w:p>
      <w:pPr>
        <w:widowControl w:val="0"/>
        <w:snapToGrid w:val="0"/>
        <w:spacing w:before="0" w:after="0" w:afterAutospacing="0"/>
        <w:ind w:left="0" w:right="-57" w:rightChars="-27" w:firstLine="0"/>
        <w:rPr>
          <w:rFonts w:ascii="宋体" w:hAnsi="宋体"/>
          <w:kern w:val="2"/>
          <w:highlight w:val="none"/>
          <w:u w:val="single"/>
        </w:rPr>
      </w:pPr>
      <w:r>
        <w:rPr>
          <w:rFonts w:hint="eastAsia" w:ascii="宋体" w:hAnsi="宋体"/>
          <w:kern w:val="2"/>
          <w:highlight w:val="none"/>
        </w:rPr>
        <w:t>项目名称：</w:t>
      </w:r>
    </w:p>
    <w:p>
      <w:pPr>
        <w:widowControl w:val="0"/>
        <w:snapToGrid w:val="0"/>
        <w:spacing w:before="0" w:after="0" w:afterAutospacing="0"/>
        <w:ind w:left="0" w:right="-57" w:rightChars="-27" w:firstLine="0"/>
        <w:rPr>
          <w:rFonts w:ascii="宋体" w:hAnsi="宋体"/>
          <w:kern w:val="2"/>
          <w:highlight w:val="none"/>
        </w:rPr>
      </w:pPr>
      <w:r>
        <w:rPr>
          <w:rFonts w:hint="eastAsia" w:ascii="宋体" w:hAnsi="宋体"/>
          <w:kern w:val="2"/>
          <w:highlight w:val="none"/>
        </w:rPr>
        <w:t>项目编号：</w:t>
      </w:r>
    </w:p>
    <w:p>
      <w:pPr>
        <w:widowControl w:val="0"/>
        <w:snapToGrid w:val="0"/>
        <w:spacing w:before="0" w:after="0" w:afterAutospacing="0"/>
        <w:ind w:right="-57" w:rightChars="-27"/>
        <w:rPr>
          <w:rFonts w:ascii="宋体" w:hAnsi="宋体"/>
          <w:kern w:val="2"/>
          <w:highlight w:val="none"/>
        </w:rPr>
      </w:pPr>
      <w:r>
        <w:rPr>
          <w:rFonts w:hint="eastAsia" w:ascii="宋体" w:hAnsi="宋体"/>
          <w:kern w:val="2"/>
          <w:highlight w:val="none"/>
        </w:rPr>
        <w:t>投标人名称：                                                           单位：元</w:t>
      </w:r>
    </w:p>
    <w:tbl>
      <w:tblPr>
        <w:tblStyle w:val="27"/>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u w:val="single"/>
              </w:rPr>
            </w:pPr>
            <w:r>
              <w:rPr>
                <w:rFonts w:hint="eastAsia" w:ascii="宋体" w:hAnsi="宋体"/>
                <w:b/>
                <w:bCs/>
                <w:kern w:val="2"/>
                <w:highlight w:val="none"/>
              </w:rPr>
              <w:t>投标报价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446"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kern w:val="2"/>
                <w:highlight w:val="none"/>
              </w:rPr>
            </w:pPr>
            <w:r>
              <w:rPr>
                <w:rFonts w:hint="eastAsia" w:ascii="宋体" w:hAnsi="宋体"/>
                <w:b/>
                <w:bCs/>
                <w:kern w:val="2"/>
                <w:highlight w:val="none"/>
              </w:rPr>
              <w:t>投标总报价</w:t>
            </w:r>
          </w:p>
          <w:p>
            <w:pPr>
              <w:widowControl w:val="0"/>
              <w:snapToGrid w:val="0"/>
              <w:spacing w:before="0" w:after="0" w:afterAutospacing="0"/>
              <w:ind w:right="-57" w:rightChars="-27"/>
              <w:jc w:val="center"/>
              <w:rPr>
                <w:rFonts w:ascii="宋体" w:hAnsi="宋体"/>
                <w:b/>
                <w:bCs/>
                <w:kern w:val="2"/>
                <w:highlight w:val="none"/>
              </w:rPr>
            </w:pPr>
            <w:r>
              <w:rPr>
                <w:rFonts w:hint="eastAsia" w:ascii="宋体" w:hAnsi="宋体"/>
                <w:b/>
                <w:bCs/>
                <w:kern w:val="2"/>
                <w:highlight w:val="none"/>
              </w:rPr>
              <w:t>(含税)</w:t>
            </w:r>
          </w:p>
        </w:tc>
        <w:tc>
          <w:tcPr>
            <w:tcW w:w="5131" w:type="dxa"/>
            <w:tcBorders>
              <w:bottom w:val="single" w:color="auto" w:sz="4" w:space="0"/>
            </w:tcBorders>
            <w:vAlign w:val="center"/>
          </w:tcPr>
          <w:p>
            <w:pPr>
              <w:widowControl w:val="0"/>
              <w:snapToGrid w:val="0"/>
              <w:spacing w:before="0" w:after="0" w:afterAutospacing="0"/>
              <w:ind w:right="-57" w:rightChars="-27"/>
              <w:jc w:val="left"/>
              <w:rPr>
                <w:rFonts w:ascii="宋体" w:hAnsi="宋体"/>
                <w:b/>
                <w:kern w:val="2"/>
                <w:highlight w:val="none"/>
                <w:u w:val="single"/>
              </w:rPr>
            </w:pPr>
            <w:r>
              <w:rPr>
                <w:rFonts w:hint="eastAsia" w:ascii="宋体" w:hAnsi="宋体"/>
                <w:b/>
                <w:kern w:val="2"/>
                <w:highlight w:val="none"/>
              </w:rPr>
              <w:t>小写：</w:t>
            </w:r>
          </w:p>
          <w:p>
            <w:pPr>
              <w:widowControl w:val="0"/>
              <w:snapToGrid w:val="0"/>
              <w:spacing w:before="0" w:after="0" w:afterAutospacing="0"/>
              <w:ind w:left="0" w:right="-57" w:rightChars="-27" w:firstLine="0"/>
              <w:jc w:val="left"/>
              <w:rPr>
                <w:rFonts w:ascii="宋体" w:hAnsi="宋体"/>
                <w:b/>
                <w:kern w:val="2"/>
                <w:highlight w:val="none"/>
              </w:rPr>
            </w:pPr>
            <w:r>
              <w:rPr>
                <w:rFonts w:hint="eastAsia" w:ascii="宋体" w:hAnsi="宋体"/>
                <w:b/>
                <w:kern w:val="2"/>
                <w:highlight w:val="none"/>
              </w:rPr>
              <w:t>大写：</w:t>
            </w:r>
          </w:p>
        </w:tc>
        <w:tc>
          <w:tcPr>
            <w:tcW w:w="1178" w:type="dxa"/>
            <w:tcBorders>
              <w:bottom w:val="single" w:color="auto" w:sz="4" w:space="0"/>
            </w:tcBorders>
            <w:vAlign w:val="center"/>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交货期</w:t>
            </w:r>
          </w:p>
        </w:tc>
        <w:tc>
          <w:tcPr>
            <w:tcW w:w="6309" w:type="dxa"/>
            <w:gridSpan w:val="2"/>
            <w:vAlign w:val="center"/>
          </w:tcPr>
          <w:p>
            <w:pPr>
              <w:widowControl w:val="0"/>
              <w:snapToGrid w:val="0"/>
              <w:spacing w:before="0" w:after="0" w:afterAutospacing="0"/>
              <w:ind w:right="-57" w:rightChars="-27"/>
              <w:rPr>
                <w:rFonts w:ascii="宋体" w:hAnsi="宋体"/>
                <w:b/>
                <w:kern w:val="2"/>
                <w:highlight w:val="none"/>
              </w:rPr>
            </w:pPr>
          </w:p>
        </w:tc>
      </w:tr>
    </w:tbl>
    <w:p>
      <w:pPr>
        <w:spacing w:before="0" w:after="0" w:afterAutospacing="0"/>
        <w:ind w:left="0" w:right="0" w:firstLine="0"/>
        <w:rPr>
          <w:rFonts w:ascii="宋体" w:hAnsi="宋体"/>
          <w:highlight w:val="none"/>
        </w:rPr>
      </w:pPr>
    </w:p>
    <w:p>
      <w:pPr>
        <w:pStyle w:val="13"/>
        <w:rPr>
          <w:rFonts w:hAnsi="宋体"/>
          <w:highlight w:val="none"/>
        </w:rPr>
      </w:pPr>
    </w:p>
    <w:p>
      <w:pPr>
        <w:rPr>
          <w:highlight w:val="none"/>
        </w:rPr>
      </w:pPr>
    </w:p>
    <w:p>
      <w:pPr>
        <w:spacing w:before="0" w:after="0" w:afterAutospacing="0"/>
        <w:ind w:left="0" w:right="0" w:firstLine="0"/>
        <w:rPr>
          <w:rFonts w:ascii="宋体" w:hAnsi="宋体"/>
          <w:sz w:val="24"/>
          <w:szCs w:val="24"/>
          <w:highlight w:val="none"/>
        </w:rPr>
      </w:pPr>
      <w:r>
        <w:rPr>
          <w:rFonts w:hint="eastAsia" w:ascii="宋体" w:hAnsi="宋体"/>
          <w:highlight w:val="none"/>
        </w:rPr>
        <w:t>注</w:t>
      </w:r>
      <w:r>
        <w:rPr>
          <w:rFonts w:ascii="宋体" w:hAnsi="宋体"/>
          <w:highlight w:val="none"/>
        </w:rPr>
        <w:t>:</w:t>
      </w:r>
      <w:r>
        <w:rPr>
          <w:rFonts w:hint="eastAsia" w:ascii="宋体" w:hAnsi="宋体"/>
          <w:highlight w:val="none"/>
        </w:rPr>
        <w:t>投标报价应包括货物价款、包装、运输、装卸、质量保证期服务、管理费、利润、保险、税金等一切履行合同标的全过程产生的所有费用。</w:t>
      </w:r>
    </w:p>
    <w:p>
      <w:pPr>
        <w:spacing w:before="0" w:after="0" w:afterAutospacing="0"/>
        <w:ind w:left="0" w:right="0" w:firstLine="0"/>
        <w:rPr>
          <w:rFonts w:ascii="宋体" w:hAnsi="宋体"/>
          <w:sz w:val="24"/>
          <w:szCs w:val="24"/>
          <w:highlight w:val="none"/>
        </w:rPr>
      </w:pPr>
    </w:p>
    <w:p>
      <w:pPr>
        <w:snapToGrid w:val="0"/>
        <w:spacing w:after="50" w:line="280" w:lineRule="exact"/>
        <w:ind w:left="953" w:right="-817" w:firstLine="1443"/>
        <w:rPr>
          <w:rFonts w:ascii="宋体" w:hAnsi="宋体"/>
          <w:highlight w:val="none"/>
        </w:rPr>
      </w:pPr>
    </w:p>
    <w:p>
      <w:pPr>
        <w:widowControl w:val="0"/>
        <w:spacing w:before="0" w:after="0" w:afterAutospacing="0"/>
        <w:ind w:left="1338" w:leftChars="637" w:right="-57" w:rightChars="-27" w:firstLine="3675" w:firstLineChars="1750"/>
        <w:rPr>
          <w:kern w:val="2"/>
          <w:szCs w:val="24"/>
          <w:highlight w:val="none"/>
        </w:rPr>
      </w:pPr>
      <w:r>
        <w:rPr>
          <w:kern w:val="2"/>
          <w:szCs w:val="24"/>
          <w:highlight w:val="none"/>
        </w:rPr>
        <w:t>投标人：（公章）</w:t>
      </w:r>
    </w:p>
    <w:p>
      <w:pPr>
        <w:widowControl w:val="0"/>
        <w:spacing w:before="0" w:after="0" w:afterAutospacing="0"/>
        <w:ind w:left="2" w:leftChars="1" w:right="-57" w:rightChars="-27" w:firstLine="5040" w:firstLineChars="2400"/>
        <w:rPr>
          <w:kern w:val="2"/>
          <w:szCs w:val="24"/>
          <w:highlight w:val="none"/>
        </w:rPr>
      </w:pPr>
      <w:r>
        <w:rPr>
          <w:kern w:val="2"/>
          <w:szCs w:val="24"/>
          <w:highlight w:val="none"/>
        </w:rPr>
        <w:t>法定代表人或其</w:t>
      </w:r>
      <w:r>
        <w:rPr>
          <w:rFonts w:hint="eastAsia"/>
          <w:kern w:val="2"/>
          <w:szCs w:val="24"/>
          <w:highlight w:val="none"/>
        </w:rPr>
        <w:t>委托代理人</w:t>
      </w:r>
      <w:r>
        <w:rPr>
          <w:kern w:val="2"/>
          <w:szCs w:val="24"/>
          <w:highlight w:val="none"/>
        </w:rPr>
        <w:t>：（签字或盖章）</w:t>
      </w:r>
    </w:p>
    <w:p>
      <w:pPr>
        <w:widowControl w:val="0"/>
        <w:spacing w:before="0" w:after="0" w:afterAutospacing="0"/>
        <w:ind w:left="1338" w:leftChars="637" w:right="-57" w:rightChars="-27" w:firstLine="3675" w:firstLineChars="1750"/>
        <w:rPr>
          <w:kern w:val="2"/>
          <w:szCs w:val="24"/>
          <w:highlight w:val="none"/>
        </w:rPr>
      </w:pPr>
      <w:r>
        <w:rPr>
          <w:kern w:val="2"/>
          <w:szCs w:val="24"/>
          <w:highlight w:val="none"/>
        </w:rPr>
        <w:t>日期：</w:t>
      </w:r>
    </w:p>
    <w:p>
      <w:pPr>
        <w:pageBreakBefore/>
        <w:snapToGrid w:val="0"/>
        <w:spacing w:before="0" w:line="240" w:lineRule="auto"/>
        <w:ind w:left="0" w:right="0" w:firstLine="0"/>
        <w:jc w:val="left"/>
        <w:outlineLvl w:val="2"/>
        <w:rPr>
          <w:rFonts w:ascii="宋体" w:hAnsi="宋体"/>
          <w:b/>
          <w:highlight w:val="none"/>
        </w:rPr>
      </w:pPr>
      <w:bookmarkStart w:id="1571" w:name="_Toc110413986"/>
      <w:bookmarkStart w:id="1572" w:name="_Toc61680485"/>
      <w:bookmarkStart w:id="1573" w:name="_Toc58124833"/>
      <w:bookmarkStart w:id="1574" w:name="_Toc68859063"/>
      <w:bookmarkStart w:id="1575" w:name="_Toc241920153"/>
      <w:bookmarkStart w:id="1576" w:name="_Toc15419"/>
      <w:bookmarkStart w:id="1577" w:name="_Toc32224"/>
      <w:bookmarkStart w:id="1578" w:name="_Toc4976"/>
      <w:bookmarkStart w:id="1579" w:name="_Toc8713"/>
      <w:bookmarkStart w:id="1580" w:name="_Toc12983553"/>
      <w:bookmarkStart w:id="1581" w:name="_Toc20737"/>
      <w:bookmarkStart w:id="1582" w:name="_Toc20864"/>
      <w:bookmarkStart w:id="1583" w:name="_Toc25869"/>
      <w:bookmarkStart w:id="1584" w:name="_Toc6833"/>
      <w:bookmarkStart w:id="1585" w:name="_Toc10260"/>
      <w:bookmarkStart w:id="1586" w:name="_Toc17112"/>
      <w:bookmarkStart w:id="1587" w:name="_Toc2257"/>
      <w:bookmarkStart w:id="1588" w:name="_Toc21109"/>
      <w:bookmarkStart w:id="1589" w:name="_Toc2585"/>
      <w:bookmarkStart w:id="1590" w:name="_Toc6270"/>
      <w:bookmarkStart w:id="1591" w:name="_Toc492478809"/>
      <w:bookmarkStart w:id="1592" w:name="_Toc11065"/>
      <w:bookmarkStart w:id="1593" w:name="_Toc375564356"/>
      <w:bookmarkStart w:id="1594" w:name="_Toc14859"/>
      <w:bookmarkStart w:id="1595" w:name="_Toc414290527"/>
      <w:bookmarkStart w:id="1596" w:name="_Toc29702"/>
      <w:bookmarkStart w:id="1597" w:name="_Toc12984813"/>
      <w:bookmarkStart w:id="1598" w:name="_Toc14503"/>
      <w:r>
        <w:rPr>
          <w:rFonts w:hint="eastAsia" w:ascii="宋体" w:hAnsi="宋体"/>
          <w:b/>
          <w:highlight w:val="none"/>
        </w:rPr>
        <w:t>D</w:t>
      </w:r>
      <w:r>
        <w:rPr>
          <w:rFonts w:ascii="宋体" w:hAnsi="宋体"/>
          <w:b/>
          <w:highlight w:val="none"/>
        </w:rPr>
        <w:t>2</w:t>
      </w:r>
      <w:r>
        <w:rPr>
          <w:rFonts w:hint="eastAsia" w:ascii="宋体" w:hAnsi="宋体"/>
          <w:b/>
          <w:highlight w:val="none"/>
        </w:rPr>
        <w:t xml:space="preserve"> </w:t>
      </w:r>
      <w:r>
        <w:rPr>
          <w:rFonts w:ascii="宋体" w:hAnsi="宋体"/>
          <w:b/>
          <w:highlight w:val="none"/>
        </w:rPr>
        <w:t>投标</w:t>
      </w:r>
      <w:bookmarkEnd w:id="1571"/>
      <w:bookmarkEnd w:id="1572"/>
      <w:bookmarkEnd w:id="1573"/>
      <w:bookmarkEnd w:id="1574"/>
      <w:r>
        <w:rPr>
          <w:rFonts w:ascii="宋体" w:hAnsi="宋体"/>
          <w:b/>
          <w:highlight w:val="none"/>
        </w:rPr>
        <w:t>函格式</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spacing w:before="0" w:after="0" w:afterAutospacing="0"/>
        <w:ind w:right="0" w:firstLine="0"/>
        <w:jc w:val="center"/>
        <w:rPr>
          <w:rFonts w:ascii="宋体" w:hAnsi="宋体"/>
          <w:b/>
          <w:sz w:val="32"/>
          <w:szCs w:val="32"/>
          <w:highlight w:val="none"/>
        </w:rPr>
      </w:pPr>
      <w:r>
        <w:rPr>
          <w:rFonts w:ascii="宋体" w:hAnsi="宋体"/>
          <w:b/>
          <w:sz w:val="32"/>
          <w:szCs w:val="32"/>
          <w:highlight w:val="none"/>
        </w:rPr>
        <w:t>投标函</w:t>
      </w:r>
    </w:p>
    <w:p>
      <w:pPr>
        <w:spacing w:before="0" w:after="0" w:afterAutospacing="0"/>
        <w:ind w:left="0" w:right="0" w:firstLine="0"/>
        <w:rPr>
          <w:rFonts w:ascii="宋体" w:hAnsi="宋体"/>
          <w:highlight w:val="none"/>
        </w:rPr>
      </w:pPr>
      <w:r>
        <w:rPr>
          <w:rFonts w:ascii="宋体" w:hAnsi="宋体"/>
          <w:highlight w:val="none"/>
        </w:rPr>
        <w:t>致：</w:t>
      </w:r>
      <w:r>
        <w:rPr>
          <w:rFonts w:hint="eastAsia" w:ascii="宋体" w:hAnsi="宋体"/>
          <w:highlight w:val="none"/>
          <w:u w:val="single"/>
        </w:rPr>
        <w:t>南宁轨道交通运营有限公司工会委员会</w:t>
      </w:r>
    </w:p>
    <w:p>
      <w:pPr>
        <w:spacing w:before="0" w:after="0" w:afterAutospacing="0"/>
        <w:ind w:left="0" w:right="0" w:firstLine="420" w:firstLineChars="200"/>
        <w:rPr>
          <w:rFonts w:ascii="宋体" w:hAnsi="宋体"/>
          <w:highlight w:val="none"/>
        </w:rPr>
      </w:pPr>
      <w:r>
        <w:rPr>
          <w:rFonts w:ascii="宋体" w:hAnsi="宋体"/>
          <w:highlight w:val="none"/>
        </w:rPr>
        <w:t>根据贵方为</w:t>
      </w:r>
      <w:r>
        <w:rPr>
          <w:rFonts w:hint="eastAsia" w:ascii="宋体" w:hAnsi="宋体"/>
          <w:highlight w:val="none"/>
          <w:u w:val="single"/>
        </w:rPr>
        <w:t xml:space="preserve">          （项目名称）                 </w:t>
      </w:r>
      <w:r>
        <w:rPr>
          <w:rFonts w:hint="eastAsia" w:ascii="宋体" w:hAnsi="宋体"/>
          <w:highlight w:val="none"/>
        </w:rPr>
        <w:t>项目</w:t>
      </w:r>
      <w:r>
        <w:rPr>
          <w:rFonts w:ascii="宋体" w:hAnsi="宋体"/>
          <w:highlight w:val="none"/>
        </w:rPr>
        <w:t>(</w:t>
      </w:r>
      <w:r>
        <w:rPr>
          <w:rFonts w:hint="eastAsia" w:ascii="宋体" w:hAnsi="宋体"/>
          <w:highlight w:val="none"/>
        </w:rPr>
        <w:t>项目编号</w:t>
      </w:r>
      <w:r>
        <w:rPr>
          <w:rFonts w:ascii="宋体" w:hAnsi="宋体"/>
          <w:highlight w:val="none"/>
        </w:rPr>
        <w:t>：</w:t>
      </w:r>
      <w:r>
        <w:rPr>
          <w:rFonts w:hint="eastAsia" w:ascii="宋体" w:hAnsi="宋体"/>
          <w:highlight w:val="none"/>
          <w:u w:val="single"/>
        </w:rPr>
        <w:t xml:space="preserve">        </w:t>
      </w:r>
      <w:r>
        <w:rPr>
          <w:rFonts w:ascii="宋体" w:hAnsi="宋体"/>
          <w:highlight w:val="none"/>
        </w:rPr>
        <w:t>)招标采购货物及服务的投标邀请，签字人</w:t>
      </w:r>
      <w:r>
        <w:rPr>
          <w:rFonts w:ascii="宋体" w:hAnsi="宋体"/>
          <w:highlight w:val="none"/>
          <w:u w:val="single"/>
        </w:rPr>
        <w:t>(全名、职务)</w:t>
      </w:r>
      <w:r>
        <w:rPr>
          <w:rFonts w:ascii="宋体" w:hAnsi="宋体"/>
          <w:highlight w:val="none"/>
        </w:rPr>
        <w:t>经正式授权并代表投标人</w:t>
      </w:r>
      <w:r>
        <w:rPr>
          <w:rFonts w:ascii="宋体" w:hAnsi="宋体"/>
          <w:highlight w:val="none"/>
          <w:u w:val="single"/>
        </w:rPr>
        <w:t>（投标人名称、地址）</w:t>
      </w:r>
      <w:r>
        <w:rPr>
          <w:rFonts w:ascii="宋体" w:hAnsi="宋体"/>
          <w:highlight w:val="none"/>
        </w:rPr>
        <w:t>提交</w:t>
      </w:r>
      <w:r>
        <w:rPr>
          <w:rFonts w:hint="eastAsia" w:ascii="宋体" w:hAnsi="宋体"/>
          <w:highlight w:val="none"/>
        </w:rPr>
        <w:t>投标</w:t>
      </w:r>
      <w:r>
        <w:rPr>
          <w:rFonts w:ascii="宋体" w:hAnsi="宋体"/>
          <w:highlight w:val="none"/>
        </w:rPr>
        <w:t>文件正本</w:t>
      </w:r>
      <w:r>
        <w:rPr>
          <w:rFonts w:ascii="宋体" w:hAnsi="宋体"/>
          <w:highlight w:val="none"/>
          <w:u w:val="single"/>
        </w:rPr>
        <w:t>1</w:t>
      </w:r>
      <w:r>
        <w:rPr>
          <w:rFonts w:ascii="宋体" w:hAnsi="宋体"/>
          <w:highlight w:val="none"/>
        </w:rPr>
        <w:t>份、副本</w:t>
      </w:r>
      <w:r>
        <w:rPr>
          <w:rFonts w:ascii="宋体" w:hAnsi="宋体"/>
          <w:highlight w:val="none"/>
          <w:u w:val="single"/>
        </w:rPr>
        <w:t xml:space="preserve"> 4</w:t>
      </w:r>
      <w:r>
        <w:rPr>
          <w:rFonts w:ascii="宋体" w:hAnsi="宋体"/>
          <w:highlight w:val="none"/>
        </w:rPr>
        <w:t>份及电子文件</w:t>
      </w:r>
      <w:r>
        <w:rPr>
          <w:rFonts w:ascii="宋体" w:hAnsi="宋体"/>
          <w:highlight w:val="none"/>
          <w:u w:val="single"/>
        </w:rPr>
        <w:t xml:space="preserve"> 2 </w:t>
      </w:r>
      <w:r>
        <w:rPr>
          <w:rFonts w:ascii="宋体" w:hAnsi="宋体"/>
          <w:highlight w:val="none"/>
        </w:rPr>
        <w:t>份（U盘）。</w:t>
      </w:r>
    </w:p>
    <w:p>
      <w:pPr>
        <w:spacing w:before="0" w:after="0" w:afterAutospacing="0"/>
        <w:ind w:left="0" w:right="0" w:firstLine="420" w:firstLineChars="200"/>
        <w:rPr>
          <w:rFonts w:ascii="宋体" w:hAnsi="宋体"/>
          <w:highlight w:val="none"/>
        </w:rPr>
      </w:pPr>
      <w:r>
        <w:rPr>
          <w:rFonts w:ascii="宋体" w:hAnsi="宋体"/>
          <w:highlight w:val="none"/>
        </w:rPr>
        <w:t>据此，签字人宣布同意如下：</w:t>
      </w:r>
    </w:p>
    <w:p>
      <w:pPr>
        <w:spacing w:before="0" w:after="0" w:afterAutospacing="0"/>
        <w:ind w:left="0" w:right="0" w:firstLine="420" w:firstLineChars="200"/>
        <w:rPr>
          <w:rFonts w:ascii="宋体" w:hAnsi="宋体"/>
          <w:highlight w:val="none"/>
        </w:rPr>
      </w:pPr>
      <w:bookmarkStart w:id="1599" w:name="_Toc375564357"/>
      <w:r>
        <w:rPr>
          <w:rFonts w:ascii="宋体" w:hAnsi="宋体"/>
          <w:highlight w:val="none"/>
        </w:rPr>
        <w:t>1. 按招标文件要求规定的应提交和交付的货物和服务并履行全部合同义务的投标总价如本投标文件</w:t>
      </w:r>
      <w:r>
        <w:rPr>
          <w:rFonts w:hint="eastAsia" w:ascii="宋体" w:hAnsi="宋体"/>
          <w:highlight w:val="none"/>
        </w:rPr>
        <w:t>报价文件</w:t>
      </w:r>
      <w:r>
        <w:rPr>
          <w:rFonts w:ascii="宋体" w:hAnsi="宋体"/>
          <w:highlight w:val="none"/>
        </w:rPr>
        <w:t>“开标一览表”中“投标</w:t>
      </w:r>
      <w:r>
        <w:rPr>
          <w:rFonts w:hint="eastAsia" w:ascii="宋体" w:hAnsi="宋体"/>
          <w:highlight w:val="none"/>
        </w:rPr>
        <w:t>总</w:t>
      </w:r>
      <w:r>
        <w:rPr>
          <w:rFonts w:ascii="宋体" w:hAnsi="宋体"/>
          <w:highlight w:val="none"/>
        </w:rPr>
        <w:t>报价”一栏所述。</w:t>
      </w:r>
      <w:bookmarkEnd w:id="1599"/>
    </w:p>
    <w:p>
      <w:pPr>
        <w:spacing w:before="0" w:after="0" w:afterAutospacing="0"/>
        <w:ind w:left="0" w:right="0" w:firstLine="420" w:firstLineChars="200"/>
        <w:rPr>
          <w:rFonts w:ascii="宋体" w:hAnsi="宋体"/>
          <w:highlight w:val="none"/>
        </w:rPr>
      </w:pPr>
      <w:r>
        <w:rPr>
          <w:rFonts w:hint="eastAsia" w:ascii="宋体" w:hAnsi="宋体"/>
          <w:highlight w:val="none"/>
        </w:rPr>
        <w:t>2</w:t>
      </w:r>
      <w:r>
        <w:rPr>
          <w:rFonts w:ascii="宋体" w:hAnsi="宋体"/>
          <w:highlight w:val="none"/>
        </w:rPr>
        <w:t>.按招标文件的规定履行合同责任和义务。</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.已详细审查全部招标文件，包括修改文件（如有的话）以及全部接口资料和有关附件。我们完全理解并同意放弃对这方面有不明及误解的权利。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highlight w:val="none"/>
        </w:rPr>
      </w:pPr>
      <w:r>
        <w:rPr>
          <w:rFonts w:hint="eastAsia" w:ascii="宋体" w:hAnsi="宋体"/>
          <w:highlight w:val="none"/>
        </w:rPr>
        <w:t>4</w:t>
      </w:r>
      <w:r>
        <w:rPr>
          <w:rFonts w:ascii="宋体" w:hAnsi="宋体"/>
          <w:highlight w:val="none"/>
        </w:rPr>
        <w:t>.本投标有效期为投标截止日起</w:t>
      </w:r>
      <w:r>
        <w:rPr>
          <w:rFonts w:hint="eastAsia" w:ascii="宋体" w:hAnsi="宋体"/>
          <w:b/>
          <w:highlight w:val="none"/>
          <w:u w:val="single"/>
        </w:rPr>
        <w:t>120</w:t>
      </w:r>
      <w:r>
        <w:rPr>
          <w:rFonts w:ascii="宋体" w:hAnsi="宋体"/>
          <w:highlight w:val="none"/>
        </w:rPr>
        <w:t>日历天内。</w:t>
      </w:r>
    </w:p>
    <w:p>
      <w:pPr>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.如果在规定的开标时间后，</w:t>
      </w:r>
      <w:r>
        <w:rPr>
          <w:rFonts w:hint="eastAsia" w:ascii="宋体" w:hAnsi="宋体"/>
          <w:highlight w:val="none"/>
        </w:rPr>
        <w:t>我公司</w:t>
      </w:r>
      <w:r>
        <w:rPr>
          <w:rFonts w:ascii="宋体" w:hAnsi="宋体"/>
          <w:highlight w:val="none"/>
        </w:rPr>
        <w:t>在投标有效期内撤销投标，</w:t>
      </w:r>
      <w:r>
        <w:rPr>
          <w:rFonts w:hint="eastAsia" w:ascii="宋体" w:hAnsi="宋体"/>
          <w:highlight w:val="none"/>
        </w:rPr>
        <w:t>所造成的损失我公司承担</w:t>
      </w:r>
      <w:r>
        <w:rPr>
          <w:rFonts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.同意按照贵方的要求提供与本投标有关的一切数据或资料，完全理解贵方不一定要接受最低价的投标或收到的任何投标。</w:t>
      </w:r>
    </w:p>
    <w:p>
      <w:pPr>
        <w:spacing w:before="0" w:after="0" w:afterAutospacing="0"/>
        <w:ind w:left="0" w:right="0" w:firstLine="420" w:firstLineChars="200"/>
        <w:rPr>
          <w:rFonts w:ascii="宋体" w:hAnsi="宋体"/>
          <w:highlight w:val="none"/>
        </w:rPr>
      </w:pPr>
      <w:r>
        <w:rPr>
          <w:rFonts w:hint="eastAsia" w:ascii="宋体" w:hAnsi="宋体"/>
          <w:highlight w:val="none"/>
        </w:rPr>
        <w:t>7</w:t>
      </w:r>
      <w:r>
        <w:rPr>
          <w:rFonts w:ascii="宋体" w:hAnsi="宋体"/>
          <w:highlight w:val="none"/>
        </w:rPr>
        <w:t xml:space="preserve">. </w:t>
      </w:r>
      <w:r>
        <w:rPr>
          <w:rFonts w:ascii="宋体" w:hAnsi="宋体"/>
          <w:b/>
          <w:highlight w:val="none"/>
        </w:rPr>
        <w:t>本项目采用</w:t>
      </w:r>
      <w:r>
        <w:rPr>
          <w:rFonts w:hint="eastAsia" w:ascii="宋体" w:hAnsi="宋体"/>
          <w:b/>
          <w:highlight w:val="none"/>
        </w:rPr>
        <w:t>含增值税报价</w:t>
      </w:r>
      <w:r>
        <w:rPr>
          <w:rFonts w:ascii="宋体" w:hAnsi="宋体"/>
          <w:b/>
          <w:highlight w:val="none"/>
        </w:rPr>
        <w:t>，在签订本项目合同时，</w:t>
      </w:r>
      <w:r>
        <w:rPr>
          <w:rFonts w:hint="eastAsia" w:ascii="宋体" w:hAnsi="宋体"/>
          <w:b/>
          <w:highlight w:val="none"/>
        </w:rPr>
        <w:t>遵循国家现行税法的相关规定</w:t>
      </w:r>
      <w:r>
        <w:rPr>
          <w:rFonts w:ascii="宋体" w:hAnsi="宋体"/>
          <w:b/>
          <w:highlight w:val="none"/>
        </w:rPr>
        <w:t>在中标人</w:t>
      </w:r>
      <w:r>
        <w:rPr>
          <w:rFonts w:hint="eastAsia" w:ascii="宋体" w:hAnsi="宋体"/>
          <w:b/>
          <w:highlight w:val="none"/>
        </w:rPr>
        <w:t>含增值税单价和合价</w:t>
      </w:r>
      <w:r>
        <w:rPr>
          <w:rFonts w:ascii="宋体" w:hAnsi="宋体"/>
          <w:b/>
          <w:highlight w:val="none"/>
        </w:rPr>
        <w:t>的基础上</w:t>
      </w:r>
      <w:r>
        <w:rPr>
          <w:rFonts w:hint="eastAsia" w:ascii="宋体" w:hAnsi="宋体"/>
          <w:b/>
          <w:highlight w:val="none"/>
        </w:rPr>
        <w:t>逐项增加增值税额，并</w:t>
      </w:r>
      <w:r>
        <w:rPr>
          <w:rFonts w:ascii="宋体" w:hAnsi="宋体"/>
          <w:b/>
          <w:highlight w:val="none"/>
        </w:rPr>
        <w:t>明确相应</w:t>
      </w:r>
      <w:r>
        <w:rPr>
          <w:rFonts w:hint="eastAsia" w:ascii="宋体" w:hAnsi="宋体"/>
          <w:b/>
          <w:highlight w:val="none"/>
        </w:rPr>
        <w:t>增值税税率</w:t>
      </w:r>
      <w:r>
        <w:rPr>
          <w:rFonts w:ascii="宋体" w:hAnsi="宋体"/>
          <w:b/>
          <w:highlight w:val="none"/>
        </w:rPr>
        <w:t>和</w:t>
      </w:r>
      <w:r>
        <w:rPr>
          <w:rFonts w:hint="eastAsia" w:ascii="宋体" w:hAnsi="宋体"/>
          <w:b/>
          <w:highlight w:val="none"/>
        </w:rPr>
        <w:t>增值税额</w:t>
      </w:r>
      <w:r>
        <w:rPr>
          <w:rFonts w:ascii="宋体" w:hAnsi="宋体"/>
          <w:b/>
          <w:highlight w:val="none"/>
        </w:rPr>
        <w:t>。</w:t>
      </w:r>
      <w:r>
        <w:rPr>
          <w:rFonts w:hint="eastAsia" w:ascii="宋体" w:hAnsi="宋体"/>
          <w:b/>
          <w:highlight w:val="none"/>
        </w:rPr>
        <w:t>合同的最终增值税额在结算阶段，按实际产生的增值税额进行核算，但合同含增值税单价不因国家税率调整而调整。</w:t>
      </w:r>
    </w:p>
    <w:p>
      <w:pPr>
        <w:spacing w:before="0" w:after="0" w:afterAutospacing="0"/>
        <w:ind w:left="0" w:right="0" w:firstLine="420" w:firstLineChars="200"/>
        <w:rPr>
          <w:rFonts w:ascii="宋体" w:hAnsi="宋体"/>
          <w:highlight w:val="none"/>
        </w:rPr>
      </w:pPr>
      <w:r>
        <w:rPr>
          <w:rFonts w:hint="eastAsia" w:ascii="宋体" w:hAnsi="宋体"/>
          <w:highlight w:val="none"/>
        </w:rPr>
        <w:t>8</w:t>
      </w:r>
      <w:r>
        <w:rPr>
          <w:rFonts w:ascii="宋体" w:hAnsi="宋体"/>
          <w:highlight w:val="none"/>
        </w:rPr>
        <w:t>.如果我方中标，我方保证在招标文件规定的时间内交纳有形市场交易服务费和/或在有形市场以外开评标的场地费。</w:t>
      </w:r>
    </w:p>
    <w:p>
      <w:pPr>
        <w:spacing w:before="0" w:after="0" w:afterAutospacing="0"/>
        <w:ind w:left="0" w:right="0" w:firstLine="420" w:firstLineChars="200"/>
        <w:rPr>
          <w:rFonts w:ascii="宋体" w:hAnsi="宋体"/>
          <w:highlight w:val="none"/>
        </w:rPr>
      </w:pPr>
    </w:p>
    <w:p>
      <w:pPr>
        <w:spacing w:before="0" w:after="0" w:afterAutospacing="0"/>
        <w:ind w:left="0" w:right="0" w:firstLine="420" w:firstLineChars="200"/>
        <w:rPr>
          <w:rFonts w:ascii="宋体" w:hAnsi="宋体"/>
          <w:highlight w:val="none"/>
          <w:u w:val="single"/>
        </w:rPr>
      </w:pPr>
      <w:r>
        <w:rPr>
          <w:rFonts w:ascii="宋体" w:hAnsi="宋体"/>
          <w:highlight w:val="none"/>
        </w:rPr>
        <w:t>投标人名称：</w:t>
      </w:r>
      <w:r>
        <w:rPr>
          <w:rFonts w:ascii="宋体" w:hAnsi="宋体"/>
          <w:highlight w:val="none"/>
          <w:u w:val="single"/>
        </w:rPr>
        <w:t>（全称并加盖公章）</w:t>
      </w:r>
    </w:p>
    <w:p>
      <w:pPr>
        <w:spacing w:before="0" w:after="0" w:afterAutospacing="0"/>
        <w:ind w:left="0" w:right="0" w:firstLine="420" w:firstLineChars="200"/>
        <w:rPr>
          <w:rFonts w:ascii="宋体" w:hAnsi="宋体" w:cs="Arial"/>
          <w:highlight w:val="none"/>
        </w:rPr>
      </w:pPr>
      <w:r>
        <w:rPr>
          <w:rFonts w:ascii="宋体" w:hAnsi="宋体"/>
          <w:highlight w:val="none"/>
        </w:rPr>
        <w:t>投标人法定代表人（或其委托代理人）签字</w:t>
      </w:r>
      <w:r>
        <w:rPr>
          <w:rFonts w:hint="eastAsia" w:ascii="宋体" w:hAnsi="宋体"/>
          <w:highlight w:val="none"/>
        </w:rPr>
        <w:t>或盖章</w:t>
      </w:r>
      <w:r>
        <w:rPr>
          <w:rFonts w:hint="eastAsia" w:ascii="宋体" w:hAnsi="宋体" w:cs="Arial"/>
          <w:highlight w:val="none"/>
        </w:rPr>
        <w:t>：</w:t>
      </w:r>
    </w:p>
    <w:p>
      <w:pPr>
        <w:spacing w:before="0" w:after="0" w:afterAutospacing="0"/>
        <w:ind w:left="0" w:right="0" w:firstLine="420" w:firstLineChars="200"/>
        <w:rPr>
          <w:rFonts w:ascii="宋体" w:hAnsi="宋体"/>
          <w:highlight w:val="none"/>
          <w:u w:val="single"/>
        </w:rPr>
      </w:pPr>
      <w:r>
        <w:rPr>
          <w:rFonts w:ascii="宋体" w:hAnsi="宋体"/>
          <w:highlight w:val="none"/>
        </w:rPr>
        <w:t>地址：</w:t>
      </w:r>
    </w:p>
    <w:p>
      <w:pPr>
        <w:spacing w:before="0" w:after="0" w:afterAutospacing="0"/>
        <w:ind w:left="0" w:right="0" w:firstLine="420" w:firstLineChars="200"/>
        <w:rPr>
          <w:rFonts w:ascii="宋体" w:hAnsi="宋体"/>
          <w:highlight w:val="none"/>
        </w:rPr>
      </w:pPr>
      <w:r>
        <w:rPr>
          <w:rFonts w:ascii="宋体" w:hAnsi="宋体"/>
          <w:highlight w:val="none"/>
        </w:rPr>
        <w:t>邮编：</w:t>
      </w:r>
    </w:p>
    <w:p>
      <w:pPr>
        <w:spacing w:before="0" w:after="0" w:afterAutospacing="0"/>
        <w:ind w:left="0" w:right="0" w:firstLine="420" w:firstLineChars="200"/>
        <w:rPr>
          <w:rFonts w:ascii="宋体" w:hAnsi="宋体"/>
          <w:highlight w:val="none"/>
        </w:rPr>
      </w:pPr>
      <w:r>
        <w:rPr>
          <w:rFonts w:ascii="宋体" w:hAnsi="宋体"/>
          <w:highlight w:val="none"/>
        </w:rPr>
        <w:t>电话：</w:t>
      </w:r>
    </w:p>
    <w:p>
      <w:pPr>
        <w:spacing w:before="0" w:after="0" w:afterAutospacing="0"/>
        <w:ind w:left="0" w:right="0" w:firstLine="420" w:firstLineChars="200"/>
        <w:rPr>
          <w:rFonts w:ascii="宋体" w:hAnsi="宋体" w:cs="Arial"/>
          <w:highlight w:val="none"/>
        </w:rPr>
      </w:pPr>
      <w:r>
        <w:rPr>
          <w:rFonts w:ascii="宋体" w:hAnsi="宋体"/>
          <w:highlight w:val="none"/>
        </w:rPr>
        <w:t>电子邮件：</w:t>
      </w:r>
    </w:p>
    <w:p>
      <w:pPr>
        <w:spacing w:before="0" w:after="0" w:afterAutospacing="0"/>
        <w:ind w:left="0" w:right="0" w:firstLine="420" w:firstLineChars="200"/>
        <w:rPr>
          <w:rFonts w:ascii="宋体" w:hAnsi="宋体"/>
          <w:highlight w:val="none"/>
        </w:rPr>
      </w:pPr>
      <w:r>
        <w:rPr>
          <w:rFonts w:hint="eastAsia" w:ascii="宋体" w:hAnsi="宋体" w:cs="Arial"/>
          <w:highlight w:val="none"/>
        </w:rPr>
        <w:t xml:space="preserve">日期：   </w:t>
      </w:r>
      <w:r>
        <w:rPr>
          <w:rFonts w:ascii="宋体" w:hAnsi="宋体"/>
          <w:highlight w:val="none"/>
        </w:rPr>
        <w:t>年</w:t>
      </w:r>
      <w:r>
        <w:rPr>
          <w:rFonts w:hint="eastAsia" w:ascii="宋体" w:hAnsi="宋体"/>
          <w:highlight w:val="none"/>
        </w:rPr>
        <w:t xml:space="preserve">   </w:t>
      </w:r>
      <w:r>
        <w:rPr>
          <w:rFonts w:ascii="宋体" w:hAnsi="宋体"/>
          <w:highlight w:val="none"/>
        </w:rPr>
        <w:t>月</w:t>
      </w:r>
      <w:r>
        <w:rPr>
          <w:rFonts w:hint="eastAsia" w:ascii="宋体" w:hAnsi="宋体"/>
          <w:highlight w:val="none"/>
        </w:rPr>
        <w:t xml:space="preserve">   </w:t>
      </w:r>
      <w:r>
        <w:rPr>
          <w:rFonts w:ascii="宋体" w:hAnsi="宋体"/>
          <w:highlight w:val="none"/>
        </w:rPr>
        <w:t>日</w:t>
      </w:r>
    </w:p>
    <w:p>
      <w:pPr>
        <w:pageBreakBefore/>
        <w:snapToGrid w:val="0"/>
        <w:spacing w:before="0" w:line="240" w:lineRule="auto"/>
        <w:ind w:left="0" w:right="0" w:firstLine="0"/>
        <w:jc w:val="left"/>
        <w:outlineLvl w:val="2"/>
        <w:rPr>
          <w:rFonts w:ascii="宋体" w:hAnsi="宋体"/>
          <w:b/>
          <w:highlight w:val="none"/>
        </w:rPr>
      </w:pPr>
      <w:bookmarkStart w:id="1600" w:name="_Toc15276"/>
      <w:bookmarkStart w:id="1601" w:name="_Toc414290528"/>
      <w:bookmarkStart w:id="1602" w:name="_Toc28944"/>
      <w:bookmarkStart w:id="1603" w:name="_Toc17092"/>
      <w:bookmarkStart w:id="1604" w:name="_Toc12984814"/>
      <w:bookmarkStart w:id="1605" w:name="_Toc4583"/>
      <w:bookmarkStart w:id="1606" w:name="_Toc3968"/>
      <w:bookmarkStart w:id="1607" w:name="_Toc14478"/>
      <w:bookmarkStart w:id="1608" w:name="_Toc27284"/>
      <w:bookmarkStart w:id="1609" w:name="_Toc23071"/>
      <w:bookmarkStart w:id="1610" w:name="_Toc13611"/>
      <w:bookmarkStart w:id="1611" w:name="_Toc26731"/>
      <w:bookmarkStart w:id="1612" w:name="_Toc14488"/>
      <w:bookmarkStart w:id="1613" w:name="_Toc30121"/>
      <w:bookmarkStart w:id="1614" w:name="_Toc27821"/>
      <w:bookmarkStart w:id="1615" w:name="_Toc12983554"/>
      <w:bookmarkStart w:id="1616" w:name="_Toc20116"/>
      <w:bookmarkStart w:id="1617" w:name="_Toc24000"/>
      <w:bookmarkStart w:id="1618" w:name="_Toc492478810"/>
      <w:bookmarkStart w:id="1619" w:name="_Toc8101"/>
      <w:bookmarkStart w:id="1620" w:name="_Toc6910"/>
      <w:bookmarkStart w:id="1621" w:name="_Toc15469"/>
      <w:r>
        <w:rPr>
          <w:rFonts w:hint="eastAsia" w:ascii="宋体" w:hAnsi="宋体"/>
          <w:b/>
          <w:highlight w:val="none"/>
        </w:rPr>
        <w:t>D</w:t>
      </w:r>
      <w:r>
        <w:rPr>
          <w:rFonts w:ascii="宋体" w:hAnsi="宋体"/>
          <w:b/>
          <w:highlight w:val="none"/>
        </w:rPr>
        <w:t>3</w:t>
      </w:r>
      <w:r>
        <w:rPr>
          <w:rFonts w:hint="eastAsia" w:ascii="宋体" w:hAnsi="宋体"/>
          <w:b/>
          <w:highlight w:val="none"/>
        </w:rPr>
        <w:t xml:space="preserve"> </w:t>
      </w:r>
      <w:r>
        <w:rPr>
          <w:rFonts w:ascii="宋体" w:hAnsi="宋体"/>
          <w:b/>
          <w:highlight w:val="none"/>
        </w:rPr>
        <w:t>投标报价表格式</w:t>
      </w:r>
    </w:p>
    <w:p>
      <w:pPr>
        <w:snapToGrid w:val="0"/>
        <w:spacing w:before="0" w:after="0" w:afterAutospacing="0"/>
        <w:ind w:right="-57" w:firstLine="0"/>
        <w:jc w:val="center"/>
        <w:rPr>
          <w:rFonts w:ascii="宋体" w:hAnsi="宋体"/>
          <w:b/>
          <w:highlight w:val="none"/>
        </w:rPr>
      </w:pPr>
      <w:r>
        <w:rPr>
          <w:rFonts w:hint="eastAsia" w:ascii="宋体" w:hAnsi="宋体"/>
          <w:b/>
          <w:highlight w:val="none"/>
        </w:rPr>
        <w:t>投标报价表</w:t>
      </w:r>
    </w:p>
    <w:p>
      <w:pPr>
        <w:snapToGrid w:val="0"/>
        <w:spacing w:before="0" w:after="0" w:afterAutospacing="0"/>
        <w:ind w:right="-57" w:firstLine="0"/>
        <w:jc w:val="right"/>
        <w:rPr>
          <w:rFonts w:ascii="宋体" w:hAnsi="宋体"/>
          <w:highlight w:val="none"/>
        </w:rPr>
      </w:pPr>
      <w:r>
        <w:rPr>
          <w:rFonts w:ascii="宋体" w:hAnsi="宋体"/>
          <w:highlight w:val="none"/>
        </w:rPr>
        <w:t xml:space="preserve"> 单位：元</w:t>
      </w:r>
    </w:p>
    <w:tbl>
      <w:tblPr>
        <w:tblStyle w:val="27"/>
        <w:tblW w:w="0" w:type="auto"/>
        <w:jc w:val="center"/>
        <w:tblLayout w:type="fixed"/>
        <w:tblCellMar>
          <w:top w:w="0" w:type="dxa"/>
          <w:left w:w="108" w:type="dxa"/>
          <w:bottom w:w="0" w:type="dxa"/>
          <w:right w:w="108" w:type="dxa"/>
        </w:tblCellMar>
      </w:tblPr>
      <w:tblGrid>
        <w:gridCol w:w="399"/>
        <w:gridCol w:w="1657"/>
        <w:gridCol w:w="960"/>
        <w:gridCol w:w="2235"/>
        <w:gridCol w:w="1155"/>
        <w:gridCol w:w="1095"/>
        <w:gridCol w:w="1564"/>
      </w:tblGrid>
      <w:tr>
        <w:tblPrEx>
          <w:tblCellMar>
            <w:top w:w="0" w:type="dxa"/>
            <w:left w:w="108" w:type="dxa"/>
            <w:bottom w:w="0" w:type="dxa"/>
            <w:right w:w="108" w:type="dxa"/>
          </w:tblCellMar>
        </w:tblPrEx>
        <w:trPr>
          <w:trHeight w:val="600" w:hRule="atLeast"/>
          <w:jc w:val="center"/>
        </w:trPr>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b/>
                <w:bCs/>
                <w:color w:val="000000"/>
                <w:highlight w:val="none"/>
              </w:rPr>
            </w:pPr>
            <w:r>
              <w:rPr>
                <w:rFonts w:hint="eastAsia" w:ascii="仿宋" w:hAnsi="仿宋" w:eastAsia="仿宋" w:cs="仿宋"/>
                <w:b/>
                <w:bCs/>
                <w:color w:val="000000"/>
                <w:highlight w:val="none"/>
                <w:lang w:bidi="ar"/>
              </w:rPr>
              <w:t>序</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b/>
                <w:bCs/>
                <w:color w:val="000000"/>
                <w:highlight w:val="none"/>
              </w:rPr>
            </w:pPr>
            <w:r>
              <w:rPr>
                <w:rFonts w:hint="eastAsia" w:ascii="仿宋" w:hAnsi="仿宋" w:eastAsia="仿宋" w:cs="仿宋"/>
                <w:b/>
                <w:bCs/>
                <w:color w:val="000000"/>
                <w:highlight w:val="none"/>
                <w:lang w:bidi="ar"/>
              </w:rPr>
              <w:t>种类</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b/>
                <w:bCs/>
                <w:color w:val="000000"/>
                <w:highlight w:val="none"/>
              </w:rPr>
            </w:pPr>
            <w:r>
              <w:rPr>
                <w:rFonts w:hint="eastAsia" w:ascii="仿宋" w:hAnsi="仿宋" w:eastAsia="仿宋" w:cs="仿宋"/>
                <w:b/>
                <w:bCs/>
                <w:color w:val="000000"/>
                <w:highlight w:val="none"/>
                <w:lang w:bidi="ar"/>
              </w:rPr>
              <w:t>品牌</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b/>
                <w:bCs/>
                <w:color w:val="000000"/>
                <w:highlight w:val="none"/>
              </w:rPr>
            </w:pPr>
            <w:r>
              <w:rPr>
                <w:rFonts w:hint="eastAsia" w:ascii="仿宋" w:hAnsi="仿宋" w:eastAsia="仿宋" w:cs="仿宋"/>
                <w:b/>
                <w:bCs/>
                <w:color w:val="000000"/>
                <w:highlight w:val="none"/>
                <w:lang w:bidi="ar"/>
              </w:rPr>
              <w:t>规格参数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highlight w:val="none"/>
              </w:rPr>
            </w:pPr>
            <w:r>
              <w:rPr>
                <w:rFonts w:hint="eastAsia" w:ascii="仿宋" w:hAnsi="仿宋" w:eastAsia="仿宋" w:cs="宋体"/>
                <w:b/>
                <w:bCs/>
                <w:color w:val="000000"/>
                <w:sz w:val="20"/>
                <w:szCs w:val="20"/>
                <w:highlight w:val="none"/>
              </w:rPr>
              <w:t>数量①</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firstLine="0"/>
              <w:jc w:val="left"/>
              <w:textAlignment w:val="center"/>
              <w:rPr>
                <w:rFonts w:ascii="仿宋" w:hAnsi="仿宋" w:eastAsia="仿宋" w:cs="仿宋"/>
                <w:b/>
                <w:bCs/>
                <w:color w:val="000000"/>
                <w:highlight w:val="none"/>
              </w:rPr>
            </w:pPr>
            <w:r>
              <w:rPr>
                <w:rFonts w:hint="eastAsia" w:ascii="仿宋" w:hAnsi="仿宋" w:eastAsia="仿宋" w:cs="宋体"/>
                <w:b/>
                <w:bCs/>
                <w:color w:val="000000"/>
                <w:sz w:val="20"/>
                <w:szCs w:val="20"/>
                <w:highlight w:val="none"/>
              </w:rPr>
              <w:t>含税单价(元) ②</w:t>
            </w:r>
          </w:p>
        </w:tc>
        <w:tc>
          <w:tcPr>
            <w:tcW w:w="1564" w:type="dxa"/>
            <w:tcBorders>
              <w:top w:val="single" w:color="000000" w:sz="4" w:space="0"/>
              <w:left w:val="single" w:color="000000" w:sz="4" w:space="0"/>
              <w:bottom w:val="single" w:color="000000" w:sz="4" w:space="0"/>
              <w:right w:val="single" w:color="000000" w:sz="4" w:space="0"/>
            </w:tcBorders>
            <w:shd w:val="clear" w:color="auto" w:fill="auto"/>
          </w:tcPr>
          <w:p>
            <w:pPr>
              <w:ind w:left="0" w:firstLine="0"/>
              <w:jc w:val="left"/>
              <w:textAlignment w:val="center"/>
              <w:rPr>
                <w:rFonts w:ascii="仿宋" w:hAnsi="仿宋" w:eastAsia="仿宋" w:cs="仿宋"/>
                <w:b/>
                <w:bCs/>
                <w:color w:val="000000"/>
                <w:highlight w:val="none"/>
                <w:lang w:bidi="ar"/>
              </w:rPr>
            </w:pPr>
            <w:r>
              <w:rPr>
                <w:rFonts w:hint="eastAsia" w:ascii="仿宋" w:hAnsi="仿宋" w:eastAsia="仿宋" w:cs="宋体"/>
                <w:b/>
                <w:bCs/>
                <w:color w:val="000000"/>
                <w:sz w:val="20"/>
                <w:szCs w:val="20"/>
                <w:highlight w:val="none"/>
              </w:rPr>
              <w:t>含税合价(元)③=①*②</w:t>
            </w:r>
          </w:p>
        </w:tc>
      </w:tr>
      <w:tr>
        <w:tblPrEx>
          <w:tblCellMar>
            <w:top w:w="0" w:type="dxa"/>
            <w:left w:w="108" w:type="dxa"/>
            <w:bottom w:w="0" w:type="dxa"/>
            <w:right w:w="108" w:type="dxa"/>
          </w:tblCellMar>
        </w:tblPrEx>
        <w:trPr>
          <w:trHeight w:val="880" w:hRule="atLeast"/>
          <w:jc w:val="center"/>
        </w:trPr>
        <w:tc>
          <w:tcPr>
            <w:tcW w:w="39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1</w:t>
            </w:r>
          </w:p>
        </w:tc>
        <w:tc>
          <w:tcPr>
            <w:tcW w:w="1657"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ind w:left="0" w:right="-28" w:firstLine="0"/>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油（供应商可选任意一款竞标）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胡姬花</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left="0" w:right="-28" w:firstLine="0"/>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胡姬花古法土榨风味花生5.436L/桶</w:t>
            </w:r>
          </w:p>
        </w:tc>
        <w:tc>
          <w:tcPr>
            <w:tcW w:w="11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7200</w:t>
            </w:r>
          </w:p>
        </w:tc>
        <w:tc>
          <w:tcPr>
            <w:tcW w:w="109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c>
          <w:tcPr>
            <w:tcW w:w="156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880" w:hRule="atLeast"/>
          <w:jc w:val="center"/>
        </w:trPr>
        <w:tc>
          <w:tcPr>
            <w:tcW w:w="39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2</w:t>
            </w:r>
          </w:p>
        </w:tc>
        <w:tc>
          <w:tcPr>
            <w:tcW w:w="1657" w:type="dxa"/>
            <w:vMerge w:val="continue"/>
            <w:tcBorders>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鲁花</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left="0" w:right="-28" w:firstLine="0"/>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5S一级压榨花生油5L/桶</w:t>
            </w:r>
          </w:p>
        </w:tc>
        <w:tc>
          <w:tcPr>
            <w:tcW w:w="11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7200</w:t>
            </w:r>
          </w:p>
        </w:tc>
        <w:tc>
          <w:tcPr>
            <w:tcW w:w="109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c>
          <w:tcPr>
            <w:tcW w:w="156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600" w:hRule="atLeast"/>
          <w:jc w:val="center"/>
        </w:trPr>
        <w:tc>
          <w:tcPr>
            <w:tcW w:w="39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3</w:t>
            </w:r>
          </w:p>
        </w:tc>
        <w:tc>
          <w:tcPr>
            <w:tcW w:w="1657"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auto"/>
              <w:ind w:left="0" w:right="-28" w:firstLine="0"/>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米</w:t>
            </w:r>
            <w:r>
              <w:rPr>
                <w:rFonts w:hint="eastAsia" w:ascii="仿宋" w:hAnsi="仿宋" w:eastAsia="仿宋" w:cs="仿宋"/>
                <w:color w:val="000000"/>
                <w:highlight w:val="none"/>
                <w:lang w:bidi="ar"/>
              </w:rPr>
              <w:t>（供应商可选任意一款竞标）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中香</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上林金丝苗米5kg/袋</w:t>
            </w:r>
          </w:p>
        </w:tc>
        <w:tc>
          <w:tcPr>
            <w:tcW w:w="11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14400</w:t>
            </w:r>
          </w:p>
        </w:tc>
        <w:tc>
          <w:tcPr>
            <w:tcW w:w="109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c>
          <w:tcPr>
            <w:tcW w:w="156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600" w:hRule="atLeast"/>
          <w:jc w:val="center"/>
        </w:trPr>
        <w:tc>
          <w:tcPr>
            <w:tcW w:w="39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4</w:t>
            </w:r>
          </w:p>
        </w:tc>
        <w:tc>
          <w:tcPr>
            <w:tcW w:w="1657" w:type="dxa"/>
            <w:vMerge w:val="continue"/>
            <w:tcBorders>
              <w:left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力拓</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left="0" w:right="-28" w:firstLine="0"/>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正稻上林丝苗米5kg/袋</w:t>
            </w:r>
          </w:p>
        </w:tc>
        <w:tc>
          <w:tcPr>
            <w:tcW w:w="11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14400</w:t>
            </w:r>
          </w:p>
        </w:tc>
        <w:tc>
          <w:tcPr>
            <w:tcW w:w="109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c>
          <w:tcPr>
            <w:tcW w:w="156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90" w:hRule="atLeast"/>
          <w:jc w:val="center"/>
        </w:trPr>
        <w:tc>
          <w:tcPr>
            <w:tcW w:w="39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5</w:t>
            </w:r>
          </w:p>
        </w:tc>
        <w:tc>
          <w:tcPr>
            <w:tcW w:w="1657"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color w:val="000000"/>
                <w:highlight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赢芙</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上林九七香米5kg/袋</w:t>
            </w:r>
          </w:p>
        </w:tc>
        <w:tc>
          <w:tcPr>
            <w:tcW w:w="11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14400</w:t>
            </w:r>
          </w:p>
        </w:tc>
        <w:tc>
          <w:tcPr>
            <w:tcW w:w="109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c>
          <w:tcPr>
            <w:tcW w:w="156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600" w:hRule="atLeast"/>
          <w:jc w:val="center"/>
        </w:trPr>
        <w:tc>
          <w:tcPr>
            <w:tcW w:w="399"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6</w:t>
            </w:r>
          </w:p>
        </w:tc>
        <w:tc>
          <w:tcPr>
            <w:tcW w:w="1657"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color w:val="000000"/>
                <w:highlight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金龙鱼</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香粘稻5kg/袋</w:t>
            </w:r>
          </w:p>
        </w:tc>
        <w:tc>
          <w:tcPr>
            <w:tcW w:w="11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14400</w:t>
            </w:r>
          </w:p>
        </w:tc>
        <w:tc>
          <w:tcPr>
            <w:tcW w:w="109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c>
          <w:tcPr>
            <w:tcW w:w="156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800"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8</w:t>
            </w:r>
          </w:p>
        </w:tc>
        <w:tc>
          <w:tcPr>
            <w:tcW w:w="16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0" w:right="-28" w:firstLine="0"/>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牛奶（供应商可选任意一款竞标）</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伊利</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atLeast"/>
              <w:ind w:left="0" w:right="-28" w:firstLine="0"/>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金典纯牛奶250ml*12盒/箱</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7200</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820" w:hRule="atLeast"/>
          <w:jc w:val="center"/>
        </w:trPr>
        <w:tc>
          <w:tcPr>
            <w:tcW w:w="3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9</w:t>
            </w:r>
          </w:p>
        </w:tc>
        <w:tc>
          <w:tcPr>
            <w:tcW w:w="1657" w:type="dxa"/>
            <w:vMerge w:val="continue"/>
            <w:tcBorders>
              <w:top w:val="single" w:color="auto" w:sz="4" w:space="0"/>
              <w:left w:val="single" w:color="auto"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color w:val="000000"/>
                <w:highlight w:val="none"/>
              </w:rPr>
            </w:pPr>
          </w:p>
        </w:tc>
        <w:tc>
          <w:tcPr>
            <w:tcW w:w="960"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蒙牛</w:t>
            </w:r>
          </w:p>
        </w:tc>
        <w:tc>
          <w:tcPr>
            <w:tcW w:w="223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00" w:lineRule="atLeast"/>
              <w:ind w:left="0" w:right="-28" w:firstLine="0"/>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特仑苏纯牛奶250ml*12盒/箱</w:t>
            </w:r>
          </w:p>
        </w:tc>
        <w:tc>
          <w:tcPr>
            <w:tcW w:w="1155" w:type="dxa"/>
            <w:tcBorders>
              <w:top w:val="single" w:color="auto"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7200</w:t>
            </w:r>
          </w:p>
        </w:tc>
        <w:tc>
          <w:tcPr>
            <w:tcW w:w="109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c>
          <w:tcPr>
            <w:tcW w:w="1564"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840" w:hRule="atLeast"/>
          <w:jc w:val="center"/>
        </w:trPr>
        <w:tc>
          <w:tcPr>
            <w:tcW w:w="399" w:type="dxa"/>
            <w:tcBorders>
              <w:top w:val="single" w:color="auto"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10</w:t>
            </w:r>
          </w:p>
        </w:tc>
        <w:tc>
          <w:tcPr>
            <w:tcW w:w="1657"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ind w:left="0" w:right="-28" w:firstLine="0"/>
              <w:jc w:val="center"/>
              <w:textAlignment w:val="center"/>
              <w:rPr>
                <w:rFonts w:ascii="仿宋" w:hAnsi="仿宋" w:eastAsia="仿宋" w:cs="仿宋"/>
                <w:color w:val="000000"/>
                <w:kern w:val="2"/>
                <w:highlight w:val="none"/>
              </w:rPr>
            </w:pPr>
            <w:r>
              <w:rPr>
                <w:rFonts w:hint="eastAsia" w:ascii="仿宋" w:hAnsi="仿宋" w:eastAsia="仿宋" w:cs="仿宋"/>
                <w:color w:val="000000"/>
                <w:kern w:val="2"/>
                <w:highlight w:val="none"/>
              </w:rPr>
              <w:t>粽子（供应商可选任意一款竞标）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kern w:val="2"/>
                <w:highlight w:val="none"/>
              </w:rPr>
              <w:t>三全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right="-28" w:firstLine="0"/>
              <w:textAlignment w:val="center"/>
              <w:rPr>
                <w:rFonts w:ascii="仿宋" w:hAnsi="仿宋" w:eastAsia="仿宋" w:cs="仿宋"/>
                <w:color w:val="000000"/>
                <w:kern w:val="2"/>
                <w:highlight w:val="none"/>
              </w:rPr>
            </w:pPr>
            <w:r>
              <w:rPr>
                <w:rFonts w:hint="eastAsia" w:ascii="仿宋" w:hAnsi="仿宋" w:eastAsia="仿宋" w:cs="仿宋"/>
                <w:color w:val="000000"/>
                <w:kern w:val="2"/>
                <w:highlight w:val="none"/>
              </w:rPr>
              <w:t>鸿运吉祥礼粽1200g/盒(猪肉粽200g*2、蛋黄猪肉粽200g*1、双豆沙粽200g*2、八宝粽200g*1)</w:t>
            </w:r>
          </w:p>
        </w:tc>
        <w:tc>
          <w:tcPr>
            <w:tcW w:w="1155" w:type="dxa"/>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7200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600" w:hRule="atLeast"/>
          <w:jc w:val="center"/>
        </w:trPr>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11</w:t>
            </w:r>
          </w:p>
        </w:tc>
        <w:tc>
          <w:tcPr>
            <w:tcW w:w="1657"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kern w:val="2"/>
                <w:highlight w:val="none"/>
              </w:rPr>
              <w:t>五芳斋</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left="0" w:right="-28" w:firstLine="0"/>
              <w:textAlignment w:val="center"/>
              <w:rPr>
                <w:rFonts w:ascii="仿宋" w:hAnsi="仿宋" w:eastAsia="仿宋" w:cs="仿宋"/>
                <w:color w:val="000000"/>
                <w:kern w:val="2"/>
                <w:highlight w:val="none"/>
              </w:rPr>
            </w:pPr>
            <w:r>
              <w:rPr>
                <w:rFonts w:hint="eastAsia" w:ascii="仿宋" w:hAnsi="仿宋" w:eastAsia="仿宋" w:cs="仿宋"/>
                <w:color w:val="000000"/>
                <w:kern w:val="2"/>
                <w:highlight w:val="none"/>
              </w:rPr>
              <w:t>珍情五芳1.12kg/盒（五芳猪肉粽140g*4、润香豆沙粽140g*2、甜味赤豆粽140g*2）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7200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bl>
    <w:p>
      <w:pPr>
        <w:spacing w:before="0" w:after="0" w:afterAutospacing="0"/>
        <w:ind w:left="0" w:right="0" w:firstLine="0"/>
        <w:rPr>
          <w:rFonts w:ascii="宋体" w:hAnsi="宋体"/>
          <w:highlight w:val="none"/>
        </w:rPr>
      </w:pPr>
      <w:r>
        <w:rPr>
          <w:rFonts w:hint="eastAsia" w:ascii="宋体" w:hAnsi="宋体"/>
          <w:highlight w:val="none"/>
        </w:rPr>
        <w:t>注：</w:t>
      </w:r>
    </w:p>
    <w:p>
      <w:pPr>
        <w:spacing w:before="0" w:after="0" w:afterAutospacing="0"/>
        <w:ind w:left="0" w:right="0" w:firstLine="0"/>
        <w:rPr>
          <w:rFonts w:ascii="宋体" w:hAnsi="宋体"/>
          <w:highlight w:val="none"/>
        </w:rPr>
      </w:pPr>
      <w:r>
        <w:rPr>
          <w:rFonts w:ascii="宋体" w:hAnsi="宋体"/>
          <w:highlight w:val="none"/>
        </w:rPr>
        <w:t>1</w:t>
      </w:r>
      <w:r>
        <w:rPr>
          <w:rFonts w:hint="eastAsia" w:ascii="宋体" w:hAnsi="宋体"/>
          <w:highlight w:val="none"/>
        </w:rPr>
        <w:t>.投标人须按第六章《用户需求书》中的技术需求及数量表的顺序进行明细报价，不允许打乱顺序，含增值税单价、含增值税合价均精确到小数点后两位。</w:t>
      </w:r>
    </w:p>
    <w:p>
      <w:pPr>
        <w:numPr>
          <w:ilvl w:val="255"/>
          <w:numId w:val="0"/>
        </w:numPr>
        <w:spacing w:before="0" w:after="0" w:afterAutospacing="0"/>
        <w:ind w:right="0"/>
        <w:rPr>
          <w:rFonts w:ascii="宋体" w:hAnsi="宋体"/>
          <w:highlight w:val="none"/>
        </w:rPr>
      </w:pPr>
      <w:r>
        <w:rPr>
          <w:rFonts w:hint="eastAsia" w:ascii="宋体" w:hAnsi="宋体"/>
          <w:highlight w:val="none"/>
        </w:rPr>
        <w:t>2.品牌或厂家一列，必须填写品牌或厂家，且唯一。</w:t>
      </w:r>
    </w:p>
    <w:p>
      <w:pPr>
        <w:numPr>
          <w:ilvl w:val="255"/>
          <w:numId w:val="0"/>
        </w:numPr>
        <w:spacing w:before="0" w:after="0" w:afterAutospacing="0"/>
        <w:ind w:right="0"/>
        <w:rPr>
          <w:rFonts w:ascii="宋体" w:hAnsi="宋体"/>
          <w:highlight w:val="none"/>
        </w:rPr>
      </w:pPr>
      <w:r>
        <w:rPr>
          <w:rFonts w:hint="eastAsia" w:ascii="宋体" w:hAnsi="宋体"/>
          <w:highlight w:val="none"/>
        </w:rPr>
        <w:t>3.同一规格、型号的货物、材料在各分项报价中应为同一单价。投标人对每种货物</w:t>
      </w:r>
      <w:r>
        <w:rPr>
          <w:rFonts w:ascii="宋体" w:hAnsi="宋体"/>
          <w:highlight w:val="none"/>
        </w:rPr>
        <w:t>(</w:t>
      </w:r>
      <w:r>
        <w:rPr>
          <w:rFonts w:hint="eastAsia" w:ascii="宋体" w:hAnsi="宋体"/>
          <w:highlight w:val="none"/>
        </w:rPr>
        <w:t>指完全相同的同一货物</w:t>
      </w:r>
      <w:r>
        <w:rPr>
          <w:rFonts w:ascii="宋体" w:hAnsi="宋体"/>
          <w:highlight w:val="none"/>
        </w:rPr>
        <w:t>)</w:t>
      </w:r>
      <w:r>
        <w:rPr>
          <w:rFonts w:hint="eastAsia" w:ascii="宋体" w:hAnsi="宋体"/>
          <w:highlight w:val="none"/>
        </w:rPr>
        <w:t>只允许有一个报价，如有不同报价，则以最低报价为准。</w:t>
      </w:r>
    </w:p>
    <w:p>
      <w:pPr>
        <w:widowControl w:val="0"/>
        <w:spacing w:before="0" w:after="0" w:afterAutospacing="0"/>
        <w:ind w:left="1373" w:leftChars="654" w:right="-57" w:rightChars="-27" w:firstLine="3255" w:firstLineChars="1550"/>
        <w:rPr>
          <w:kern w:val="2"/>
          <w:szCs w:val="24"/>
          <w:highlight w:val="none"/>
        </w:rPr>
      </w:pPr>
      <w:r>
        <w:rPr>
          <w:kern w:val="2"/>
          <w:szCs w:val="24"/>
          <w:highlight w:val="none"/>
        </w:rPr>
        <w:t>投标人：（公章）</w:t>
      </w:r>
    </w:p>
    <w:p>
      <w:pPr>
        <w:widowControl w:val="0"/>
        <w:spacing w:before="0" w:after="0" w:afterAutospacing="0"/>
        <w:ind w:left="1373" w:leftChars="654" w:right="-57" w:rightChars="-27" w:firstLine="3255" w:firstLineChars="1550"/>
        <w:rPr>
          <w:kern w:val="2"/>
          <w:szCs w:val="24"/>
          <w:highlight w:val="none"/>
        </w:rPr>
      </w:pPr>
      <w:r>
        <w:rPr>
          <w:kern w:val="2"/>
          <w:szCs w:val="24"/>
          <w:highlight w:val="none"/>
        </w:rPr>
        <w:t>法定代表人或其</w:t>
      </w:r>
      <w:r>
        <w:rPr>
          <w:rFonts w:hint="eastAsia"/>
          <w:kern w:val="2"/>
          <w:szCs w:val="24"/>
          <w:highlight w:val="none"/>
        </w:rPr>
        <w:t>委托代理人</w:t>
      </w:r>
      <w:r>
        <w:rPr>
          <w:kern w:val="2"/>
          <w:szCs w:val="24"/>
          <w:highlight w:val="none"/>
        </w:rPr>
        <w:t>：（签字或盖章）</w:t>
      </w:r>
    </w:p>
    <w:p>
      <w:pPr>
        <w:snapToGrid w:val="0"/>
        <w:spacing w:after="0" w:afterAutospacing="0"/>
        <w:ind w:left="0" w:right="-816" w:firstLine="4620" w:firstLineChars="2200"/>
        <w:rPr>
          <w:rFonts w:ascii="宋体" w:hAnsi="宋体"/>
          <w:highlight w:val="none"/>
        </w:rPr>
      </w:pPr>
      <w:r>
        <w:rPr>
          <w:kern w:val="2"/>
          <w:szCs w:val="24"/>
          <w:highlight w:val="none"/>
        </w:rPr>
        <w:t>日期：</w:t>
      </w:r>
    </w:p>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Pr>
        <w:pStyle w:val="13"/>
        <w:pageBreakBefore/>
        <w:ind w:right="-57" w:firstLine="0"/>
        <w:jc w:val="center"/>
        <w:outlineLvl w:val="0"/>
        <w:rPr>
          <w:rStyle w:val="41"/>
          <w:rFonts w:ascii="宋体" w:hAnsi="宋体" w:eastAsia="宋体"/>
          <w:highlight w:val="none"/>
        </w:rPr>
      </w:pPr>
      <w:bookmarkStart w:id="1622" w:name="_Toc21321"/>
      <w:bookmarkStart w:id="1623" w:name="_Toc9597"/>
      <w:bookmarkStart w:id="1624" w:name="_Toc14566"/>
      <w:bookmarkStart w:id="1625" w:name="_Toc13960"/>
      <w:bookmarkStart w:id="1626" w:name="_Toc328"/>
      <w:bookmarkStart w:id="1627" w:name="_Toc30897"/>
      <w:bookmarkStart w:id="1628" w:name="_Toc23965"/>
      <w:bookmarkStart w:id="1629" w:name="_Toc27348"/>
      <w:bookmarkStart w:id="1630" w:name="_Toc29461"/>
      <w:bookmarkStart w:id="1631" w:name="_Toc25061"/>
      <w:bookmarkStart w:id="1632" w:name="_Toc29679"/>
      <w:bookmarkStart w:id="1633" w:name="_Toc21335"/>
      <w:bookmarkStart w:id="1634" w:name="_Toc28135"/>
      <w:bookmarkStart w:id="1635" w:name="_Toc16754"/>
      <w:bookmarkStart w:id="1636" w:name="_Toc28535"/>
      <w:bookmarkStart w:id="1637" w:name="_Toc25540"/>
      <w:bookmarkStart w:id="1638" w:name="_Toc20206"/>
      <w:bookmarkStart w:id="1639" w:name="_Toc27724"/>
      <w:bookmarkStart w:id="1640" w:name="_Toc18976"/>
      <w:bookmarkStart w:id="1641" w:name="_Toc12695"/>
      <w:bookmarkStart w:id="1642" w:name="_Toc6337"/>
      <w:bookmarkStart w:id="1643" w:name="_Toc13941"/>
      <w:bookmarkStart w:id="1644" w:name="_Toc6454"/>
      <w:bookmarkStart w:id="1645" w:name="_Toc21008"/>
      <w:bookmarkStart w:id="1646" w:name="_Toc12368"/>
      <w:bookmarkStart w:id="1647" w:name="_Toc20298"/>
      <w:bookmarkStart w:id="1648" w:name="_Toc12872"/>
      <w:bookmarkStart w:id="1649" w:name="_Toc31681"/>
      <w:bookmarkStart w:id="1650" w:name="_Toc10332"/>
      <w:bookmarkStart w:id="1651" w:name="_Toc492478835"/>
      <w:bookmarkStart w:id="1652" w:name="_Toc12629"/>
      <w:bookmarkStart w:id="1653" w:name="_Toc16567"/>
      <w:bookmarkStart w:id="1654" w:name="_Toc5010"/>
      <w:bookmarkStart w:id="1655" w:name="_Toc26409"/>
      <w:bookmarkStart w:id="1656" w:name="_Toc23944"/>
      <w:bookmarkStart w:id="1657" w:name="_Toc10824"/>
      <w:bookmarkStart w:id="1658" w:name="_Toc1251"/>
      <w:r>
        <w:rPr>
          <w:rStyle w:val="41"/>
          <w:rFonts w:hint="eastAsia" w:ascii="宋体" w:hAnsi="宋体" w:eastAsia="宋体"/>
          <w:highlight w:val="none"/>
        </w:rPr>
        <w:t>第六章 用户需求书</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widowControl w:val="0"/>
        <w:spacing w:line="600" w:lineRule="exact"/>
        <w:ind w:right="0"/>
        <w:jc w:val="center"/>
        <w:rPr>
          <w:rFonts w:ascii="仿宋" w:hAnsi="仿宋" w:eastAsia="仿宋" w:cs="仿宋"/>
          <w:sz w:val="44"/>
          <w:szCs w:val="44"/>
          <w:highlight w:val="none"/>
        </w:rPr>
      </w:pPr>
      <w:bookmarkStart w:id="1659" w:name="_Toc26181"/>
      <w:bookmarkStart w:id="1660" w:name="_Toc23109"/>
      <w:bookmarkStart w:id="1661" w:name="_Toc15859"/>
      <w:bookmarkStart w:id="1662" w:name="_Toc15538"/>
      <w:bookmarkStart w:id="1663" w:name="_Toc7730"/>
      <w:bookmarkStart w:id="1664" w:name="_Toc19284"/>
      <w:bookmarkStart w:id="1665" w:name="_Toc28718"/>
      <w:bookmarkStart w:id="1666" w:name="_Toc19127"/>
      <w:bookmarkStart w:id="1667" w:name="_Toc11250"/>
      <w:bookmarkStart w:id="1668" w:name="_Toc28574"/>
      <w:bookmarkStart w:id="1669" w:name="_Toc29467"/>
      <w:bookmarkStart w:id="1670" w:name="_Toc22641"/>
      <w:bookmarkStart w:id="1671" w:name="_Toc14304"/>
      <w:bookmarkStart w:id="1672" w:name="_Toc9525"/>
      <w:bookmarkStart w:id="1673" w:name="_Toc16627"/>
      <w:bookmarkStart w:id="1674" w:name="_Toc4772"/>
      <w:bookmarkStart w:id="1675" w:name="_Toc12577"/>
      <w:bookmarkStart w:id="1676" w:name="_Toc11391"/>
      <w:bookmarkStart w:id="1677" w:name="_Toc20951"/>
      <w:r>
        <w:rPr>
          <w:rFonts w:hint="eastAsia" w:ascii="方正小标宋简体" w:hAnsi="方正小标宋简体" w:eastAsia="方正小标宋简体" w:cs="方正小标宋简体"/>
          <w:color w:val="000000"/>
          <w:sz w:val="44"/>
          <w:szCs w:val="44"/>
          <w:highlight w:val="none"/>
          <w:lang w:bidi="ar"/>
        </w:rPr>
        <w:t>2024年工会会员端午节慰问品采购需求书</w:t>
      </w:r>
    </w:p>
    <w:tbl>
      <w:tblPr>
        <w:tblStyle w:val="27"/>
        <w:tblW w:w="4998" w:type="pct"/>
        <w:jc w:val="center"/>
        <w:tblLayout w:type="autofit"/>
        <w:tblCellMar>
          <w:top w:w="0" w:type="dxa"/>
          <w:left w:w="108" w:type="dxa"/>
          <w:bottom w:w="0" w:type="dxa"/>
          <w:right w:w="108" w:type="dxa"/>
        </w:tblCellMar>
      </w:tblPr>
      <w:tblGrid>
        <w:gridCol w:w="494"/>
        <w:gridCol w:w="2051"/>
        <w:gridCol w:w="1187"/>
        <w:gridCol w:w="2655"/>
        <w:gridCol w:w="1541"/>
        <w:gridCol w:w="1355"/>
      </w:tblGrid>
      <w:tr>
        <w:tblPrEx>
          <w:tblCellMar>
            <w:top w:w="0" w:type="dxa"/>
            <w:left w:w="108" w:type="dxa"/>
            <w:bottom w:w="0" w:type="dxa"/>
            <w:right w:w="108" w:type="dxa"/>
          </w:tblCellMar>
        </w:tblPrEx>
        <w:trPr>
          <w:trHeight w:val="600" w:hRule="atLeast"/>
          <w:jc w:val="center"/>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b/>
                <w:bCs/>
                <w:color w:val="000000"/>
                <w:highlight w:val="none"/>
              </w:rPr>
            </w:pPr>
            <w:r>
              <w:rPr>
                <w:rFonts w:hint="eastAsia" w:ascii="仿宋" w:hAnsi="仿宋" w:eastAsia="仿宋" w:cs="仿宋"/>
                <w:b/>
                <w:bCs/>
                <w:color w:val="000000"/>
                <w:highlight w:val="none"/>
                <w:lang w:bidi="ar"/>
              </w:rPr>
              <w:t>序</w:t>
            </w: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b/>
                <w:bCs/>
                <w:color w:val="000000"/>
                <w:highlight w:val="none"/>
              </w:rPr>
            </w:pPr>
            <w:r>
              <w:rPr>
                <w:rFonts w:hint="eastAsia" w:ascii="仿宋" w:hAnsi="仿宋" w:eastAsia="仿宋" w:cs="仿宋"/>
                <w:b/>
                <w:bCs/>
                <w:color w:val="000000"/>
                <w:highlight w:val="none"/>
                <w:lang w:bidi="ar"/>
              </w:rPr>
              <w:t>种类</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b/>
                <w:bCs/>
                <w:color w:val="000000"/>
                <w:highlight w:val="none"/>
              </w:rPr>
            </w:pPr>
            <w:r>
              <w:rPr>
                <w:rFonts w:hint="eastAsia" w:ascii="仿宋" w:hAnsi="仿宋" w:eastAsia="仿宋" w:cs="仿宋"/>
                <w:b/>
                <w:bCs/>
                <w:color w:val="000000"/>
                <w:highlight w:val="none"/>
                <w:lang w:bidi="ar"/>
              </w:rPr>
              <w:t>品牌</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b/>
                <w:bCs/>
                <w:color w:val="000000"/>
                <w:highlight w:val="none"/>
              </w:rPr>
            </w:pPr>
            <w:r>
              <w:rPr>
                <w:rFonts w:hint="eastAsia" w:ascii="仿宋" w:hAnsi="仿宋" w:eastAsia="仿宋" w:cs="仿宋"/>
                <w:b/>
                <w:bCs/>
                <w:color w:val="000000"/>
                <w:highlight w:val="none"/>
                <w:lang w:bidi="ar"/>
              </w:rPr>
              <w:t>规格参数</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right="-28" w:firstLine="0"/>
              <w:jc w:val="center"/>
              <w:textAlignment w:val="center"/>
              <w:rPr>
                <w:rFonts w:ascii="仿宋" w:hAnsi="仿宋" w:eastAsia="仿宋" w:cs="仿宋"/>
                <w:b/>
                <w:bCs/>
                <w:color w:val="000000"/>
                <w:highlight w:val="none"/>
                <w:lang w:bidi="ar"/>
              </w:rPr>
            </w:pPr>
            <w:r>
              <w:rPr>
                <w:rFonts w:hint="eastAsia" w:ascii="仿宋" w:hAnsi="仿宋" w:eastAsia="仿宋" w:cs="仿宋"/>
                <w:b/>
                <w:bCs/>
                <w:color w:val="000000"/>
                <w:highlight w:val="none"/>
                <w:lang w:bidi="ar"/>
              </w:rPr>
              <w:t>总需求量</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right="-28" w:firstLine="0"/>
              <w:jc w:val="center"/>
              <w:textAlignment w:val="center"/>
              <w:rPr>
                <w:rFonts w:ascii="仿宋" w:hAnsi="仿宋" w:eastAsia="仿宋" w:cs="仿宋"/>
                <w:b/>
                <w:bCs/>
                <w:color w:val="000000"/>
                <w:highlight w:val="none"/>
                <w:lang w:bidi="ar"/>
              </w:rPr>
            </w:pPr>
            <w:r>
              <w:rPr>
                <w:rFonts w:hint="eastAsia" w:ascii="仿宋" w:hAnsi="仿宋" w:eastAsia="仿宋" w:cs="仿宋"/>
                <w:b/>
                <w:bCs/>
                <w:color w:val="000000"/>
                <w:highlight w:val="none"/>
                <w:lang w:bidi="ar"/>
              </w:rPr>
              <w:t>备注</w:t>
            </w:r>
          </w:p>
        </w:tc>
      </w:tr>
      <w:tr>
        <w:tblPrEx>
          <w:tblCellMar>
            <w:top w:w="0" w:type="dxa"/>
            <w:left w:w="108" w:type="dxa"/>
            <w:bottom w:w="0" w:type="dxa"/>
            <w:right w:w="108" w:type="dxa"/>
          </w:tblCellMar>
        </w:tblPrEx>
        <w:trPr>
          <w:trHeight w:val="880" w:hRule="atLeast"/>
          <w:jc w:val="center"/>
        </w:trPr>
        <w:tc>
          <w:tcPr>
            <w:tcW w:w="266"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1</w:t>
            </w:r>
          </w:p>
        </w:tc>
        <w:tc>
          <w:tcPr>
            <w:tcW w:w="1104" w:type="pct"/>
            <w:vMerge w:val="restart"/>
            <w:tcBorders>
              <w:top w:val="single" w:color="000000" w:sz="4" w:space="0"/>
              <w:left w:val="single" w:color="000000" w:sz="4" w:space="0"/>
              <w:right w:val="single" w:color="000000" w:sz="4" w:space="0"/>
            </w:tcBorders>
            <w:shd w:val="clear" w:color="auto" w:fill="auto"/>
            <w:vAlign w:val="center"/>
          </w:tcPr>
          <w:p>
            <w:pPr>
              <w:spacing w:line="240" w:lineRule="auto"/>
              <w:ind w:left="0" w:right="-28" w:firstLine="0"/>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油（供应商可选任意一款竞标）</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胡姬花</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left="0" w:right="-28" w:firstLine="0"/>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胡姬花古法土榨风味花生5.436L/桶</w:t>
            </w:r>
          </w:p>
        </w:tc>
        <w:tc>
          <w:tcPr>
            <w:tcW w:w="8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7200</w:t>
            </w:r>
          </w:p>
        </w:tc>
        <w:tc>
          <w:tcPr>
            <w:tcW w:w="7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880" w:hRule="atLeast"/>
          <w:jc w:val="center"/>
        </w:trPr>
        <w:tc>
          <w:tcPr>
            <w:tcW w:w="266"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2</w:t>
            </w:r>
          </w:p>
        </w:tc>
        <w:tc>
          <w:tcPr>
            <w:tcW w:w="1104" w:type="pct"/>
            <w:vMerge w:val="continue"/>
            <w:tcBorders>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鲁花</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left="0" w:right="-28" w:firstLine="0"/>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5S一级压榨花生油5L/桶</w:t>
            </w:r>
          </w:p>
        </w:tc>
        <w:tc>
          <w:tcPr>
            <w:tcW w:w="8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7200</w:t>
            </w:r>
          </w:p>
        </w:tc>
        <w:tc>
          <w:tcPr>
            <w:tcW w:w="7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600" w:hRule="atLeast"/>
          <w:jc w:val="center"/>
        </w:trPr>
        <w:tc>
          <w:tcPr>
            <w:tcW w:w="266"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3</w:t>
            </w:r>
          </w:p>
        </w:tc>
        <w:tc>
          <w:tcPr>
            <w:tcW w:w="1104" w:type="pct"/>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auto"/>
              <w:ind w:left="0" w:right="-28" w:firstLine="0"/>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米</w:t>
            </w:r>
            <w:r>
              <w:rPr>
                <w:rFonts w:hint="eastAsia" w:ascii="仿宋" w:hAnsi="仿宋" w:eastAsia="仿宋" w:cs="仿宋"/>
                <w:color w:val="000000"/>
                <w:highlight w:val="none"/>
                <w:lang w:bidi="ar"/>
              </w:rPr>
              <w:t>（供应商可选任意一款竞标）</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中香</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上林金丝苗米5kg/袋</w:t>
            </w:r>
          </w:p>
        </w:tc>
        <w:tc>
          <w:tcPr>
            <w:tcW w:w="8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14400</w:t>
            </w:r>
          </w:p>
        </w:tc>
        <w:tc>
          <w:tcPr>
            <w:tcW w:w="7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600" w:hRule="atLeast"/>
          <w:jc w:val="center"/>
        </w:trPr>
        <w:tc>
          <w:tcPr>
            <w:tcW w:w="266"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4</w:t>
            </w:r>
          </w:p>
        </w:tc>
        <w:tc>
          <w:tcPr>
            <w:tcW w:w="1104" w:type="pct"/>
            <w:vMerge w:val="continue"/>
            <w:tcBorders>
              <w:left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力拓</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left="0" w:right="-28" w:firstLine="0"/>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正稻上林丝苗米5kg/袋</w:t>
            </w:r>
          </w:p>
        </w:tc>
        <w:tc>
          <w:tcPr>
            <w:tcW w:w="8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14400</w:t>
            </w:r>
          </w:p>
        </w:tc>
        <w:tc>
          <w:tcPr>
            <w:tcW w:w="7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90" w:hRule="atLeast"/>
          <w:jc w:val="center"/>
        </w:trPr>
        <w:tc>
          <w:tcPr>
            <w:tcW w:w="266"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5</w:t>
            </w:r>
          </w:p>
        </w:tc>
        <w:tc>
          <w:tcPr>
            <w:tcW w:w="1104"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color w:val="000000"/>
                <w:highlight w:val="none"/>
              </w:rPr>
            </w:pP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赢芙</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上林九七香米5kg/袋</w:t>
            </w:r>
          </w:p>
        </w:tc>
        <w:tc>
          <w:tcPr>
            <w:tcW w:w="8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14400</w:t>
            </w:r>
          </w:p>
        </w:tc>
        <w:tc>
          <w:tcPr>
            <w:tcW w:w="7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600" w:hRule="atLeast"/>
          <w:jc w:val="center"/>
        </w:trPr>
        <w:tc>
          <w:tcPr>
            <w:tcW w:w="266"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6</w:t>
            </w:r>
          </w:p>
        </w:tc>
        <w:tc>
          <w:tcPr>
            <w:tcW w:w="1104"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color w:val="000000"/>
                <w:highlight w:val="none"/>
              </w:rPr>
            </w:pP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金龙鱼</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香粘稻5kg/袋</w:t>
            </w:r>
          </w:p>
        </w:tc>
        <w:tc>
          <w:tcPr>
            <w:tcW w:w="8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14400</w:t>
            </w:r>
          </w:p>
        </w:tc>
        <w:tc>
          <w:tcPr>
            <w:tcW w:w="7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800" w:hRule="atLeast"/>
          <w:jc w:val="center"/>
        </w:trPr>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8</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0" w:right="-28" w:firstLine="0"/>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牛奶（供应商可选任意一款竞标）</w:t>
            </w:r>
          </w:p>
        </w:tc>
        <w:tc>
          <w:tcPr>
            <w:tcW w:w="63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伊利</w:t>
            </w:r>
          </w:p>
        </w:tc>
        <w:tc>
          <w:tcPr>
            <w:tcW w:w="142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0" w:right="0" w:firstLine="0"/>
              <w:jc w:val="left"/>
              <w:rPr>
                <w:rFonts w:ascii="仿宋" w:hAnsi="仿宋" w:eastAsia="仿宋" w:cs="仿宋"/>
                <w:color w:val="000000"/>
                <w:kern w:val="2"/>
                <w:highlight w:val="none"/>
              </w:rPr>
            </w:pPr>
            <w:r>
              <w:rPr>
                <w:rFonts w:hint="eastAsia" w:ascii="仿宋" w:hAnsi="仿宋" w:eastAsia="仿宋" w:cs="仿宋"/>
                <w:color w:val="000000"/>
                <w:highlight w:val="none"/>
                <w:lang w:bidi="ar"/>
              </w:rPr>
              <w:t>金典纯牛奶250ml*12盒/箱</w:t>
            </w:r>
          </w:p>
        </w:tc>
        <w:tc>
          <w:tcPr>
            <w:tcW w:w="82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7200</w:t>
            </w:r>
          </w:p>
        </w:tc>
        <w:tc>
          <w:tcPr>
            <w:tcW w:w="72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820" w:hRule="atLeast"/>
          <w:jc w:val="center"/>
        </w:trPr>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9</w:t>
            </w:r>
          </w:p>
        </w:tc>
        <w:tc>
          <w:tcPr>
            <w:tcW w:w="1104" w:type="pct"/>
            <w:vMerge w:val="continue"/>
            <w:tcBorders>
              <w:top w:val="single" w:color="auto" w:sz="4" w:space="0"/>
              <w:left w:val="single" w:color="auto" w:sz="4" w:space="0"/>
              <w:bottom w:val="nil"/>
              <w:right w:val="single" w:color="000000" w:sz="4" w:space="0"/>
            </w:tcBorders>
            <w:shd w:val="clear" w:color="auto" w:fill="auto"/>
            <w:vAlign w:val="center"/>
          </w:tcPr>
          <w:p>
            <w:pPr>
              <w:spacing w:line="240" w:lineRule="auto"/>
              <w:ind w:right="-28"/>
              <w:jc w:val="center"/>
              <w:rPr>
                <w:rFonts w:ascii="仿宋" w:hAnsi="仿宋" w:eastAsia="仿宋" w:cs="仿宋"/>
                <w:color w:val="000000"/>
                <w:highlight w:val="none"/>
              </w:rPr>
            </w:pPr>
          </w:p>
        </w:tc>
        <w:tc>
          <w:tcPr>
            <w:tcW w:w="639" w:type="pct"/>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蒙牛</w:t>
            </w:r>
          </w:p>
        </w:tc>
        <w:tc>
          <w:tcPr>
            <w:tcW w:w="1429" w:type="pct"/>
            <w:tcBorders>
              <w:top w:val="single" w:color="auto" w:sz="4" w:space="0"/>
              <w:left w:val="single" w:color="000000" w:sz="4" w:space="0"/>
              <w:bottom w:val="single" w:color="000000" w:sz="4" w:space="0"/>
              <w:right w:val="single" w:color="000000" w:sz="4" w:space="0"/>
            </w:tcBorders>
            <w:shd w:val="clear" w:color="auto" w:fill="auto"/>
            <w:vAlign w:val="center"/>
          </w:tcPr>
          <w:p>
            <w:pPr>
              <w:spacing w:line="200" w:lineRule="atLeast"/>
              <w:ind w:left="0" w:right="-28" w:firstLine="0"/>
              <w:textAlignment w:val="center"/>
              <w:rPr>
                <w:rFonts w:ascii="仿宋" w:hAnsi="仿宋" w:eastAsia="仿宋" w:cs="仿宋"/>
                <w:color w:val="000000"/>
                <w:kern w:val="2"/>
                <w:highlight w:val="none"/>
              </w:rPr>
            </w:pPr>
            <w:r>
              <w:rPr>
                <w:rFonts w:hint="eastAsia" w:ascii="仿宋" w:hAnsi="仿宋" w:eastAsia="仿宋" w:cs="仿宋"/>
                <w:color w:val="000000"/>
                <w:highlight w:val="none"/>
                <w:lang w:bidi="ar"/>
              </w:rPr>
              <w:t>特仑苏纯牛奶250ml*12盒/箱</w:t>
            </w:r>
          </w:p>
        </w:tc>
        <w:tc>
          <w:tcPr>
            <w:tcW w:w="829" w:type="pct"/>
            <w:tcBorders>
              <w:top w:val="single" w:color="auto"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7200</w:t>
            </w:r>
          </w:p>
        </w:tc>
        <w:tc>
          <w:tcPr>
            <w:tcW w:w="729" w:type="pct"/>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840" w:hRule="atLeast"/>
          <w:jc w:val="center"/>
        </w:trPr>
        <w:tc>
          <w:tcPr>
            <w:tcW w:w="266" w:type="pct"/>
            <w:tcBorders>
              <w:top w:val="single" w:color="auto"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10</w:t>
            </w:r>
          </w:p>
        </w:tc>
        <w:tc>
          <w:tcPr>
            <w:tcW w:w="1104" w:type="pct"/>
            <w:vMerge w:val="restart"/>
            <w:tcBorders>
              <w:top w:val="single" w:color="000000" w:sz="4" w:space="0"/>
              <w:left w:val="single" w:color="000000" w:sz="4" w:space="0"/>
              <w:right w:val="single" w:color="000000" w:sz="4" w:space="0"/>
            </w:tcBorders>
            <w:shd w:val="clear" w:color="auto" w:fill="auto"/>
            <w:vAlign w:val="center"/>
          </w:tcPr>
          <w:p>
            <w:pPr>
              <w:spacing w:line="240" w:lineRule="auto"/>
              <w:ind w:left="0" w:right="-28" w:firstLine="0"/>
              <w:jc w:val="center"/>
              <w:textAlignment w:val="center"/>
              <w:rPr>
                <w:rFonts w:ascii="仿宋" w:hAnsi="仿宋" w:eastAsia="仿宋" w:cs="仿宋"/>
                <w:color w:val="000000"/>
                <w:kern w:val="2"/>
                <w:highlight w:val="none"/>
              </w:rPr>
            </w:pPr>
            <w:r>
              <w:rPr>
                <w:rFonts w:hint="eastAsia" w:ascii="仿宋" w:hAnsi="仿宋" w:eastAsia="仿宋" w:cs="仿宋"/>
                <w:color w:val="000000"/>
                <w:kern w:val="2"/>
                <w:highlight w:val="none"/>
              </w:rPr>
              <w:t>粽子（供应商可选任意一款竞标）</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kern w:val="2"/>
                <w:highlight w:val="none"/>
              </w:rPr>
              <w:t>三全</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right="0" w:firstLine="0"/>
              <w:jc w:val="left"/>
              <w:rPr>
                <w:rFonts w:ascii="仿宋" w:hAnsi="仿宋" w:eastAsia="仿宋" w:cs="仿宋"/>
                <w:color w:val="000000"/>
                <w:kern w:val="2"/>
                <w:highlight w:val="none"/>
              </w:rPr>
            </w:pPr>
            <w:r>
              <w:rPr>
                <w:rFonts w:hint="eastAsia" w:ascii="仿宋" w:hAnsi="仿宋" w:eastAsia="仿宋" w:cs="仿宋"/>
                <w:color w:val="000000"/>
                <w:kern w:val="2"/>
                <w:highlight w:val="none"/>
              </w:rPr>
              <w:t>鸿运吉祥礼粽1200g/盒(猪肉粽200g*2、蛋黄猪肉粽200g*1、双豆沙粽200g*2、八宝粽200g*1)</w:t>
            </w:r>
          </w:p>
        </w:tc>
        <w:tc>
          <w:tcPr>
            <w:tcW w:w="829" w:type="pct"/>
            <w:tcBorders>
              <w:top w:val="single" w:color="000000" w:sz="4" w:space="0"/>
              <w:left w:val="single" w:color="000000" w:sz="4" w:space="0"/>
              <w:bottom w:val="nil"/>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bidi="ar"/>
              </w:rPr>
              <w:t>7200</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r>
        <w:tblPrEx>
          <w:tblCellMar>
            <w:top w:w="0" w:type="dxa"/>
            <w:left w:w="108" w:type="dxa"/>
            <w:bottom w:w="0" w:type="dxa"/>
            <w:right w:w="108" w:type="dxa"/>
          </w:tblCellMar>
        </w:tblPrEx>
        <w:trPr>
          <w:trHeight w:val="600" w:hRule="atLeast"/>
          <w:jc w:val="center"/>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11</w:t>
            </w:r>
          </w:p>
        </w:tc>
        <w:tc>
          <w:tcPr>
            <w:tcW w:w="1104" w:type="pct"/>
            <w:vMerge w:val="continue"/>
            <w:tcBorders>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kern w:val="2"/>
                <w:highlight w:val="none"/>
              </w:rPr>
            </w:pPr>
            <w:r>
              <w:rPr>
                <w:rFonts w:hint="eastAsia" w:ascii="仿宋" w:hAnsi="仿宋" w:eastAsia="仿宋" w:cs="仿宋"/>
                <w:color w:val="000000"/>
                <w:kern w:val="2"/>
                <w:highlight w:val="none"/>
              </w:rPr>
              <w:t>五芳斋</w:t>
            </w:r>
          </w:p>
        </w:tc>
        <w:tc>
          <w:tcPr>
            <w:tcW w:w="14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right="0" w:firstLine="0"/>
              <w:jc w:val="left"/>
              <w:rPr>
                <w:rFonts w:ascii="仿宋" w:hAnsi="仿宋" w:eastAsia="仿宋" w:cs="仿宋"/>
                <w:color w:val="000000"/>
                <w:kern w:val="2"/>
                <w:highlight w:val="none"/>
              </w:rPr>
            </w:pPr>
            <w:r>
              <w:rPr>
                <w:rFonts w:hint="eastAsia" w:ascii="仿宋" w:hAnsi="仿宋" w:eastAsia="仿宋" w:cs="仿宋"/>
                <w:color w:val="000000"/>
                <w:kern w:val="2"/>
                <w:highlight w:val="none"/>
              </w:rPr>
              <w:t>珍情五芳1.12kg/盒（五芳猪肉粽140g*4、润香豆沙粽140g*2、甜味赤豆粽140g*2）</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textAlignment w:val="center"/>
              <w:rPr>
                <w:rFonts w:ascii="仿宋" w:hAnsi="仿宋" w:eastAsia="仿宋" w:cs="仿宋"/>
                <w:color w:val="000000"/>
                <w:highlight w:val="none"/>
                <w:lang w:bidi="ar"/>
              </w:rPr>
            </w:pPr>
            <w:r>
              <w:rPr>
                <w:rFonts w:hint="eastAsia" w:ascii="仿宋" w:hAnsi="仿宋" w:eastAsia="仿宋" w:cs="仿宋"/>
                <w:color w:val="000000"/>
                <w:highlight w:val="none"/>
                <w:lang w:bidi="ar"/>
              </w:rPr>
              <w:t>7200</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right="-28"/>
              <w:jc w:val="center"/>
              <w:rPr>
                <w:rFonts w:ascii="仿宋" w:hAnsi="仿宋" w:eastAsia="仿宋" w:cs="仿宋"/>
                <w:b/>
                <w:bCs/>
                <w:color w:val="000000"/>
                <w:highlight w:val="none"/>
              </w:rPr>
            </w:pPr>
          </w:p>
        </w:tc>
      </w:tr>
    </w:tbl>
    <w:p>
      <w:pPr>
        <w:spacing w:line="520" w:lineRule="exact"/>
        <w:rPr>
          <w:rFonts w:ascii="仿宋" w:hAnsi="仿宋" w:eastAsia="仿宋"/>
          <w:sz w:val="28"/>
          <w:szCs w:val="28"/>
          <w:highlight w:val="none"/>
        </w:rPr>
      </w:pPr>
    </w:p>
    <w:p>
      <w:pPr>
        <w:spacing w:line="520" w:lineRule="exact"/>
        <w:rPr>
          <w:rFonts w:ascii="仿宋" w:hAnsi="仿宋" w:eastAsia="仿宋"/>
          <w:color w:val="000000"/>
          <w:sz w:val="32"/>
          <w:szCs w:val="32"/>
          <w:highlight w:val="none"/>
        </w:rPr>
      </w:pPr>
    </w:p>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Pr>
        <w:rPr>
          <w:highlight w:val="none"/>
        </w:rPr>
      </w:pPr>
    </w:p>
    <w:p>
      <w:pPr>
        <w:rPr>
          <w:highlight w:val="none"/>
        </w:rPr>
      </w:pPr>
    </w:p>
    <w:sectPr>
      <w:pgSz w:w="11905" w:h="16838"/>
      <w:pgMar w:top="1417" w:right="1417" w:bottom="1417" w:left="1417" w:header="454" w:footer="567" w:gutter="0"/>
      <w:pgNumType w:fmt="decimal"/>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p>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M/8h6fQAQAApQMAAA4AAAAAAAAAAQAgAAAAIgEA&#10;AGRycy9lMm9Eb2MueG1sUEsFBgAAAAAGAAYAWQEAAGQFAAAAAA==&#10;">
              <v:fill on="f" focussize="0,0"/>
              <v:stroke on="f" weight="1.25pt"/>
              <v:imagedata o:title=""/>
              <o:lock v:ext="edit" aspectratio="f"/>
              <v:textbox inset="0mm,0mm,0mm,0mm" style="mso-fit-shape-to-text:t;">
                <w:txbxContent>
                  <w:p>
                    <w:pPr>
                      <w:pStyle w:val="16"/>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cOs8IBAACP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UBJHLc48cvPH5dffy6/v5Pl&#10;MgvUB6gx7z5gZhre+QGTZz+gM/MeVLT5i4wIxhHrfJVXDomI/Gi9Wq8rDAmMzRfEZw/PQ4T0XnpL&#10;stHQiPMrsvLTR0hj6pySqzl/p40pMzTuHwdiZg/LvY89ZisN+2EitPftGfn0OPqGOtx0SswHh8pi&#10;f2k24mzsJyPXgHB7TFi49JNRR6ipGM6pMJp2Ki/C43vJeviPt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7HDrPCAQAAjwMAAA4AAAAAAAAAAQAgAAAAHgEAAGRycy9lMm9Eb2MueG1sUEsF&#10;BgAAAAAGAAYAWQEAAFI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p>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0uFLb0QEAAKUDAAAOAAAAAAAAAAEAIAAAACIB&#10;AABkcnMvZTJvRG9jLnhtbFBLBQYAAAAABgAGAFkBAABlBQAAAAA=&#10;">
              <v:fill on="f" focussize="0,0"/>
              <v:stroke on="f" weight="1.25pt"/>
              <v:imagedata o:title=""/>
              <o:lock v:ext="edit" aspectratio="f"/>
              <v:textbox inset="0mm,0mm,0mm,0mm" style="mso-fit-shape-to-text:t;">
                <w:txbxContent>
                  <w:p>
                    <w:pPr>
                      <w:pStyle w:val="16"/>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48387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a:noFill/>
                      </a:ln>
                    </wps:spPr>
                    <wps:txbx>
                      <w:txbxContent>
                        <w:p>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63360;mso-width-relative:page;mso-height-relative:page;" filled="f" stroked="f" coordsize="21600,21600" o:gfxdata="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jX569IAAAADAQAADwAAAAAAAAABACAAAAAi&#10;AAAAZHJzL2Rvd25yZXYueG1sUEsBAhQAFAAAAAgAh07iQIcEe53XAQAAoAMAAA4AAAAAAAAAAQAg&#10;AAAAIQEAAGRycy9lMm9Eb2MueG1sUEsFBgAAAAAGAAYAWQEAAGoFA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HL/MIBAACN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cWxO25x4OefP86/Hs8P38mb&#10;LE8foMasu4B5aXjvB1ya2Q/ozKwHFW3+Ih+CcRT3dBFXDomI/Gi1XK0qDAmMzRfEZ0/PQ4T0QXpL&#10;stHQiNMrovLjJ0hj6pySqzl/q40pEzTuLwdiZg/LvY89ZisNu2EitPPtCfn0OPiGOtxzSsxHh7rm&#10;HZmNOBu7ycg1ILw7JCxc+smoI9RUDKdUGE0bldfgz3vJevqLN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EFBy/zCAQAAjQMAAA4AAAAAAAAAAQAgAAAAHgEAAGRycy9lMm9Eb2MueG1sUEsF&#10;BgAAAAAGAAYAWQEAAFI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p>
    <w:pPr>
      <w:pStyle w:val="17"/>
      <w:pBdr>
        <w:bottom w:val="none" w:color="auto" w:sz="0" w:space="0"/>
      </w:pBdr>
      <w:tabs>
        <w:tab w:val="right" w:pos="8728"/>
        <w:tab w:val="clear" w:pos="4153"/>
        <w:tab w:val="clear" w:pos="8306"/>
      </w:tabs>
      <w:ind w:left="0" w:right="343" w:firstLine="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2kugMIBAACN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tpLoDCAQAAjQMAAA4AAAAAAAAAAQAgAAAAHgEAAGRycy9lMm9Eb2MueG1sUEsF&#10;BgAAAAAGAAYAWQEAAFI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p>
    <w:pPr>
      <w:pStyle w:val="17"/>
      <w:pBdr>
        <w:bottom w:val="none" w:color="auto" w:sz="0" w:space="0"/>
      </w:pBdr>
      <w:tabs>
        <w:tab w:val="right" w:pos="8728"/>
        <w:tab w:val="clear" w:pos="4153"/>
        <w:tab w:val="clear" w:pos="8306"/>
      </w:tabs>
      <w:ind w:left="0" w:right="343" w:firstLine="0"/>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jc w:val="right"/>
      <w:rPr>
        <w:rFonts w:ascii="宋体" w:hAnsi="宋体"/>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jc w:val="right"/>
      <w:rPr>
        <w:rFonts w:ascii="宋体" w:hAnsi="宋体"/>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jc w:val="right"/>
      <w:rPr>
        <w:rFonts w:ascii="宋体" w:hAnsi="宋体"/>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left" w:pos="729"/>
        <w:tab w:val="clear" w:pos="4153"/>
      </w:tabs>
      <w:spacing w:before="0" w:after="0" w:afterAutospacing="0" w:line="240" w:lineRule="auto"/>
      <w:ind w:left="0" w:right="0" w:firstLine="0"/>
      <w:jc w:val="both"/>
      <w:rPr>
        <w:rFonts w:ascii="宋体" w:hAnsi="宋体"/>
        <w:color w:val="000000"/>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4F64D"/>
    <w:multiLevelType w:val="singleLevel"/>
    <w:tmpl w:val="89E4F64D"/>
    <w:lvl w:ilvl="0" w:tentative="0">
      <w:start w:val="1"/>
      <w:numFmt w:val="decimal"/>
      <w:lvlText w:val="%1."/>
      <w:lvlJc w:val="left"/>
      <w:pPr>
        <w:tabs>
          <w:tab w:val="left" w:pos="312"/>
        </w:tabs>
      </w:pPr>
    </w:lvl>
  </w:abstractNum>
  <w:abstractNum w:abstractNumId="1">
    <w:nsid w:val="8B91EAEA"/>
    <w:multiLevelType w:val="singleLevel"/>
    <w:tmpl w:val="8B91EAEA"/>
    <w:lvl w:ilvl="0" w:tentative="0">
      <w:start w:val="2"/>
      <w:numFmt w:val="decimal"/>
      <w:lvlText w:val="%1."/>
      <w:lvlJc w:val="left"/>
      <w:pPr>
        <w:tabs>
          <w:tab w:val="left" w:pos="312"/>
        </w:tabs>
      </w:pPr>
    </w:lvl>
  </w:abstractNum>
  <w:abstractNum w:abstractNumId="2">
    <w:nsid w:val="D716EC98"/>
    <w:multiLevelType w:val="singleLevel"/>
    <w:tmpl w:val="D716EC98"/>
    <w:lvl w:ilvl="0" w:tentative="0">
      <w:start w:val="1"/>
      <w:numFmt w:val="decimal"/>
      <w:suff w:val="nothing"/>
      <w:lvlText w:val="（%1）"/>
      <w:lvlJc w:val="left"/>
    </w:lvl>
  </w:abstractNum>
  <w:abstractNum w:abstractNumId="3">
    <w:nsid w:val="E6D2E5AD"/>
    <w:multiLevelType w:val="singleLevel"/>
    <w:tmpl w:val="E6D2E5AD"/>
    <w:lvl w:ilvl="0" w:tentative="0">
      <w:start w:val="1"/>
      <w:numFmt w:val="decimal"/>
      <w:suff w:val="nothing"/>
      <w:lvlText w:val="（%1）"/>
      <w:lvlJc w:val="left"/>
    </w:lvl>
  </w:abstractNum>
  <w:abstractNum w:abstractNumId="4">
    <w:nsid w:val="000000DB"/>
    <w:multiLevelType w:val="multilevel"/>
    <w:tmpl w:val="000000DB"/>
    <w:lvl w:ilvl="0" w:tentative="0">
      <w:start w:val="1"/>
      <w:numFmt w:val="decimal"/>
      <w:lvlText w:val="2.%1"/>
      <w:lvlJc w:val="left"/>
      <w:pPr>
        <w:tabs>
          <w:tab w:val="left" w:pos="1134"/>
        </w:tabs>
        <w:ind w:left="1134" w:hanging="1134"/>
      </w:pPr>
      <w:rPr>
        <w:rFonts w:hint="eastAsia" w:cs="Times New Roman"/>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5">
    <w:nsid w:val="532C6D9C"/>
    <w:multiLevelType w:val="singleLevel"/>
    <w:tmpl w:val="532C6D9C"/>
    <w:lvl w:ilvl="0" w:tentative="0">
      <w:start w:val="1"/>
      <w:numFmt w:val="decimal"/>
      <w:suff w:val="space"/>
      <w:lvlText w:val="（%1）"/>
      <w:lvlJc w:val="left"/>
    </w:lvl>
  </w:abstractNum>
  <w:abstractNum w:abstractNumId="6">
    <w:nsid w:val="6D0062D2"/>
    <w:multiLevelType w:val="singleLevel"/>
    <w:tmpl w:val="6D0062D2"/>
    <w:lvl w:ilvl="0" w:tentative="0">
      <w:start w:val="2"/>
      <w:numFmt w:val="decimal"/>
      <w:lvlText w:val="%1."/>
      <w:lvlJc w:val="left"/>
      <w:pPr>
        <w:tabs>
          <w:tab w:val="left" w:pos="312"/>
        </w:tabs>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ZDJjNmE2YTM0YTAyNDllMDFmMjcwYzkyZWZjNDkifQ=="/>
    <w:docVar w:name="KSO_WPS_MARK_KEY" w:val="b696e470-f521-4b2d-a847-8a5db7b2aaa4"/>
  </w:docVars>
  <w:rsids>
    <w:rsidRoot w:val="00172A27"/>
    <w:rsid w:val="00000139"/>
    <w:rsid w:val="000006DE"/>
    <w:rsid w:val="000045EA"/>
    <w:rsid w:val="00005BC0"/>
    <w:rsid w:val="000115AE"/>
    <w:rsid w:val="000120A3"/>
    <w:rsid w:val="000143B4"/>
    <w:rsid w:val="00017403"/>
    <w:rsid w:val="00022F88"/>
    <w:rsid w:val="000238DA"/>
    <w:rsid w:val="000339D6"/>
    <w:rsid w:val="00036327"/>
    <w:rsid w:val="000437E6"/>
    <w:rsid w:val="00043E88"/>
    <w:rsid w:val="00070470"/>
    <w:rsid w:val="00074337"/>
    <w:rsid w:val="000772B4"/>
    <w:rsid w:val="0008222E"/>
    <w:rsid w:val="00084376"/>
    <w:rsid w:val="00092270"/>
    <w:rsid w:val="00095C97"/>
    <w:rsid w:val="000A1767"/>
    <w:rsid w:val="000A5DBD"/>
    <w:rsid w:val="000A6A33"/>
    <w:rsid w:val="000A7D90"/>
    <w:rsid w:val="000B34C7"/>
    <w:rsid w:val="000C1668"/>
    <w:rsid w:val="000C20C1"/>
    <w:rsid w:val="000C5057"/>
    <w:rsid w:val="000C53FF"/>
    <w:rsid w:val="000C56A1"/>
    <w:rsid w:val="000C64B2"/>
    <w:rsid w:val="000C68D6"/>
    <w:rsid w:val="000D2B9F"/>
    <w:rsid w:val="000D3045"/>
    <w:rsid w:val="000E072A"/>
    <w:rsid w:val="000F6EB3"/>
    <w:rsid w:val="00110AED"/>
    <w:rsid w:val="0011106B"/>
    <w:rsid w:val="001207B4"/>
    <w:rsid w:val="00127C78"/>
    <w:rsid w:val="001315CE"/>
    <w:rsid w:val="00132808"/>
    <w:rsid w:val="00135B62"/>
    <w:rsid w:val="00136FF6"/>
    <w:rsid w:val="001519EA"/>
    <w:rsid w:val="001520D4"/>
    <w:rsid w:val="00155FD4"/>
    <w:rsid w:val="00157C2A"/>
    <w:rsid w:val="00165B45"/>
    <w:rsid w:val="0017175E"/>
    <w:rsid w:val="00172A27"/>
    <w:rsid w:val="0017654C"/>
    <w:rsid w:val="001779FB"/>
    <w:rsid w:val="001804A3"/>
    <w:rsid w:val="00184CC9"/>
    <w:rsid w:val="00186A28"/>
    <w:rsid w:val="00191278"/>
    <w:rsid w:val="0019765F"/>
    <w:rsid w:val="001A1456"/>
    <w:rsid w:val="001A37D3"/>
    <w:rsid w:val="001A3FCA"/>
    <w:rsid w:val="001B0893"/>
    <w:rsid w:val="001B1B79"/>
    <w:rsid w:val="001B2E3B"/>
    <w:rsid w:val="001B51D5"/>
    <w:rsid w:val="001B5330"/>
    <w:rsid w:val="001C0C50"/>
    <w:rsid w:val="001C19C3"/>
    <w:rsid w:val="001C3B7B"/>
    <w:rsid w:val="001D1808"/>
    <w:rsid w:val="001D510A"/>
    <w:rsid w:val="001D6B1F"/>
    <w:rsid w:val="001D766B"/>
    <w:rsid w:val="001E0D82"/>
    <w:rsid w:val="001E4820"/>
    <w:rsid w:val="001E5985"/>
    <w:rsid w:val="001E5F4A"/>
    <w:rsid w:val="002041A6"/>
    <w:rsid w:val="00206D2E"/>
    <w:rsid w:val="00212F09"/>
    <w:rsid w:val="00221067"/>
    <w:rsid w:val="00222D88"/>
    <w:rsid w:val="0022399C"/>
    <w:rsid w:val="00226768"/>
    <w:rsid w:val="00226771"/>
    <w:rsid w:val="00226B2E"/>
    <w:rsid w:val="00226D0E"/>
    <w:rsid w:val="002340C4"/>
    <w:rsid w:val="00237A98"/>
    <w:rsid w:val="0024202E"/>
    <w:rsid w:val="0024287B"/>
    <w:rsid w:val="0024433D"/>
    <w:rsid w:val="0024741B"/>
    <w:rsid w:val="002478B2"/>
    <w:rsid w:val="0025005B"/>
    <w:rsid w:val="0025104D"/>
    <w:rsid w:val="0025319C"/>
    <w:rsid w:val="00261C93"/>
    <w:rsid w:val="00272F80"/>
    <w:rsid w:val="00274FA7"/>
    <w:rsid w:val="0027764C"/>
    <w:rsid w:val="00295B46"/>
    <w:rsid w:val="002A7E8A"/>
    <w:rsid w:val="002B1720"/>
    <w:rsid w:val="002B2AC2"/>
    <w:rsid w:val="002B2D2A"/>
    <w:rsid w:val="002B522E"/>
    <w:rsid w:val="002B68A4"/>
    <w:rsid w:val="002C556E"/>
    <w:rsid w:val="002C5B0F"/>
    <w:rsid w:val="002C6FCC"/>
    <w:rsid w:val="002C7B9E"/>
    <w:rsid w:val="002D23D9"/>
    <w:rsid w:val="002D2931"/>
    <w:rsid w:val="002D538B"/>
    <w:rsid w:val="002D6D0E"/>
    <w:rsid w:val="002E190D"/>
    <w:rsid w:val="002E4990"/>
    <w:rsid w:val="002E53D3"/>
    <w:rsid w:val="00301A97"/>
    <w:rsid w:val="00302B1E"/>
    <w:rsid w:val="0030553A"/>
    <w:rsid w:val="00307BE7"/>
    <w:rsid w:val="00314955"/>
    <w:rsid w:val="003207F4"/>
    <w:rsid w:val="00321E2F"/>
    <w:rsid w:val="00322A97"/>
    <w:rsid w:val="003257EF"/>
    <w:rsid w:val="00330D78"/>
    <w:rsid w:val="00333FA3"/>
    <w:rsid w:val="003354EE"/>
    <w:rsid w:val="00335AAA"/>
    <w:rsid w:val="00337C6A"/>
    <w:rsid w:val="003464E7"/>
    <w:rsid w:val="00354E36"/>
    <w:rsid w:val="003568E4"/>
    <w:rsid w:val="003712A4"/>
    <w:rsid w:val="00374E80"/>
    <w:rsid w:val="00381B3A"/>
    <w:rsid w:val="003841EC"/>
    <w:rsid w:val="00391510"/>
    <w:rsid w:val="00395A23"/>
    <w:rsid w:val="003A0C71"/>
    <w:rsid w:val="003A170B"/>
    <w:rsid w:val="003A3181"/>
    <w:rsid w:val="003A7F1A"/>
    <w:rsid w:val="003B097F"/>
    <w:rsid w:val="003B2656"/>
    <w:rsid w:val="003B43D3"/>
    <w:rsid w:val="003B51BE"/>
    <w:rsid w:val="003B6467"/>
    <w:rsid w:val="003B6BE9"/>
    <w:rsid w:val="003C312A"/>
    <w:rsid w:val="003C4653"/>
    <w:rsid w:val="003C46A0"/>
    <w:rsid w:val="003D0506"/>
    <w:rsid w:val="003D35E6"/>
    <w:rsid w:val="003D3A75"/>
    <w:rsid w:val="003E0A3B"/>
    <w:rsid w:val="003E4F0A"/>
    <w:rsid w:val="003E79A9"/>
    <w:rsid w:val="003F2270"/>
    <w:rsid w:val="003F2B7A"/>
    <w:rsid w:val="004043A2"/>
    <w:rsid w:val="00407456"/>
    <w:rsid w:val="00411473"/>
    <w:rsid w:val="0041204A"/>
    <w:rsid w:val="00412A48"/>
    <w:rsid w:val="00414B71"/>
    <w:rsid w:val="00417574"/>
    <w:rsid w:val="0042215D"/>
    <w:rsid w:val="00425172"/>
    <w:rsid w:val="00430F30"/>
    <w:rsid w:val="0043285C"/>
    <w:rsid w:val="00440F9A"/>
    <w:rsid w:val="00441242"/>
    <w:rsid w:val="00441D81"/>
    <w:rsid w:val="00443ADE"/>
    <w:rsid w:val="00476A5F"/>
    <w:rsid w:val="00476FBE"/>
    <w:rsid w:val="00483264"/>
    <w:rsid w:val="00483F83"/>
    <w:rsid w:val="0048480C"/>
    <w:rsid w:val="00491BE5"/>
    <w:rsid w:val="004A09C3"/>
    <w:rsid w:val="004A0D30"/>
    <w:rsid w:val="004A2B0A"/>
    <w:rsid w:val="004B1E96"/>
    <w:rsid w:val="004B508D"/>
    <w:rsid w:val="004B62C0"/>
    <w:rsid w:val="004C220C"/>
    <w:rsid w:val="004C7017"/>
    <w:rsid w:val="004D1018"/>
    <w:rsid w:val="004D4480"/>
    <w:rsid w:val="004D449E"/>
    <w:rsid w:val="004D6591"/>
    <w:rsid w:val="004E12DE"/>
    <w:rsid w:val="004F5188"/>
    <w:rsid w:val="004F6E95"/>
    <w:rsid w:val="0050004B"/>
    <w:rsid w:val="00505261"/>
    <w:rsid w:val="00510E4D"/>
    <w:rsid w:val="00512A45"/>
    <w:rsid w:val="00516062"/>
    <w:rsid w:val="0052634A"/>
    <w:rsid w:val="005300D9"/>
    <w:rsid w:val="00531FB6"/>
    <w:rsid w:val="00541401"/>
    <w:rsid w:val="0054269C"/>
    <w:rsid w:val="00545844"/>
    <w:rsid w:val="00553206"/>
    <w:rsid w:val="00554A15"/>
    <w:rsid w:val="005620D5"/>
    <w:rsid w:val="005628A3"/>
    <w:rsid w:val="005643FC"/>
    <w:rsid w:val="00564C20"/>
    <w:rsid w:val="00571527"/>
    <w:rsid w:val="00574C3B"/>
    <w:rsid w:val="0057690D"/>
    <w:rsid w:val="0058531C"/>
    <w:rsid w:val="005878F5"/>
    <w:rsid w:val="00593A4A"/>
    <w:rsid w:val="00594A48"/>
    <w:rsid w:val="005A067F"/>
    <w:rsid w:val="005A2E67"/>
    <w:rsid w:val="005A3C52"/>
    <w:rsid w:val="005C5B0E"/>
    <w:rsid w:val="005E2239"/>
    <w:rsid w:val="005E2B80"/>
    <w:rsid w:val="005E5912"/>
    <w:rsid w:val="005F2C46"/>
    <w:rsid w:val="005F5B89"/>
    <w:rsid w:val="005F629D"/>
    <w:rsid w:val="00601544"/>
    <w:rsid w:val="006061B3"/>
    <w:rsid w:val="00612742"/>
    <w:rsid w:val="00612869"/>
    <w:rsid w:val="006155EE"/>
    <w:rsid w:val="006200D4"/>
    <w:rsid w:val="00622520"/>
    <w:rsid w:val="00626EE5"/>
    <w:rsid w:val="006279E7"/>
    <w:rsid w:val="006314AB"/>
    <w:rsid w:val="00634596"/>
    <w:rsid w:val="00642B95"/>
    <w:rsid w:val="0064747F"/>
    <w:rsid w:val="0065460D"/>
    <w:rsid w:val="00655DC7"/>
    <w:rsid w:val="006679DC"/>
    <w:rsid w:val="00670400"/>
    <w:rsid w:val="006724B7"/>
    <w:rsid w:val="00677A8A"/>
    <w:rsid w:val="006922EC"/>
    <w:rsid w:val="00693550"/>
    <w:rsid w:val="006A0DE7"/>
    <w:rsid w:val="006A2F07"/>
    <w:rsid w:val="006A543A"/>
    <w:rsid w:val="006B6CC3"/>
    <w:rsid w:val="006B6F3C"/>
    <w:rsid w:val="006C48FB"/>
    <w:rsid w:val="006C7759"/>
    <w:rsid w:val="006D0354"/>
    <w:rsid w:val="006D4F78"/>
    <w:rsid w:val="006E43E8"/>
    <w:rsid w:val="006E6887"/>
    <w:rsid w:val="006F152F"/>
    <w:rsid w:val="006F48AD"/>
    <w:rsid w:val="006F629E"/>
    <w:rsid w:val="006F7B5A"/>
    <w:rsid w:val="00703F0B"/>
    <w:rsid w:val="007076B1"/>
    <w:rsid w:val="0071330B"/>
    <w:rsid w:val="00722FCE"/>
    <w:rsid w:val="007253CF"/>
    <w:rsid w:val="007258A2"/>
    <w:rsid w:val="007345D7"/>
    <w:rsid w:val="00735BD4"/>
    <w:rsid w:val="00737A61"/>
    <w:rsid w:val="00745129"/>
    <w:rsid w:val="007453BC"/>
    <w:rsid w:val="00746820"/>
    <w:rsid w:val="00746901"/>
    <w:rsid w:val="00770B3F"/>
    <w:rsid w:val="00783A21"/>
    <w:rsid w:val="00785F88"/>
    <w:rsid w:val="00792362"/>
    <w:rsid w:val="007A04DC"/>
    <w:rsid w:val="007A2EB0"/>
    <w:rsid w:val="007C15ED"/>
    <w:rsid w:val="007C2CCC"/>
    <w:rsid w:val="007C45B2"/>
    <w:rsid w:val="007C65FD"/>
    <w:rsid w:val="007C686F"/>
    <w:rsid w:val="007D2FAE"/>
    <w:rsid w:val="007D399D"/>
    <w:rsid w:val="007D59AF"/>
    <w:rsid w:val="007D7AF4"/>
    <w:rsid w:val="007E1085"/>
    <w:rsid w:val="007E399F"/>
    <w:rsid w:val="007F00A8"/>
    <w:rsid w:val="007F27CB"/>
    <w:rsid w:val="007F3C0E"/>
    <w:rsid w:val="007F4496"/>
    <w:rsid w:val="007F7E29"/>
    <w:rsid w:val="00802CA1"/>
    <w:rsid w:val="00803C1E"/>
    <w:rsid w:val="00810B98"/>
    <w:rsid w:val="0081164E"/>
    <w:rsid w:val="008129E4"/>
    <w:rsid w:val="00816129"/>
    <w:rsid w:val="008177BD"/>
    <w:rsid w:val="008306D9"/>
    <w:rsid w:val="008347F7"/>
    <w:rsid w:val="0083668C"/>
    <w:rsid w:val="00840E0D"/>
    <w:rsid w:val="00842287"/>
    <w:rsid w:val="008441A7"/>
    <w:rsid w:val="0086730C"/>
    <w:rsid w:val="0088026D"/>
    <w:rsid w:val="00881EB7"/>
    <w:rsid w:val="0088570D"/>
    <w:rsid w:val="00885D87"/>
    <w:rsid w:val="00890F17"/>
    <w:rsid w:val="00891420"/>
    <w:rsid w:val="008918AC"/>
    <w:rsid w:val="0089407F"/>
    <w:rsid w:val="008A58C4"/>
    <w:rsid w:val="008A69D3"/>
    <w:rsid w:val="008A7DA5"/>
    <w:rsid w:val="008A7F2F"/>
    <w:rsid w:val="008B0302"/>
    <w:rsid w:val="008B224C"/>
    <w:rsid w:val="008B396C"/>
    <w:rsid w:val="008B4FD4"/>
    <w:rsid w:val="008D226A"/>
    <w:rsid w:val="008D2976"/>
    <w:rsid w:val="008E2ED4"/>
    <w:rsid w:val="008E500C"/>
    <w:rsid w:val="008F1E70"/>
    <w:rsid w:val="008F34B7"/>
    <w:rsid w:val="008F720F"/>
    <w:rsid w:val="00901D6C"/>
    <w:rsid w:val="00904592"/>
    <w:rsid w:val="009061D8"/>
    <w:rsid w:val="00906622"/>
    <w:rsid w:val="00906D34"/>
    <w:rsid w:val="009120C7"/>
    <w:rsid w:val="00915EC5"/>
    <w:rsid w:val="00916179"/>
    <w:rsid w:val="00925337"/>
    <w:rsid w:val="00931174"/>
    <w:rsid w:val="00932655"/>
    <w:rsid w:val="00934E94"/>
    <w:rsid w:val="0094110B"/>
    <w:rsid w:val="00941BFA"/>
    <w:rsid w:val="00957AA0"/>
    <w:rsid w:val="009604CB"/>
    <w:rsid w:val="00971B94"/>
    <w:rsid w:val="00973BED"/>
    <w:rsid w:val="00974299"/>
    <w:rsid w:val="0097464F"/>
    <w:rsid w:val="00975B51"/>
    <w:rsid w:val="009900B7"/>
    <w:rsid w:val="009A3D14"/>
    <w:rsid w:val="009A6B89"/>
    <w:rsid w:val="009A7B76"/>
    <w:rsid w:val="009B0988"/>
    <w:rsid w:val="009B1032"/>
    <w:rsid w:val="009C5AC1"/>
    <w:rsid w:val="009D3453"/>
    <w:rsid w:val="009E1329"/>
    <w:rsid w:val="009E28E5"/>
    <w:rsid w:val="009F214A"/>
    <w:rsid w:val="009F374F"/>
    <w:rsid w:val="009F588C"/>
    <w:rsid w:val="00A02C14"/>
    <w:rsid w:val="00A06D1F"/>
    <w:rsid w:val="00A114CD"/>
    <w:rsid w:val="00A11C51"/>
    <w:rsid w:val="00A1337E"/>
    <w:rsid w:val="00A15285"/>
    <w:rsid w:val="00A174BC"/>
    <w:rsid w:val="00A251F1"/>
    <w:rsid w:val="00A46145"/>
    <w:rsid w:val="00A50B31"/>
    <w:rsid w:val="00A54F86"/>
    <w:rsid w:val="00A57A9E"/>
    <w:rsid w:val="00A722C5"/>
    <w:rsid w:val="00A81840"/>
    <w:rsid w:val="00A826E0"/>
    <w:rsid w:val="00A83C5F"/>
    <w:rsid w:val="00A84199"/>
    <w:rsid w:val="00A859DC"/>
    <w:rsid w:val="00A86C9D"/>
    <w:rsid w:val="00A91F36"/>
    <w:rsid w:val="00A93A7F"/>
    <w:rsid w:val="00A975BA"/>
    <w:rsid w:val="00AB2669"/>
    <w:rsid w:val="00AB6B27"/>
    <w:rsid w:val="00AD16CC"/>
    <w:rsid w:val="00AD379C"/>
    <w:rsid w:val="00AD6012"/>
    <w:rsid w:val="00AE2C17"/>
    <w:rsid w:val="00AE4245"/>
    <w:rsid w:val="00AE5333"/>
    <w:rsid w:val="00AF196A"/>
    <w:rsid w:val="00AF4C39"/>
    <w:rsid w:val="00AF54E1"/>
    <w:rsid w:val="00B00947"/>
    <w:rsid w:val="00B039F2"/>
    <w:rsid w:val="00B04E81"/>
    <w:rsid w:val="00B14898"/>
    <w:rsid w:val="00B14E6B"/>
    <w:rsid w:val="00B17327"/>
    <w:rsid w:val="00B25335"/>
    <w:rsid w:val="00B26F69"/>
    <w:rsid w:val="00B457D5"/>
    <w:rsid w:val="00B47764"/>
    <w:rsid w:val="00B4784E"/>
    <w:rsid w:val="00B52D63"/>
    <w:rsid w:val="00B55716"/>
    <w:rsid w:val="00B56E09"/>
    <w:rsid w:val="00B60776"/>
    <w:rsid w:val="00B80D2F"/>
    <w:rsid w:val="00B90EB4"/>
    <w:rsid w:val="00B9328B"/>
    <w:rsid w:val="00B97802"/>
    <w:rsid w:val="00BA227A"/>
    <w:rsid w:val="00BA3124"/>
    <w:rsid w:val="00BA37AA"/>
    <w:rsid w:val="00BA3F95"/>
    <w:rsid w:val="00BB2B84"/>
    <w:rsid w:val="00BB2B88"/>
    <w:rsid w:val="00BD1A43"/>
    <w:rsid w:val="00BD2100"/>
    <w:rsid w:val="00BD389A"/>
    <w:rsid w:val="00BD69CD"/>
    <w:rsid w:val="00BD7429"/>
    <w:rsid w:val="00BE2F9C"/>
    <w:rsid w:val="00BE4EE5"/>
    <w:rsid w:val="00BE6E33"/>
    <w:rsid w:val="00BF1E79"/>
    <w:rsid w:val="00BF3812"/>
    <w:rsid w:val="00BF4099"/>
    <w:rsid w:val="00C0137F"/>
    <w:rsid w:val="00C07A4F"/>
    <w:rsid w:val="00C16F2A"/>
    <w:rsid w:val="00C17B8D"/>
    <w:rsid w:val="00C244BA"/>
    <w:rsid w:val="00C254EC"/>
    <w:rsid w:val="00C25AD7"/>
    <w:rsid w:val="00C309BF"/>
    <w:rsid w:val="00C3605A"/>
    <w:rsid w:val="00C377F4"/>
    <w:rsid w:val="00C4070E"/>
    <w:rsid w:val="00C43F1B"/>
    <w:rsid w:val="00C445B6"/>
    <w:rsid w:val="00C44BE4"/>
    <w:rsid w:val="00C44D65"/>
    <w:rsid w:val="00C46568"/>
    <w:rsid w:val="00C524FA"/>
    <w:rsid w:val="00C557E5"/>
    <w:rsid w:val="00C60519"/>
    <w:rsid w:val="00C636A8"/>
    <w:rsid w:val="00C64C38"/>
    <w:rsid w:val="00C66C46"/>
    <w:rsid w:val="00C71AAD"/>
    <w:rsid w:val="00C7432E"/>
    <w:rsid w:val="00C76FE6"/>
    <w:rsid w:val="00C808DC"/>
    <w:rsid w:val="00C8124B"/>
    <w:rsid w:val="00C82642"/>
    <w:rsid w:val="00C91765"/>
    <w:rsid w:val="00CA3F44"/>
    <w:rsid w:val="00CA4DB7"/>
    <w:rsid w:val="00CA6CAC"/>
    <w:rsid w:val="00CA6EB8"/>
    <w:rsid w:val="00CA780A"/>
    <w:rsid w:val="00CB3033"/>
    <w:rsid w:val="00CB3C9F"/>
    <w:rsid w:val="00CB5F47"/>
    <w:rsid w:val="00CC18DB"/>
    <w:rsid w:val="00CC46A2"/>
    <w:rsid w:val="00CC6D92"/>
    <w:rsid w:val="00CD29FB"/>
    <w:rsid w:val="00CD39CB"/>
    <w:rsid w:val="00CE01EF"/>
    <w:rsid w:val="00CE15CA"/>
    <w:rsid w:val="00CE5A2A"/>
    <w:rsid w:val="00CF001A"/>
    <w:rsid w:val="00CF0449"/>
    <w:rsid w:val="00CF355D"/>
    <w:rsid w:val="00CF6341"/>
    <w:rsid w:val="00CF6D9F"/>
    <w:rsid w:val="00D0202D"/>
    <w:rsid w:val="00D1167E"/>
    <w:rsid w:val="00D1571D"/>
    <w:rsid w:val="00D21E36"/>
    <w:rsid w:val="00D2321E"/>
    <w:rsid w:val="00D23492"/>
    <w:rsid w:val="00D238D1"/>
    <w:rsid w:val="00D26520"/>
    <w:rsid w:val="00D277F8"/>
    <w:rsid w:val="00D300DD"/>
    <w:rsid w:val="00D41967"/>
    <w:rsid w:val="00D42873"/>
    <w:rsid w:val="00D479CD"/>
    <w:rsid w:val="00D63675"/>
    <w:rsid w:val="00D70859"/>
    <w:rsid w:val="00D743C8"/>
    <w:rsid w:val="00D829D0"/>
    <w:rsid w:val="00D841A1"/>
    <w:rsid w:val="00D8575B"/>
    <w:rsid w:val="00D92C17"/>
    <w:rsid w:val="00D930BB"/>
    <w:rsid w:val="00D93779"/>
    <w:rsid w:val="00D95A4C"/>
    <w:rsid w:val="00DA07D4"/>
    <w:rsid w:val="00DA6D90"/>
    <w:rsid w:val="00DB02BD"/>
    <w:rsid w:val="00DB181C"/>
    <w:rsid w:val="00DC21C4"/>
    <w:rsid w:val="00DD0653"/>
    <w:rsid w:val="00DD4979"/>
    <w:rsid w:val="00DE0420"/>
    <w:rsid w:val="00DE0B21"/>
    <w:rsid w:val="00DE249D"/>
    <w:rsid w:val="00DE2C85"/>
    <w:rsid w:val="00DE2F1B"/>
    <w:rsid w:val="00DE345F"/>
    <w:rsid w:val="00DE415B"/>
    <w:rsid w:val="00DF4D3D"/>
    <w:rsid w:val="00E0139F"/>
    <w:rsid w:val="00E04742"/>
    <w:rsid w:val="00E04F5E"/>
    <w:rsid w:val="00E13425"/>
    <w:rsid w:val="00E167F2"/>
    <w:rsid w:val="00E255AC"/>
    <w:rsid w:val="00E26053"/>
    <w:rsid w:val="00E27A29"/>
    <w:rsid w:val="00E33009"/>
    <w:rsid w:val="00E33B9F"/>
    <w:rsid w:val="00E447F5"/>
    <w:rsid w:val="00E449D8"/>
    <w:rsid w:val="00E45D74"/>
    <w:rsid w:val="00E46F92"/>
    <w:rsid w:val="00E51F99"/>
    <w:rsid w:val="00E52414"/>
    <w:rsid w:val="00E55177"/>
    <w:rsid w:val="00E55763"/>
    <w:rsid w:val="00E57591"/>
    <w:rsid w:val="00E606AF"/>
    <w:rsid w:val="00E65741"/>
    <w:rsid w:val="00E72F1F"/>
    <w:rsid w:val="00E74E5E"/>
    <w:rsid w:val="00E763ED"/>
    <w:rsid w:val="00E77E32"/>
    <w:rsid w:val="00E80C49"/>
    <w:rsid w:val="00E8709E"/>
    <w:rsid w:val="00E9013C"/>
    <w:rsid w:val="00E93BCC"/>
    <w:rsid w:val="00E96E54"/>
    <w:rsid w:val="00EA435E"/>
    <w:rsid w:val="00EA77BF"/>
    <w:rsid w:val="00EB33B2"/>
    <w:rsid w:val="00EB3856"/>
    <w:rsid w:val="00EC2D7B"/>
    <w:rsid w:val="00EC7E4D"/>
    <w:rsid w:val="00ED1949"/>
    <w:rsid w:val="00ED5241"/>
    <w:rsid w:val="00ED7DBB"/>
    <w:rsid w:val="00EE337E"/>
    <w:rsid w:val="00EE40A3"/>
    <w:rsid w:val="00EF20F4"/>
    <w:rsid w:val="00EF5BD9"/>
    <w:rsid w:val="00EF6456"/>
    <w:rsid w:val="00F033BD"/>
    <w:rsid w:val="00F03FDC"/>
    <w:rsid w:val="00F04816"/>
    <w:rsid w:val="00F115E5"/>
    <w:rsid w:val="00F13E6A"/>
    <w:rsid w:val="00F1492D"/>
    <w:rsid w:val="00F2140E"/>
    <w:rsid w:val="00F24738"/>
    <w:rsid w:val="00F251C7"/>
    <w:rsid w:val="00F260FA"/>
    <w:rsid w:val="00F275D0"/>
    <w:rsid w:val="00F32218"/>
    <w:rsid w:val="00F331FE"/>
    <w:rsid w:val="00F344D6"/>
    <w:rsid w:val="00F37250"/>
    <w:rsid w:val="00F3752A"/>
    <w:rsid w:val="00F377C3"/>
    <w:rsid w:val="00F41ABA"/>
    <w:rsid w:val="00F43D41"/>
    <w:rsid w:val="00F52E71"/>
    <w:rsid w:val="00F60226"/>
    <w:rsid w:val="00F603CC"/>
    <w:rsid w:val="00F6196F"/>
    <w:rsid w:val="00F65540"/>
    <w:rsid w:val="00F831B3"/>
    <w:rsid w:val="00F8733F"/>
    <w:rsid w:val="00F94057"/>
    <w:rsid w:val="00F94095"/>
    <w:rsid w:val="00FB3AAB"/>
    <w:rsid w:val="00FB6078"/>
    <w:rsid w:val="00FC01EA"/>
    <w:rsid w:val="00FC02B4"/>
    <w:rsid w:val="00FD1370"/>
    <w:rsid w:val="00FD5F55"/>
    <w:rsid w:val="00FE29B4"/>
    <w:rsid w:val="00FE3364"/>
    <w:rsid w:val="00FE411B"/>
    <w:rsid w:val="00FE6711"/>
    <w:rsid w:val="00FE7F30"/>
    <w:rsid w:val="00FF09DD"/>
    <w:rsid w:val="00FF2D5E"/>
    <w:rsid w:val="00FF3FB5"/>
    <w:rsid w:val="00FF4DC8"/>
    <w:rsid w:val="012B6109"/>
    <w:rsid w:val="01510E24"/>
    <w:rsid w:val="01520984"/>
    <w:rsid w:val="019329A5"/>
    <w:rsid w:val="01962088"/>
    <w:rsid w:val="01A323DA"/>
    <w:rsid w:val="02072DA6"/>
    <w:rsid w:val="032019A1"/>
    <w:rsid w:val="03282608"/>
    <w:rsid w:val="035C25D6"/>
    <w:rsid w:val="035D3B10"/>
    <w:rsid w:val="03707484"/>
    <w:rsid w:val="03F66836"/>
    <w:rsid w:val="042D561D"/>
    <w:rsid w:val="0430243C"/>
    <w:rsid w:val="04424776"/>
    <w:rsid w:val="04587CB5"/>
    <w:rsid w:val="046D4A6B"/>
    <w:rsid w:val="049E0ADC"/>
    <w:rsid w:val="04C82C90"/>
    <w:rsid w:val="04F204E7"/>
    <w:rsid w:val="053F3B79"/>
    <w:rsid w:val="054144F3"/>
    <w:rsid w:val="0542495C"/>
    <w:rsid w:val="05467FFC"/>
    <w:rsid w:val="05486EA1"/>
    <w:rsid w:val="059F6DBE"/>
    <w:rsid w:val="05AA06D9"/>
    <w:rsid w:val="05FA1F72"/>
    <w:rsid w:val="060908D8"/>
    <w:rsid w:val="06170E53"/>
    <w:rsid w:val="06186CDF"/>
    <w:rsid w:val="061B4D44"/>
    <w:rsid w:val="06376EE6"/>
    <w:rsid w:val="067D5AB8"/>
    <w:rsid w:val="068F38BB"/>
    <w:rsid w:val="06AB3784"/>
    <w:rsid w:val="06EC1F16"/>
    <w:rsid w:val="0727182A"/>
    <w:rsid w:val="073F55A0"/>
    <w:rsid w:val="075E4CF7"/>
    <w:rsid w:val="07B2788E"/>
    <w:rsid w:val="07B87DE1"/>
    <w:rsid w:val="07D55728"/>
    <w:rsid w:val="07F22630"/>
    <w:rsid w:val="080D2924"/>
    <w:rsid w:val="081C20E1"/>
    <w:rsid w:val="083406E4"/>
    <w:rsid w:val="08411F13"/>
    <w:rsid w:val="08504FF6"/>
    <w:rsid w:val="08C624E5"/>
    <w:rsid w:val="08D553D1"/>
    <w:rsid w:val="090713ED"/>
    <w:rsid w:val="090B00E0"/>
    <w:rsid w:val="093F343F"/>
    <w:rsid w:val="0968487A"/>
    <w:rsid w:val="096C717A"/>
    <w:rsid w:val="09901D2C"/>
    <w:rsid w:val="09E16531"/>
    <w:rsid w:val="0A73194B"/>
    <w:rsid w:val="0A744159"/>
    <w:rsid w:val="0A7A1B25"/>
    <w:rsid w:val="0A856D3C"/>
    <w:rsid w:val="0A963036"/>
    <w:rsid w:val="0A9A4021"/>
    <w:rsid w:val="0AF033D2"/>
    <w:rsid w:val="0AF560D9"/>
    <w:rsid w:val="0B263B1A"/>
    <w:rsid w:val="0BB9606D"/>
    <w:rsid w:val="0BC81237"/>
    <w:rsid w:val="0BDC6BA9"/>
    <w:rsid w:val="0BDD795E"/>
    <w:rsid w:val="0C30706F"/>
    <w:rsid w:val="0C433434"/>
    <w:rsid w:val="0C4524F8"/>
    <w:rsid w:val="0C6E782F"/>
    <w:rsid w:val="0CAD2393"/>
    <w:rsid w:val="0CD54CD1"/>
    <w:rsid w:val="0D0B713D"/>
    <w:rsid w:val="0D3B34DC"/>
    <w:rsid w:val="0D460BF6"/>
    <w:rsid w:val="0D722424"/>
    <w:rsid w:val="0D8946F5"/>
    <w:rsid w:val="0D9A4461"/>
    <w:rsid w:val="0DA403AF"/>
    <w:rsid w:val="0DA95334"/>
    <w:rsid w:val="0E5D30FD"/>
    <w:rsid w:val="0E8A1C02"/>
    <w:rsid w:val="0EF10E0A"/>
    <w:rsid w:val="0F2E3CF1"/>
    <w:rsid w:val="0F3C4509"/>
    <w:rsid w:val="0F44345E"/>
    <w:rsid w:val="0F470958"/>
    <w:rsid w:val="0F672DA8"/>
    <w:rsid w:val="0F865FA4"/>
    <w:rsid w:val="0FB4500B"/>
    <w:rsid w:val="0FD41F60"/>
    <w:rsid w:val="104239D8"/>
    <w:rsid w:val="104C6AD5"/>
    <w:rsid w:val="105E23FD"/>
    <w:rsid w:val="10652B43"/>
    <w:rsid w:val="10763205"/>
    <w:rsid w:val="10765998"/>
    <w:rsid w:val="10A72DBE"/>
    <w:rsid w:val="10A874AF"/>
    <w:rsid w:val="10C761F4"/>
    <w:rsid w:val="10CF28D9"/>
    <w:rsid w:val="10D07D9F"/>
    <w:rsid w:val="10D534BF"/>
    <w:rsid w:val="1116369A"/>
    <w:rsid w:val="112F2E0D"/>
    <w:rsid w:val="120952CF"/>
    <w:rsid w:val="120B1485"/>
    <w:rsid w:val="122D3389"/>
    <w:rsid w:val="123C06E3"/>
    <w:rsid w:val="12445B3A"/>
    <w:rsid w:val="129C4D53"/>
    <w:rsid w:val="12D2386F"/>
    <w:rsid w:val="12F02051"/>
    <w:rsid w:val="12F072BC"/>
    <w:rsid w:val="12FB43CE"/>
    <w:rsid w:val="130568FD"/>
    <w:rsid w:val="13433B2C"/>
    <w:rsid w:val="13620B41"/>
    <w:rsid w:val="139B0387"/>
    <w:rsid w:val="13B0681A"/>
    <w:rsid w:val="142F43C4"/>
    <w:rsid w:val="143C2580"/>
    <w:rsid w:val="144E2788"/>
    <w:rsid w:val="14536ED8"/>
    <w:rsid w:val="14636417"/>
    <w:rsid w:val="146D7300"/>
    <w:rsid w:val="149500AA"/>
    <w:rsid w:val="14C9591E"/>
    <w:rsid w:val="14D43DD6"/>
    <w:rsid w:val="14D62EA9"/>
    <w:rsid w:val="14E36C85"/>
    <w:rsid w:val="151B5E33"/>
    <w:rsid w:val="154E1767"/>
    <w:rsid w:val="15501FFE"/>
    <w:rsid w:val="15A27712"/>
    <w:rsid w:val="15E44803"/>
    <w:rsid w:val="15F66EA1"/>
    <w:rsid w:val="15FF66D4"/>
    <w:rsid w:val="165046E5"/>
    <w:rsid w:val="165D4F05"/>
    <w:rsid w:val="16625173"/>
    <w:rsid w:val="16724319"/>
    <w:rsid w:val="16944839"/>
    <w:rsid w:val="16C3199E"/>
    <w:rsid w:val="16ED01FA"/>
    <w:rsid w:val="16FB1BF9"/>
    <w:rsid w:val="172B142A"/>
    <w:rsid w:val="179C06B5"/>
    <w:rsid w:val="17AC1CA0"/>
    <w:rsid w:val="17E53456"/>
    <w:rsid w:val="17ED6675"/>
    <w:rsid w:val="17EF691A"/>
    <w:rsid w:val="17FC6A48"/>
    <w:rsid w:val="181957D2"/>
    <w:rsid w:val="1847008B"/>
    <w:rsid w:val="18625FC3"/>
    <w:rsid w:val="18C516A3"/>
    <w:rsid w:val="196547FC"/>
    <w:rsid w:val="197F543A"/>
    <w:rsid w:val="199E7D0E"/>
    <w:rsid w:val="1A137426"/>
    <w:rsid w:val="1A260C2C"/>
    <w:rsid w:val="1A357737"/>
    <w:rsid w:val="1A566099"/>
    <w:rsid w:val="1A622AE9"/>
    <w:rsid w:val="1A85513A"/>
    <w:rsid w:val="1A8C69FF"/>
    <w:rsid w:val="1AAA5078"/>
    <w:rsid w:val="1AE1595C"/>
    <w:rsid w:val="1B707F2F"/>
    <w:rsid w:val="1BB2768B"/>
    <w:rsid w:val="1BE20386"/>
    <w:rsid w:val="1BE2175F"/>
    <w:rsid w:val="1BEB2CE4"/>
    <w:rsid w:val="1BF25578"/>
    <w:rsid w:val="1BF42D46"/>
    <w:rsid w:val="1BFD589E"/>
    <w:rsid w:val="1C6404FD"/>
    <w:rsid w:val="1C9B0458"/>
    <w:rsid w:val="1C9D5011"/>
    <w:rsid w:val="1CB24EC6"/>
    <w:rsid w:val="1CB6167C"/>
    <w:rsid w:val="1CDF113F"/>
    <w:rsid w:val="1D1D4945"/>
    <w:rsid w:val="1D2E3157"/>
    <w:rsid w:val="1D303AF9"/>
    <w:rsid w:val="1D8F34DF"/>
    <w:rsid w:val="1D9E02DC"/>
    <w:rsid w:val="1DD40699"/>
    <w:rsid w:val="1E0F4855"/>
    <w:rsid w:val="1E4C7D38"/>
    <w:rsid w:val="1E707ECB"/>
    <w:rsid w:val="1E8A3476"/>
    <w:rsid w:val="1EAC1F6D"/>
    <w:rsid w:val="1EB04FC8"/>
    <w:rsid w:val="1EB12287"/>
    <w:rsid w:val="1EF2515C"/>
    <w:rsid w:val="1F2161D9"/>
    <w:rsid w:val="1F3918BF"/>
    <w:rsid w:val="1F50442B"/>
    <w:rsid w:val="1F6E6523"/>
    <w:rsid w:val="1F78690B"/>
    <w:rsid w:val="1F857484"/>
    <w:rsid w:val="1FDC6035"/>
    <w:rsid w:val="202076CF"/>
    <w:rsid w:val="20583C4E"/>
    <w:rsid w:val="207F153A"/>
    <w:rsid w:val="208232A8"/>
    <w:rsid w:val="20B72AF8"/>
    <w:rsid w:val="20BA5CB1"/>
    <w:rsid w:val="20EC0A00"/>
    <w:rsid w:val="212E1A9B"/>
    <w:rsid w:val="2133621D"/>
    <w:rsid w:val="21501526"/>
    <w:rsid w:val="219268C5"/>
    <w:rsid w:val="21BE59FA"/>
    <w:rsid w:val="226403BF"/>
    <w:rsid w:val="22A064F2"/>
    <w:rsid w:val="22F56BF1"/>
    <w:rsid w:val="2326070D"/>
    <w:rsid w:val="232A4F0D"/>
    <w:rsid w:val="232D40D2"/>
    <w:rsid w:val="234E1072"/>
    <w:rsid w:val="235449F4"/>
    <w:rsid w:val="23820F9F"/>
    <w:rsid w:val="23B45C74"/>
    <w:rsid w:val="23BA4FAC"/>
    <w:rsid w:val="23C72C41"/>
    <w:rsid w:val="23DF0FA6"/>
    <w:rsid w:val="241049E0"/>
    <w:rsid w:val="246D2D1F"/>
    <w:rsid w:val="24C27BF4"/>
    <w:rsid w:val="24CD47BB"/>
    <w:rsid w:val="24D04FE4"/>
    <w:rsid w:val="24DA58FB"/>
    <w:rsid w:val="24E76A0D"/>
    <w:rsid w:val="24FA7833"/>
    <w:rsid w:val="250579C6"/>
    <w:rsid w:val="25330F6D"/>
    <w:rsid w:val="253874D7"/>
    <w:rsid w:val="254E75BA"/>
    <w:rsid w:val="2559015C"/>
    <w:rsid w:val="25B24725"/>
    <w:rsid w:val="25C550B5"/>
    <w:rsid w:val="25C919D7"/>
    <w:rsid w:val="25CA0BE6"/>
    <w:rsid w:val="261135DF"/>
    <w:rsid w:val="263847B2"/>
    <w:rsid w:val="26660C06"/>
    <w:rsid w:val="26745FAB"/>
    <w:rsid w:val="269A0FAE"/>
    <w:rsid w:val="26A55F90"/>
    <w:rsid w:val="26AC1C33"/>
    <w:rsid w:val="26D2362A"/>
    <w:rsid w:val="26D27249"/>
    <w:rsid w:val="26F4306F"/>
    <w:rsid w:val="271B1D7E"/>
    <w:rsid w:val="272D1A40"/>
    <w:rsid w:val="27494F8C"/>
    <w:rsid w:val="2775331C"/>
    <w:rsid w:val="279F149A"/>
    <w:rsid w:val="27A42993"/>
    <w:rsid w:val="27BA4FDA"/>
    <w:rsid w:val="27C50B33"/>
    <w:rsid w:val="27D849E7"/>
    <w:rsid w:val="28150F97"/>
    <w:rsid w:val="282F50A1"/>
    <w:rsid w:val="284F07F4"/>
    <w:rsid w:val="28773D63"/>
    <w:rsid w:val="289D137F"/>
    <w:rsid w:val="28B55D43"/>
    <w:rsid w:val="28CD7C6F"/>
    <w:rsid w:val="28D37C2F"/>
    <w:rsid w:val="28D52251"/>
    <w:rsid w:val="28EF40E2"/>
    <w:rsid w:val="291C749B"/>
    <w:rsid w:val="29225E47"/>
    <w:rsid w:val="2975317C"/>
    <w:rsid w:val="297E09B3"/>
    <w:rsid w:val="297E3C2D"/>
    <w:rsid w:val="29F06185"/>
    <w:rsid w:val="2A2468FE"/>
    <w:rsid w:val="2AB4113F"/>
    <w:rsid w:val="2AED4B93"/>
    <w:rsid w:val="2AF542E5"/>
    <w:rsid w:val="2B793DE2"/>
    <w:rsid w:val="2B9B4877"/>
    <w:rsid w:val="2BCE3C1B"/>
    <w:rsid w:val="2C1F694E"/>
    <w:rsid w:val="2C576FB2"/>
    <w:rsid w:val="2CEE44AC"/>
    <w:rsid w:val="2D0177B9"/>
    <w:rsid w:val="2D3B3D01"/>
    <w:rsid w:val="2D4670FA"/>
    <w:rsid w:val="2D812157"/>
    <w:rsid w:val="2D9D6EA5"/>
    <w:rsid w:val="2DE251A8"/>
    <w:rsid w:val="2DE87A01"/>
    <w:rsid w:val="2DF07516"/>
    <w:rsid w:val="2E231425"/>
    <w:rsid w:val="2E312858"/>
    <w:rsid w:val="2E8C34A7"/>
    <w:rsid w:val="2E99443D"/>
    <w:rsid w:val="2E9A7103"/>
    <w:rsid w:val="2EE3459E"/>
    <w:rsid w:val="2F4930A6"/>
    <w:rsid w:val="2F4B0E90"/>
    <w:rsid w:val="2F6009F2"/>
    <w:rsid w:val="2F6D548D"/>
    <w:rsid w:val="2FBF69D6"/>
    <w:rsid w:val="30243168"/>
    <w:rsid w:val="30781380"/>
    <w:rsid w:val="30FA3624"/>
    <w:rsid w:val="31104BF6"/>
    <w:rsid w:val="31212809"/>
    <w:rsid w:val="31391096"/>
    <w:rsid w:val="31682C84"/>
    <w:rsid w:val="31A66043"/>
    <w:rsid w:val="31DC292D"/>
    <w:rsid w:val="31E62D82"/>
    <w:rsid w:val="32200EB6"/>
    <w:rsid w:val="32217EE9"/>
    <w:rsid w:val="32847C06"/>
    <w:rsid w:val="329354E9"/>
    <w:rsid w:val="329F3000"/>
    <w:rsid w:val="32E427DE"/>
    <w:rsid w:val="32F50D55"/>
    <w:rsid w:val="32FD564D"/>
    <w:rsid w:val="339A574D"/>
    <w:rsid w:val="33C543BD"/>
    <w:rsid w:val="33F97AF4"/>
    <w:rsid w:val="344358DC"/>
    <w:rsid w:val="3446112A"/>
    <w:rsid w:val="34897199"/>
    <w:rsid w:val="34B87A7E"/>
    <w:rsid w:val="34C4224C"/>
    <w:rsid w:val="34C53C92"/>
    <w:rsid w:val="354370E8"/>
    <w:rsid w:val="3547436D"/>
    <w:rsid w:val="35A14EEB"/>
    <w:rsid w:val="35AE16F1"/>
    <w:rsid w:val="35DF7FA6"/>
    <w:rsid w:val="35E20F2D"/>
    <w:rsid w:val="35FB4823"/>
    <w:rsid w:val="36065CF1"/>
    <w:rsid w:val="36137A9E"/>
    <w:rsid w:val="36214796"/>
    <w:rsid w:val="36256A80"/>
    <w:rsid w:val="365B233B"/>
    <w:rsid w:val="36A57EF9"/>
    <w:rsid w:val="36B1414C"/>
    <w:rsid w:val="36C84D74"/>
    <w:rsid w:val="36D6068F"/>
    <w:rsid w:val="36E246BD"/>
    <w:rsid w:val="37484D63"/>
    <w:rsid w:val="37A03152"/>
    <w:rsid w:val="37B06191"/>
    <w:rsid w:val="37BF1F63"/>
    <w:rsid w:val="37CA1D8D"/>
    <w:rsid w:val="37FC0885"/>
    <w:rsid w:val="3804341B"/>
    <w:rsid w:val="3837515E"/>
    <w:rsid w:val="38377A2C"/>
    <w:rsid w:val="38486BCD"/>
    <w:rsid w:val="3885750C"/>
    <w:rsid w:val="3895372D"/>
    <w:rsid w:val="38B86ECA"/>
    <w:rsid w:val="38EE1EE1"/>
    <w:rsid w:val="391579F9"/>
    <w:rsid w:val="39227BBC"/>
    <w:rsid w:val="397C53FD"/>
    <w:rsid w:val="39993C1B"/>
    <w:rsid w:val="39A04AD0"/>
    <w:rsid w:val="39A20ADF"/>
    <w:rsid w:val="39C1450B"/>
    <w:rsid w:val="39D666E1"/>
    <w:rsid w:val="3A0D7CAA"/>
    <w:rsid w:val="3A431A1B"/>
    <w:rsid w:val="3AA712B6"/>
    <w:rsid w:val="3AEC50AC"/>
    <w:rsid w:val="3B246A26"/>
    <w:rsid w:val="3B5F255A"/>
    <w:rsid w:val="3B921060"/>
    <w:rsid w:val="3B9A40B9"/>
    <w:rsid w:val="3BD3519D"/>
    <w:rsid w:val="3BF311F4"/>
    <w:rsid w:val="3C183281"/>
    <w:rsid w:val="3C5924A5"/>
    <w:rsid w:val="3C6D6A9B"/>
    <w:rsid w:val="3CA73DED"/>
    <w:rsid w:val="3CC55FAD"/>
    <w:rsid w:val="3CCA42D6"/>
    <w:rsid w:val="3CEB30EB"/>
    <w:rsid w:val="3CEE45CB"/>
    <w:rsid w:val="3D15449A"/>
    <w:rsid w:val="3D66620A"/>
    <w:rsid w:val="3D9961F1"/>
    <w:rsid w:val="3DA164A9"/>
    <w:rsid w:val="3DA7050F"/>
    <w:rsid w:val="3E480748"/>
    <w:rsid w:val="3E6624B1"/>
    <w:rsid w:val="3E6D3CFD"/>
    <w:rsid w:val="3E781BD9"/>
    <w:rsid w:val="3E8409D1"/>
    <w:rsid w:val="3EA25C8F"/>
    <w:rsid w:val="3EEE5C5C"/>
    <w:rsid w:val="3EEF0FB1"/>
    <w:rsid w:val="3F1E7077"/>
    <w:rsid w:val="3F4C14EF"/>
    <w:rsid w:val="3F531EAE"/>
    <w:rsid w:val="3F572900"/>
    <w:rsid w:val="3F8556E5"/>
    <w:rsid w:val="3F9532D6"/>
    <w:rsid w:val="3FA6783D"/>
    <w:rsid w:val="3FB40A2D"/>
    <w:rsid w:val="3FF14EF0"/>
    <w:rsid w:val="40152662"/>
    <w:rsid w:val="402B2B20"/>
    <w:rsid w:val="403376E6"/>
    <w:rsid w:val="40552625"/>
    <w:rsid w:val="406275B5"/>
    <w:rsid w:val="40701C02"/>
    <w:rsid w:val="40742CC1"/>
    <w:rsid w:val="407C22A8"/>
    <w:rsid w:val="408C7DEA"/>
    <w:rsid w:val="40A37F4F"/>
    <w:rsid w:val="40C87718"/>
    <w:rsid w:val="40D57DED"/>
    <w:rsid w:val="41760883"/>
    <w:rsid w:val="417D4A16"/>
    <w:rsid w:val="419E7F7B"/>
    <w:rsid w:val="41C3133E"/>
    <w:rsid w:val="41D21F6C"/>
    <w:rsid w:val="41FA18E7"/>
    <w:rsid w:val="42200EF3"/>
    <w:rsid w:val="42316242"/>
    <w:rsid w:val="42584B22"/>
    <w:rsid w:val="42750EBF"/>
    <w:rsid w:val="42A247DF"/>
    <w:rsid w:val="42A862DA"/>
    <w:rsid w:val="42BB5289"/>
    <w:rsid w:val="43051433"/>
    <w:rsid w:val="43426996"/>
    <w:rsid w:val="437365FA"/>
    <w:rsid w:val="43B35173"/>
    <w:rsid w:val="43C30EBE"/>
    <w:rsid w:val="43D14A90"/>
    <w:rsid w:val="43DB4C22"/>
    <w:rsid w:val="43FE02FC"/>
    <w:rsid w:val="44284A14"/>
    <w:rsid w:val="44773100"/>
    <w:rsid w:val="447952F1"/>
    <w:rsid w:val="44B64AF8"/>
    <w:rsid w:val="44C909DD"/>
    <w:rsid w:val="45225D25"/>
    <w:rsid w:val="453467CE"/>
    <w:rsid w:val="453E696F"/>
    <w:rsid w:val="45C75D73"/>
    <w:rsid w:val="45D176CB"/>
    <w:rsid w:val="46454598"/>
    <w:rsid w:val="465670F7"/>
    <w:rsid w:val="46650750"/>
    <w:rsid w:val="46741FAB"/>
    <w:rsid w:val="46C92F6B"/>
    <w:rsid w:val="46DC4328"/>
    <w:rsid w:val="470B5379"/>
    <w:rsid w:val="471F7875"/>
    <w:rsid w:val="47370599"/>
    <w:rsid w:val="475C2FE5"/>
    <w:rsid w:val="47637D10"/>
    <w:rsid w:val="47CA2A27"/>
    <w:rsid w:val="47E21FB4"/>
    <w:rsid w:val="47E86D50"/>
    <w:rsid w:val="47F6064A"/>
    <w:rsid w:val="480D406B"/>
    <w:rsid w:val="483A4C5A"/>
    <w:rsid w:val="48784301"/>
    <w:rsid w:val="48932A4E"/>
    <w:rsid w:val="489B5BB8"/>
    <w:rsid w:val="48BA55ED"/>
    <w:rsid w:val="48C62A70"/>
    <w:rsid w:val="48ED191F"/>
    <w:rsid w:val="495B6211"/>
    <w:rsid w:val="49667539"/>
    <w:rsid w:val="49D7054F"/>
    <w:rsid w:val="4A0A4C1D"/>
    <w:rsid w:val="4A285AFA"/>
    <w:rsid w:val="4A405D06"/>
    <w:rsid w:val="4A99461D"/>
    <w:rsid w:val="4AB443EC"/>
    <w:rsid w:val="4AE13F0A"/>
    <w:rsid w:val="4B2642F9"/>
    <w:rsid w:val="4B8D4D7F"/>
    <w:rsid w:val="4B982F79"/>
    <w:rsid w:val="4BB06A3A"/>
    <w:rsid w:val="4BB65367"/>
    <w:rsid w:val="4BE65764"/>
    <w:rsid w:val="4BFF3A56"/>
    <w:rsid w:val="4C15710C"/>
    <w:rsid w:val="4C216369"/>
    <w:rsid w:val="4C4369D8"/>
    <w:rsid w:val="4C5A0D78"/>
    <w:rsid w:val="4C8517C2"/>
    <w:rsid w:val="4CA26BF2"/>
    <w:rsid w:val="4CA50870"/>
    <w:rsid w:val="4CC87D28"/>
    <w:rsid w:val="4CF64C06"/>
    <w:rsid w:val="4D046B02"/>
    <w:rsid w:val="4D106D03"/>
    <w:rsid w:val="4D1F1754"/>
    <w:rsid w:val="4D3A02FB"/>
    <w:rsid w:val="4D5360B9"/>
    <w:rsid w:val="4D6D179A"/>
    <w:rsid w:val="4D975904"/>
    <w:rsid w:val="4DBD7B16"/>
    <w:rsid w:val="4DCA05DE"/>
    <w:rsid w:val="4DD445DF"/>
    <w:rsid w:val="4E4A1924"/>
    <w:rsid w:val="4E654FCA"/>
    <w:rsid w:val="4E9B4558"/>
    <w:rsid w:val="4EA35120"/>
    <w:rsid w:val="4ED26609"/>
    <w:rsid w:val="4ED337AB"/>
    <w:rsid w:val="4EEB3C72"/>
    <w:rsid w:val="4F022300"/>
    <w:rsid w:val="4F123AA0"/>
    <w:rsid w:val="4F33665D"/>
    <w:rsid w:val="4F503A8B"/>
    <w:rsid w:val="4FC66D14"/>
    <w:rsid w:val="4FE10AD9"/>
    <w:rsid w:val="501F4823"/>
    <w:rsid w:val="50A373DC"/>
    <w:rsid w:val="50BA4A91"/>
    <w:rsid w:val="50C0601A"/>
    <w:rsid w:val="50D97D79"/>
    <w:rsid w:val="50EE6E3E"/>
    <w:rsid w:val="5147161E"/>
    <w:rsid w:val="51554BC8"/>
    <w:rsid w:val="51604423"/>
    <w:rsid w:val="51767DEE"/>
    <w:rsid w:val="51CD4841"/>
    <w:rsid w:val="51D264BA"/>
    <w:rsid w:val="51DE2421"/>
    <w:rsid w:val="5208061B"/>
    <w:rsid w:val="52297050"/>
    <w:rsid w:val="525B7F94"/>
    <w:rsid w:val="5288688A"/>
    <w:rsid w:val="528E739B"/>
    <w:rsid w:val="52AB2D91"/>
    <w:rsid w:val="52EA2FB0"/>
    <w:rsid w:val="52F90A07"/>
    <w:rsid w:val="531D4FB6"/>
    <w:rsid w:val="534933B3"/>
    <w:rsid w:val="535344CA"/>
    <w:rsid w:val="53632E43"/>
    <w:rsid w:val="536E16DD"/>
    <w:rsid w:val="53C227F4"/>
    <w:rsid w:val="53CF1C80"/>
    <w:rsid w:val="53D55AFF"/>
    <w:rsid w:val="53DC1473"/>
    <w:rsid w:val="541805B7"/>
    <w:rsid w:val="54622E41"/>
    <w:rsid w:val="54715BE7"/>
    <w:rsid w:val="54813591"/>
    <w:rsid w:val="548241FE"/>
    <w:rsid w:val="54886DA9"/>
    <w:rsid w:val="54AF548A"/>
    <w:rsid w:val="54C208A0"/>
    <w:rsid w:val="55142657"/>
    <w:rsid w:val="558A3625"/>
    <w:rsid w:val="55997C56"/>
    <w:rsid w:val="55FB55C5"/>
    <w:rsid w:val="56464418"/>
    <w:rsid w:val="565B157C"/>
    <w:rsid w:val="567E2D57"/>
    <w:rsid w:val="569927C0"/>
    <w:rsid w:val="569A20D0"/>
    <w:rsid w:val="56AE589B"/>
    <w:rsid w:val="56CC0127"/>
    <w:rsid w:val="56D36FB6"/>
    <w:rsid w:val="56F126CD"/>
    <w:rsid w:val="56F6594B"/>
    <w:rsid w:val="56FD45D9"/>
    <w:rsid w:val="5728537A"/>
    <w:rsid w:val="57297F4F"/>
    <w:rsid w:val="5763318B"/>
    <w:rsid w:val="57686B39"/>
    <w:rsid w:val="57821AC3"/>
    <w:rsid w:val="57AA08D3"/>
    <w:rsid w:val="57B93887"/>
    <w:rsid w:val="57CD7B7C"/>
    <w:rsid w:val="57DC3801"/>
    <w:rsid w:val="57E97DCB"/>
    <w:rsid w:val="57EE210F"/>
    <w:rsid w:val="584D3D9F"/>
    <w:rsid w:val="58622FAC"/>
    <w:rsid w:val="589E20E8"/>
    <w:rsid w:val="58B350A9"/>
    <w:rsid w:val="58DB3A29"/>
    <w:rsid w:val="590A6D78"/>
    <w:rsid w:val="593B24B9"/>
    <w:rsid w:val="59474E16"/>
    <w:rsid w:val="595F0805"/>
    <w:rsid w:val="596E34A4"/>
    <w:rsid w:val="59900C9A"/>
    <w:rsid w:val="59E0732E"/>
    <w:rsid w:val="59F864E1"/>
    <w:rsid w:val="5A306E3A"/>
    <w:rsid w:val="5A401E04"/>
    <w:rsid w:val="5A510CD4"/>
    <w:rsid w:val="5A5A3F08"/>
    <w:rsid w:val="5A6D3E49"/>
    <w:rsid w:val="5A751DEA"/>
    <w:rsid w:val="5A752C0B"/>
    <w:rsid w:val="5AE4104A"/>
    <w:rsid w:val="5AF91301"/>
    <w:rsid w:val="5B096777"/>
    <w:rsid w:val="5B8D60B7"/>
    <w:rsid w:val="5BAC35E9"/>
    <w:rsid w:val="5BB00BA9"/>
    <w:rsid w:val="5BDC650E"/>
    <w:rsid w:val="5C67011A"/>
    <w:rsid w:val="5C706C16"/>
    <w:rsid w:val="5C80125B"/>
    <w:rsid w:val="5CD54DC2"/>
    <w:rsid w:val="5D456799"/>
    <w:rsid w:val="5D706E84"/>
    <w:rsid w:val="5DCC3232"/>
    <w:rsid w:val="5DDF2D60"/>
    <w:rsid w:val="5DFE7A27"/>
    <w:rsid w:val="5DFF255D"/>
    <w:rsid w:val="5E12467F"/>
    <w:rsid w:val="5E144EED"/>
    <w:rsid w:val="5E821546"/>
    <w:rsid w:val="5EA274B7"/>
    <w:rsid w:val="5EAE3328"/>
    <w:rsid w:val="5EAF5BD7"/>
    <w:rsid w:val="5EC511F2"/>
    <w:rsid w:val="5EE00812"/>
    <w:rsid w:val="5F28609C"/>
    <w:rsid w:val="6014160A"/>
    <w:rsid w:val="602604C1"/>
    <w:rsid w:val="607801D8"/>
    <w:rsid w:val="60B537F7"/>
    <w:rsid w:val="60CB621F"/>
    <w:rsid w:val="60E530F9"/>
    <w:rsid w:val="60E943EC"/>
    <w:rsid w:val="612B7A00"/>
    <w:rsid w:val="613D1B98"/>
    <w:rsid w:val="614410DE"/>
    <w:rsid w:val="61590837"/>
    <w:rsid w:val="6165496B"/>
    <w:rsid w:val="61887584"/>
    <w:rsid w:val="61BA6082"/>
    <w:rsid w:val="61E13959"/>
    <w:rsid w:val="620C6313"/>
    <w:rsid w:val="62160255"/>
    <w:rsid w:val="6275173F"/>
    <w:rsid w:val="62D60EA9"/>
    <w:rsid w:val="63046BD9"/>
    <w:rsid w:val="630B71A6"/>
    <w:rsid w:val="63367F79"/>
    <w:rsid w:val="635E4DF1"/>
    <w:rsid w:val="635F14A0"/>
    <w:rsid w:val="63F34A0A"/>
    <w:rsid w:val="63F45CCF"/>
    <w:rsid w:val="641D0430"/>
    <w:rsid w:val="645D58AF"/>
    <w:rsid w:val="646C5301"/>
    <w:rsid w:val="64926D6E"/>
    <w:rsid w:val="64A22142"/>
    <w:rsid w:val="64AE2112"/>
    <w:rsid w:val="64CD786A"/>
    <w:rsid w:val="64E11AB4"/>
    <w:rsid w:val="64ED1AA2"/>
    <w:rsid w:val="653029F3"/>
    <w:rsid w:val="65575201"/>
    <w:rsid w:val="65605444"/>
    <w:rsid w:val="65762CF6"/>
    <w:rsid w:val="657713D3"/>
    <w:rsid w:val="65812F67"/>
    <w:rsid w:val="658E6F20"/>
    <w:rsid w:val="65986C21"/>
    <w:rsid w:val="65CA0140"/>
    <w:rsid w:val="65F43742"/>
    <w:rsid w:val="65FA0A80"/>
    <w:rsid w:val="66384F5D"/>
    <w:rsid w:val="665A5FCA"/>
    <w:rsid w:val="66BB5001"/>
    <w:rsid w:val="670561B8"/>
    <w:rsid w:val="670C13E0"/>
    <w:rsid w:val="67410FD1"/>
    <w:rsid w:val="67472338"/>
    <w:rsid w:val="67682603"/>
    <w:rsid w:val="67783F67"/>
    <w:rsid w:val="67A91928"/>
    <w:rsid w:val="67AC0C5E"/>
    <w:rsid w:val="67B06ED3"/>
    <w:rsid w:val="67B35EF8"/>
    <w:rsid w:val="68217CD4"/>
    <w:rsid w:val="68450202"/>
    <w:rsid w:val="68750751"/>
    <w:rsid w:val="68765FCE"/>
    <w:rsid w:val="68CA0D2B"/>
    <w:rsid w:val="68D454CA"/>
    <w:rsid w:val="68ED3493"/>
    <w:rsid w:val="694226AB"/>
    <w:rsid w:val="695928D6"/>
    <w:rsid w:val="69934905"/>
    <w:rsid w:val="69AD318D"/>
    <w:rsid w:val="69BA2CA3"/>
    <w:rsid w:val="69F60125"/>
    <w:rsid w:val="6A05359E"/>
    <w:rsid w:val="6A0D46DF"/>
    <w:rsid w:val="6A105C75"/>
    <w:rsid w:val="6A2560CB"/>
    <w:rsid w:val="6A4B0031"/>
    <w:rsid w:val="6A5C3BBB"/>
    <w:rsid w:val="6A7E5DD5"/>
    <w:rsid w:val="6A99538E"/>
    <w:rsid w:val="6ABA6AC1"/>
    <w:rsid w:val="6AC07219"/>
    <w:rsid w:val="6AD62431"/>
    <w:rsid w:val="6AE63548"/>
    <w:rsid w:val="6AFF24C6"/>
    <w:rsid w:val="6B02202D"/>
    <w:rsid w:val="6B552A1F"/>
    <w:rsid w:val="6B563760"/>
    <w:rsid w:val="6B8526BB"/>
    <w:rsid w:val="6BC931BE"/>
    <w:rsid w:val="6BDE7635"/>
    <w:rsid w:val="6BEB20C8"/>
    <w:rsid w:val="6C393F18"/>
    <w:rsid w:val="6C713D9C"/>
    <w:rsid w:val="6C8E0A47"/>
    <w:rsid w:val="6CDB5FC7"/>
    <w:rsid w:val="6CEE7966"/>
    <w:rsid w:val="6CFA2788"/>
    <w:rsid w:val="6D140010"/>
    <w:rsid w:val="6D354B3A"/>
    <w:rsid w:val="6D4A5C51"/>
    <w:rsid w:val="6D8179B0"/>
    <w:rsid w:val="6DB80833"/>
    <w:rsid w:val="6DBA1F83"/>
    <w:rsid w:val="6E773F0A"/>
    <w:rsid w:val="6E8A512E"/>
    <w:rsid w:val="6EAC6020"/>
    <w:rsid w:val="6EB56DC6"/>
    <w:rsid w:val="6F15210F"/>
    <w:rsid w:val="6F675967"/>
    <w:rsid w:val="6FBC68F2"/>
    <w:rsid w:val="6FEE29BF"/>
    <w:rsid w:val="70143327"/>
    <w:rsid w:val="7025052F"/>
    <w:rsid w:val="70360238"/>
    <w:rsid w:val="7064021E"/>
    <w:rsid w:val="70861D1B"/>
    <w:rsid w:val="70876C91"/>
    <w:rsid w:val="70882D5F"/>
    <w:rsid w:val="709E0937"/>
    <w:rsid w:val="70D85AF6"/>
    <w:rsid w:val="7101373C"/>
    <w:rsid w:val="7105585E"/>
    <w:rsid w:val="714123FB"/>
    <w:rsid w:val="71812D56"/>
    <w:rsid w:val="719E04D6"/>
    <w:rsid w:val="71AD1FE3"/>
    <w:rsid w:val="71AD3E88"/>
    <w:rsid w:val="71E349D1"/>
    <w:rsid w:val="726008C0"/>
    <w:rsid w:val="727F2C34"/>
    <w:rsid w:val="72BD6180"/>
    <w:rsid w:val="72E70F53"/>
    <w:rsid w:val="73223C91"/>
    <w:rsid w:val="735722D1"/>
    <w:rsid w:val="73716F0F"/>
    <w:rsid w:val="73A43A4B"/>
    <w:rsid w:val="73AD3661"/>
    <w:rsid w:val="73AD77F7"/>
    <w:rsid w:val="73BC23E0"/>
    <w:rsid w:val="73D75235"/>
    <w:rsid w:val="73F04059"/>
    <w:rsid w:val="740452A7"/>
    <w:rsid w:val="741B1689"/>
    <w:rsid w:val="742518B6"/>
    <w:rsid w:val="74281CDB"/>
    <w:rsid w:val="742E25B0"/>
    <w:rsid w:val="74D4598D"/>
    <w:rsid w:val="757B2BC6"/>
    <w:rsid w:val="757F5473"/>
    <w:rsid w:val="7592668B"/>
    <w:rsid w:val="759B2763"/>
    <w:rsid w:val="75D00144"/>
    <w:rsid w:val="75D94B83"/>
    <w:rsid w:val="76054240"/>
    <w:rsid w:val="760E383E"/>
    <w:rsid w:val="76621BF9"/>
    <w:rsid w:val="768079D3"/>
    <w:rsid w:val="76907830"/>
    <w:rsid w:val="769D50FB"/>
    <w:rsid w:val="770B0427"/>
    <w:rsid w:val="773D6122"/>
    <w:rsid w:val="775D6596"/>
    <w:rsid w:val="77872A52"/>
    <w:rsid w:val="778F58D2"/>
    <w:rsid w:val="779F6E9B"/>
    <w:rsid w:val="77A46B4A"/>
    <w:rsid w:val="77A837D5"/>
    <w:rsid w:val="77CB2BF1"/>
    <w:rsid w:val="77F70DF2"/>
    <w:rsid w:val="78085E3E"/>
    <w:rsid w:val="7813537D"/>
    <w:rsid w:val="78342D51"/>
    <w:rsid w:val="78435C2C"/>
    <w:rsid w:val="78A13CEB"/>
    <w:rsid w:val="78C53A2B"/>
    <w:rsid w:val="78C91608"/>
    <w:rsid w:val="78E61B9D"/>
    <w:rsid w:val="78F82C2B"/>
    <w:rsid w:val="7903112E"/>
    <w:rsid w:val="793F21EB"/>
    <w:rsid w:val="793F5645"/>
    <w:rsid w:val="797A05A8"/>
    <w:rsid w:val="797F52E9"/>
    <w:rsid w:val="798D4602"/>
    <w:rsid w:val="798F1F0E"/>
    <w:rsid w:val="79921806"/>
    <w:rsid w:val="79955761"/>
    <w:rsid w:val="79A32DEC"/>
    <w:rsid w:val="79D21891"/>
    <w:rsid w:val="7A132A4F"/>
    <w:rsid w:val="7A4B626B"/>
    <w:rsid w:val="7A4E6231"/>
    <w:rsid w:val="7A577833"/>
    <w:rsid w:val="7A5C69C3"/>
    <w:rsid w:val="7A7C6FD9"/>
    <w:rsid w:val="7A9A6E6C"/>
    <w:rsid w:val="7AF83CFD"/>
    <w:rsid w:val="7B3144B5"/>
    <w:rsid w:val="7B52116B"/>
    <w:rsid w:val="7B5A0DEA"/>
    <w:rsid w:val="7B946F49"/>
    <w:rsid w:val="7B9F5AE6"/>
    <w:rsid w:val="7BC02341"/>
    <w:rsid w:val="7BC938EC"/>
    <w:rsid w:val="7BCF7587"/>
    <w:rsid w:val="7C46114C"/>
    <w:rsid w:val="7C727E43"/>
    <w:rsid w:val="7C860FE5"/>
    <w:rsid w:val="7CD95DB0"/>
    <w:rsid w:val="7CF14F79"/>
    <w:rsid w:val="7D036E87"/>
    <w:rsid w:val="7D080978"/>
    <w:rsid w:val="7D164B55"/>
    <w:rsid w:val="7D430BCB"/>
    <w:rsid w:val="7D497957"/>
    <w:rsid w:val="7DBC0310"/>
    <w:rsid w:val="7DD9545B"/>
    <w:rsid w:val="7DF568BF"/>
    <w:rsid w:val="7E087D35"/>
    <w:rsid w:val="7E2F7B7C"/>
    <w:rsid w:val="7E3A287F"/>
    <w:rsid w:val="7E437BB0"/>
    <w:rsid w:val="7E4A02D7"/>
    <w:rsid w:val="7E4C1B66"/>
    <w:rsid w:val="7E681F34"/>
    <w:rsid w:val="7E784A81"/>
    <w:rsid w:val="7E9E6782"/>
    <w:rsid w:val="7EAC29D8"/>
    <w:rsid w:val="7EF25410"/>
    <w:rsid w:val="7F0C26D8"/>
    <w:rsid w:val="7F164F31"/>
    <w:rsid w:val="7FEF13C1"/>
    <w:rsid w:val="7FF1547C"/>
    <w:rsid w:val="BE5F2F21"/>
    <w:rsid w:val="D7DF3DB1"/>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link w:val="52"/>
    <w:autoRedefine/>
    <w:qFormat/>
    <w:uiPriority w:val="7"/>
    <w:pPr>
      <w:spacing w:before="0" w:after="330" w:line="576" w:lineRule="auto"/>
      <w:outlineLvl w:val="0"/>
    </w:pPr>
    <w:rPr>
      <w:b/>
      <w:sz w:val="44"/>
      <w:szCs w:val="44"/>
    </w:rPr>
  </w:style>
  <w:style w:type="paragraph" w:styleId="5">
    <w:name w:val="heading 2"/>
    <w:basedOn w:val="1"/>
    <w:next w:val="1"/>
    <w:autoRedefine/>
    <w:qFormat/>
    <w:uiPriority w:val="8"/>
    <w:pPr>
      <w:spacing w:before="0" w:after="260" w:line="415" w:lineRule="auto"/>
      <w:outlineLvl w:val="1"/>
    </w:pPr>
    <w:rPr>
      <w:rFonts w:ascii="Arial" w:hAnsi="Arial" w:eastAsia="黑体"/>
      <w:b/>
      <w:sz w:val="32"/>
      <w:szCs w:val="32"/>
    </w:rPr>
  </w:style>
  <w:style w:type="paragraph" w:styleId="6">
    <w:name w:val="heading 3"/>
    <w:basedOn w:val="1"/>
    <w:next w:val="1"/>
    <w:autoRedefine/>
    <w:qFormat/>
    <w:uiPriority w:val="9"/>
    <w:pPr>
      <w:outlineLvl w:val="2"/>
    </w:pPr>
    <w:rPr>
      <w:b/>
      <w:sz w:val="24"/>
      <w:szCs w:val="24"/>
    </w:rPr>
  </w:style>
  <w:style w:type="paragraph" w:styleId="7">
    <w:name w:val="heading 4"/>
    <w:basedOn w:val="1"/>
    <w:next w:val="1"/>
    <w:autoRedefine/>
    <w:qFormat/>
    <w:uiPriority w:val="0"/>
    <w:pPr>
      <w:keepNext/>
      <w:keepLines/>
      <w:spacing w:line="374" w:lineRule="auto"/>
      <w:outlineLvl w:val="3"/>
    </w:pPr>
    <w:rPr>
      <w:rFonts w:ascii="Cambria" w:hAnsi="Cambria"/>
      <w:b/>
      <w:bCs/>
      <w:sz w:val="28"/>
      <w:szCs w:val="28"/>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56"/>
    <w:autoRedefine/>
    <w:unhideWhenUsed/>
    <w:qFormat/>
    <w:uiPriority w:val="0"/>
    <w:pPr>
      <w:spacing w:after="120" w:line="240" w:lineRule="auto"/>
      <w:ind w:left="420" w:leftChars="200" w:firstLine="420"/>
    </w:pPr>
    <w:rPr>
      <w:rFonts w:ascii="Calibri" w:hAnsi="Calibri" w:eastAsia="Times New Roman"/>
    </w:rPr>
  </w:style>
  <w:style w:type="paragraph" w:styleId="3">
    <w:name w:val="Body Text Indent"/>
    <w:basedOn w:val="1"/>
    <w:link w:val="53"/>
    <w:autoRedefine/>
    <w:qFormat/>
    <w:uiPriority w:val="0"/>
    <w:pPr>
      <w:spacing w:line="480" w:lineRule="exact"/>
      <w:ind w:firstLine="560" w:firstLineChars="200"/>
    </w:pPr>
    <w:rPr>
      <w:sz w:val="24"/>
    </w:rPr>
  </w:style>
  <w:style w:type="paragraph" w:styleId="8">
    <w:name w:val="toc 7"/>
    <w:basedOn w:val="1"/>
    <w:next w:val="1"/>
    <w:autoRedefine/>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9">
    <w:name w:val="Document Map"/>
    <w:basedOn w:val="1"/>
    <w:autoRedefine/>
    <w:semiHidden/>
    <w:unhideWhenUsed/>
    <w:qFormat/>
    <w:uiPriority w:val="0"/>
    <w:rPr>
      <w:rFonts w:ascii="宋体"/>
      <w:sz w:val="18"/>
      <w:szCs w:val="18"/>
    </w:rPr>
  </w:style>
  <w:style w:type="paragraph" w:styleId="10">
    <w:name w:val="annotation text"/>
    <w:basedOn w:val="1"/>
    <w:autoRedefine/>
    <w:unhideWhenUsed/>
    <w:qFormat/>
    <w:uiPriority w:val="0"/>
    <w:pPr>
      <w:jc w:val="left"/>
    </w:pPr>
  </w:style>
  <w:style w:type="paragraph" w:styleId="11">
    <w:name w:val="toc 5"/>
    <w:basedOn w:val="1"/>
    <w:next w:val="1"/>
    <w:autoRedefine/>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autoRedefine/>
    <w:unhideWhenUsed/>
    <w:qFormat/>
    <w:uiPriority w:val="39"/>
    <w:pPr>
      <w:ind w:left="840" w:firstLine="0"/>
    </w:pPr>
  </w:style>
  <w:style w:type="paragraph" w:styleId="13">
    <w:name w:val="Plain Text"/>
    <w:basedOn w:val="1"/>
    <w:next w:val="7"/>
    <w:link w:val="49"/>
    <w:autoRedefine/>
    <w:unhideWhenUsed/>
    <w:qFormat/>
    <w:uiPriority w:val="0"/>
    <w:rPr>
      <w:rFonts w:ascii="宋体" w:hAnsi="Courier New" w:cs="宋体"/>
      <w:sz w:val="20"/>
      <w:szCs w:val="20"/>
    </w:rPr>
  </w:style>
  <w:style w:type="paragraph" w:styleId="14">
    <w:name w:val="toc 8"/>
    <w:basedOn w:val="1"/>
    <w:next w:val="1"/>
    <w:autoRedefine/>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autoRedefine/>
    <w:semiHidden/>
    <w:unhideWhenUsed/>
    <w:qFormat/>
    <w:uiPriority w:val="0"/>
    <w:pPr>
      <w:spacing w:after="0" w:line="240" w:lineRule="auto"/>
    </w:pPr>
    <w:rPr>
      <w:sz w:val="18"/>
      <w:szCs w:val="18"/>
    </w:rPr>
  </w:style>
  <w:style w:type="paragraph" w:styleId="16">
    <w:name w:val="footer"/>
    <w:basedOn w:val="1"/>
    <w:autoRedefine/>
    <w:qFormat/>
    <w:uiPriority w:val="99"/>
    <w:pPr>
      <w:tabs>
        <w:tab w:val="center" w:pos="4153"/>
        <w:tab w:val="right" w:pos="8306"/>
      </w:tabs>
      <w:snapToGrid w:val="0"/>
      <w:jc w:val="left"/>
    </w:pPr>
    <w:rPr>
      <w:sz w:val="18"/>
      <w:szCs w:val="18"/>
    </w:rPr>
  </w:style>
  <w:style w:type="paragraph" w:styleId="17">
    <w:name w:val="header"/>
    <w:basedOn w:val="1"/>
    <w:link w:val="54"/>
    <w:autoRedefine/>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style>
  <w:style w:type="paragraph" w:styleId="19">
    <w:name w:val="toc 4"/>
    <w:basedOn w:val="1"/>
    <w:next w:val="1"/>
    <w:autoRedefine/>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autoRedefine/>
    <w:semiHidden/>
    <w:unhideWhenUsed/>
    <w:qFormat/>
    <w:uiPriority w:val="0"/>
    <w:pPr>
      <w:snapToGrid w:val="0"/>
      <w:jc w:val="left"/>
    </w:pPr>
    <w:rPr>
      <w:sz w:val="18"/>
      <w:szCs w:val="18"/>
    </w:rPr>
  </w:style>
  <w:style w:type="paragraph" w:styleId="21">
    <w:name w:val="toc 6"/>
    <w:basedOn w:val="1"/>
    <w:next w:val="1"/>
    <w:autoRedefine/>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55"/>
    <w:autoRedefine/>
    <w:qFormat/>
    <w:uiPriority w:val="0"/>
    <w:pPr>
      <w:spacing w:after="120"/>
      <w:ind w:left="420" w:firstLine="0"/>
    </w:pPr>
    <w:rPr>
      <w:sz w:val="16"/>
      <w:szCs w:val="16"/>
    </w:rPr>
  </w:style>
  <w:style w:type="paragraph" w:styleId="23">
    <w:name w:val="toc 2"/>
    <w:basedOn w:val="1"/>
    <w:next w:val="1"/>
    <w:autoRedefine/>
    <w:unhideWhenUsed/>
    <w:qFormat/>
    <w:uiPriority w:val="39"/>
    <w:pPr>
      <w:ind w:left="420" w:firstLine="0"/>
    </w:pPr>
  </w:style>
  <w:style w:type="paragraph" w:styleId="24">
    <w:name w:val="toc 9"/>
    <w:basedOn w:val="1"/>
    <w:next w:val="1"/>
    <w:autoRedefine/>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autoRedefine/>
    <w:unhideWhenUsed/>
    <w:qFormat/>
    <w:uiPriority w:val="0"/>
    <w:pPr>
      <w:spacing w:after="120" w:line="480" w:lineRule="auto"/>
    </w:pPr>
  </w:style>
  <w:style w:type="paragraph" w:styleId="26">
    <w:name w:val="annotation subject"/>
    <w:basedOn w:val="10"/>
    <w:next w:val="10"/>
    <w:autoRedefine/>
    <w:semiHidden/>
    <w:unhideWhenUsed/>
    <w:qFormat/>
    <w:uiPriority w:val="0"/>
    <w:rPr>
      <w:b/>
    </w:rPr>
  </w:style>
  <w:style w:type="table" w:styleId="28">
    <w:name w:val="Table Grid"/>
    <w:basedOn w:val="2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autoRedefine/>
    <w:qFormat/>
    <w:uiPriority w:val="20"/>
    <w:rPr>
      <w:rFonts w:cs="Times New Roman"/>
      <w:b/>
    </w:rPr>
  </w:style>
  <w:style w:type="character" w:styleId="31">
    <w:name w:val="page number"/>
    <w:basedOn w:val="29"/>
    <w:autoRedefine/>
    <w:qFormat/>
    <w:uiPriority w:val="0"/>
  </w:style>
  <w:style w:type="character" w:styleId="32">
    <w:name w:val="Hyperlink"/>
    <w:basedOn w:val="29"/>
    <w:autoRedefine/>
    <w:unhideWhenUsed/>
    <w:qFormat/>
    <w:uiPriority w:val="99"/>
    <w:rPr>
      <w:color w:val="0000FF"/>
      <w:u w:val="single"/>
    </w:rPr>
  </w:style>
  <w:style w:type="character" w:styleId="33">
    <w:name w:val="annotation reference"/>
    <w:basedOn w:val="29"/>
    <w:autoRedefine/>
    <w:semiHidden/>
    <w:unhideWhenUsed/>
    <w:qFormat/>
    <w:uiPriority w:val="0"/>
    <w:rPr>
      <w:sz w:val="21"/>
      <w:szCs w:val="21"/>
    </w:rPr>
  </w:style>
  <w:style w:type="character" w:styleId="34">
    <w:name w:val="footnote reference"/>
    <w:basedOn w:val="29"/>
    <w:autoRedefine/>
    <w:semiHidden/>
    <w:unhideWhenUsed/>
    <w:qFormat/>
    <w:uiPriority w:val="0"/>
    <w:rPr>
      <w:vertAlign w:val="superscript"/>
    </w:rPr>
  </w:style>
  <w:style w:type="paragraph" w:customStyle="1" w:styleId="35">
    <w:name w:val="样式 标题 1 + 四号 加粗"/>
    <w:basedOn w:val="4"/>
    <w:autoRedefine/>
    <w:qFormat/>
    <w:uiPriority w:val="0"/>
    <w:rPr>
      <w:rFonts w:eastAsia="黑体"/>
    </w:rPr>
  </w:style>
  <w:style w:type="paragraph" w:styleId="36">
    <w:name w:val="List Paragraph"/>
    <w:basedOn w:val="1"/>
    <w:autoRedefine/>
    <w:qFormat/>
    <w:uiPriority w:val="34"/>
    <w:pPr>
      <w:ind w:firstLine="200"/>
    </w:pPr>
    <w:rPr>
      <w:rFonts w:ascii="Calibri" w:hAnsi="Calibri"/>
    </w:rPr>
  </w:style>
  <w:style w:type="character" w:customStyle="1" w:styleId="37">
    <w:name w:val="正文文本 2 Char"/>
    <w:basedOn w:val="29"/>
    <w:autoRedefine/>
    <w:qFormat/>
    <w:uiPriority w:val="0"/>
    <w:rPr>
      <w:rFonts w:ascii="Times New Roman" w:hAnsi="Times New Roman" w:eastAsia="宋体" w:cs="Times New Roman"/>
    </w:rPr>
  </w:style>
  <w:style w:type="character" w:customStyle="1" w:styleId="38">
    <w:name w:val="16"/>
    <w:basedOn w:val="29"/>
    <w:autoRedefine/>
    <w:qFormat/>
    <w:uiPriority w:val="0"/>
    <w:rPr>
      <w:rFonts w:hint="default" w:ascii="Times New Roman" w:hAnsi="Times New Roman" w:cs="Times New Roman"/>
      <w:color w:val="0000FF"/>
      <w:u w:val="single"/>
    </w:rPr>
  </w:style>
  <w:style w:type="character" w:customStyle="1" w:styleId="39">
    <w:name w:val="15"/>
    <w:basedOn w:val="29"/>
    <w:autoRedefine/>
    <w:qFormat/>
    <w:uiPriority w:val="0"/>
    <w:rPr>
      <w:rFonts w:hint="default" w:ascii="Times New Roman" w:hAnsi="Times New Roman" w:cs="Times New Roman"/>
      <w:color w:val="0000FF"/>
      <w:u w:val="single"/>
    </w:rPr>
  </w:style>
  <w:style w:type="character" w:customStyle="1" w:styleId="40">
    <w:name w:val="标题 3 Char"/>
    <w:autoRedefine/>
    <w:qFormat/>
    <w:uiPriority w:val="9"/>
    <w:rPr>
      <w:b/>
      <w:sz w:val="24"/>
      <w:szCs w:val="24"/>
    </w:rPr>
  </w:style>
  <w:style w:type="character" w:customStyle="1" w:styleId="41">
    <w:name w:val="标题 2 Char"/>
    <w:autoRedefine/>
    <w:qFormat/>
    <w:uiPriority w:val="8"/>
    <w:rPr>
      <w:rFonts w:ascii="Arial" w:hAnsi="Arial" w:eastAsia="黑体"/>
      <w:b/>
      <w:sz w:val="32"/>
      <w:szCs w:val="32"/>
    </w:rPr>
  </w:style>
  <w:style w:type="character" w:customStyle="1" w:styleId="42">
    <w:name w:val="批注框文本 Char"/>
    <w:basedOn w:val="29"/>
    <w:autoRedefine/>
    <w:semiHidden/>
    <w:qFormat/>
    <w:uiPriority w:val="0"/>
    <w:rPr>
      <w:sz w:val="18"/>
      <w:szCs w:val="18"/>
    </w:rPr>
  </w:style>
  <w:style w:type="character" w:customStyle="1" w:styleId="43">
    <w:name w:val="批注文字 Char"/>
    <w:basedOn w:val="29"/>
    <w:autoRedefine/>
    <w:semiHidden/>
    <w:qFormat/>
    <w:uiPriority w:val="0"/>
    <w:rPr>
      <w:sz w:val="21"/>
      <w:szCs w:val="21"/>
    </w:rPr>
  </w:style>
  <w:style w:type="character" w:customStyle="1" w:styleId="44">
    <w:name w:val="批注主题 Char"/>
    <w:basedOn w:val="43"/>
    <w:autoRedefine/>
    <w:semiHidden/>
    <w:qFormat/>
    <w:uiPriority w:val="0"/>
    <w:rPr>
      <w:b/>
      <w:sz w:val="21"/>
      <w:szCs w:val="21"/>
    </w:rPr>
  </w:style>
  <w:style w:type="character" w:customStyle="1" w:styleId="45">
    <w:name w:val="文档结构图 Char"/>
    <w:basedOn w:val="29"/>
    <w:autoRedefine/>
    <w:semiHidden/>
    <w:qFormat/>
    <w:uiPriority w:val="0"/>
    <w:rPr>
      <w:rFonts w:ascii="宋体"/>
      <w:sz w:val="18"/>
      <w:szCs w:val="18"/>
    </w:rPr>
  </w:style>
  <w:style w:type="character" w:customStyle="1" w:styleId="46">
    <w:name w:val="页脚 Char"/>
    <w:autoRedefine/>
    <w:qFormat/>
    <w:uiPriority w:val="99"/>
    <w:rPr>
      <w:sz w:val="18"/>
      <w:szCs w:val="18"/>
    </w:rPr>
  </w:style>
  <w:style w:type="character" w:customStyle="1" w:styleId="47">
    <w:name w:val="脚注文本 Char"/>
    <w:basedOn w:val="29"/>
    <w:autoRedefine/>
    <w:semiHidden/>
    <w:qFormat/>
    <w:uiPriority w:val="0"/>
    <w:rPr>
      <w:sz w:val="18"/>
      <w:szCs w:val="18"/>
    </w:rPr>
  </w:style>
  <w:style w:type="paragraph" w:customStyle="1" w:styleId="48">
    <w:name w:val="TOC 标题1"/>
    <w:basedOn w:val="4"/>
    <w:next w:val="1"/>
    <w:autoRedefine/>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字符"/>
    <w:link w:val="13"/>
    <w:autoRedefine/>
    <w:qFormat/>
    <w:locked/>
    <w:uiPriority w:val="0"/>
    <w:rPr>
      <w:rFonts w:ascii="宋体" w:hAnsi="Courier New" w:cs="宋体"/>
    </w:rPr>
  </w:style>
  <w:style w:type="paragraph" w:customStyle="1" w:styleId="50">
    <w:name w:val="修订1"/>
    <w:autoRedefine/>
    <w:hidden/>
    <w:semiHidden/>
    <w:qFormat/>
    <w:uiPriority w:val="99"/>
    <w:rPr>
      <w:rFonts w:ascii="Times New Roman" w:hAnsi="Times New Roman" w:eastAsia="宋体" w:cs="Times New Roman"/>
      <w:sz w:val="21"/>
      <w:szCs w:val="21"/>
      <w:lang w:val="en-US" w:eastAsia="zh-CN" w:bidi="ar-SA"/>
    </w:rPr>
  </w:style>
  <w:style w:type="paragraph" w:customStyle="1" w:styleId="51">
    <w:name w:val="Blockquote"/>
    <w:basedOn w:val="1"/>
    <w:autoRedefine/>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character" w:customStyle="1" w:styleId="52">
    <w:name w:val="标题 1 字符"/>
    <w:basedOn w:val="29"/>
    <w:link w:val="4"/>
    <w:autoRedefine/>
    <w:qFormat/>
    <w:uiPriority w:val="7"/>
    <w:rPr>
      <w:b/>
      <w:sz w:val="44"/>
      <w:szCs w:val="44"/>
    </w:rPr>
  </w:style>
  <w:style w:type="character" w:customStyle="1" w:styleId="53">
    <w:name w:val="正文文本缩进 字符"/>
    <w:basedOn w:val="29"/>
    <w:link w:val="3"/>
    <w:autoRedefine/>
    <w:qFormat/>
    <w:uiPriority w:val="0"/>
    <w:rPr>
      <w:sz w:val="24"/>
      <w:szCs w:val="21"/>
    </w:rPr>
  </w:style>
  <w:style w:type="character" w:customStyle="1" w:styleId="54">
    <w:name w:val="页眉 字符"/>
    <w:basedOn w:val="29"/>
    <w:link w:val="17"/>
    <w:autoRedefine/>
    <w:qFormat/>
    <w:uiPriority w:val="0"/>
    <w:rPr>
      <w:sz w:val="18"/>
      <w:szCs w:val="18"/>
    </w:rPr>
  </w:style>
  <w:style w:type="character" w:customStyle="1" w:styleId="55">
    <w:name w:val="正文文本缩进 3 字符"/>
    <w:basedOn w:val="29"/>
    <w:link w:val="22"/>
    <w:autoRedefine/>
    <w:qFormat/>
    <w:uiPriority w:val="0"/>
    <w:rPr>
      <w:sz w:val="16"/>
      <w:szCs w:val="16"/>
    </w:rPr>
  </w:style>
  <w:style w:type="character" w:customStyle="1" w:styleId="56">
    <w:name w:val="正文文本首行缩进 2 字符"/>
    <w:basedOn w:val="53"/>
    <w:link w:val="2"/>
    <w:autoRedefine/>
    <w:qFormat/>
    <w:uiPriority w:val="0"/>
    <w:rPr>
      <w:rFonts w:ascii="Calibri" w:hAnsi="Calibri" w:eastAsia="Times New Roman"/>
      <w:sz w:val="24"/>
      <w:szCs w:val="21"/>
    </w:rPr>
  </w:style>
  <w:style w:type="paragraph" w:customStyle="1" w:styleId="57">
    <w:name w:val="WPSOffice手动目录 1"/>
    <w:autoRedefine/>
    <w:qFormat/>
    <w:uiPriority w:val="0"/>
    <w:rPr>
      <w:rFonts w:ascii="Times New Roman" w:hAnsi="Times New Roman" w:eastAsia="宋体" w:cs="Times New Roman"/>
      <w:lang w:val="en-US" w:eastAsia="zh-CN" w:bidi="ar-SA"/>
    </w:rPr>
  </w:style>
  <w:style w:type="paragraph" w:customStyle="1" w:styleId="58">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59">
    <w:name w:val="WPSOffice手动目录 3"/>
    <w:autoRedefine/>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tyleName="GOST - Title Sort" SelectedStyle="\GostTitl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2E591A-703F-4EF4-802F-5CDB6720DA2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73</Pages>
  <Words>29493</Words>
  <Characters>31550</Characters>
  <Lines>61</Lines>
  <Paragraphs>73</Paragraphs>
  <TotalTime>31</TotalTime>
  <ScaleCrop>false</ScaleCrop>
  <LinksUpToDate>false</LinksUpToDate>
  <CharactersWithSpaces>33109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2022-01-04T09:38:00Z</dcterms:created>
  <dc:creator>NTKO</dc:creator>
  <cp:lastModifiedBy>罗慕洛</cp:lastModifiedBy>
  <cp:lastPrinted>2024-04-25T09:29:00Z</cp:lastPrinted>
  <dcterms:modified xsi:type="dcterms:W3CDTF">2024-04-26T02:10:05Z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17401BE8689D44A4B8B12293F10A0849_13</vt:lpwstr>
  </property>
</Properties>
</file>